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4677"/>
        <w:gridCol w:w="2607"/>
        <w:gridCol w:w="4679"/>
      </w:tblGrid>
      <w:tr w14:paraId="253A5B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7C2111C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949C82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BADD8F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1AD03C8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TSL-2627</w:t>
            </w:r>
          </w:p>
        </w:tc>
      </w:tr>
      <w:tr w14:paraId="651234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4E4383A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1FC94FA1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7D4D29C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742771F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EDT · v1.6</w:t>
            </w:r>
          </w:p>
        </w:tc>
      </w:tr>
      <w:tr w14:paraId="7D0060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5CBB2A3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6ECD984E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02B98A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2434E96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28/10/2026</w:t>
            </w:r>
          </w:p>
        </w:tc>
      </w:tr>
      <w:tr w14:paraId="22D889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2032A28F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1B3B120A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lang w:val="es-ES"/>
              </w:rPr>
              <w:t>Carlos Ruiz-Mateo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DF5E7F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5101A3EF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</w:rPr>
              <w:t>Patrocinador del proyecto (pendiente)</w:t>
            </w:r>
          </w:p>
        </w:tc>
      </w:tr>
    </w:tbl>
    <w:p w14:paraId="1D10D23B">
      <w:pPr>
        <w:spacing w:before="0" w:after="0"/>
        <w:rPr>
          <w:rFonts w:hint="default" w:ascii="Calibri" w:hAnsi="Calibri" w:cs="Calibri"/>
          <w:sz w:val="12"/>
          <w:szCs w:val="12"/>
        </w:rPr>
      </w:pPr>
    </w:p>
    <w:p w14:paraId="2C68742F">
      <w:pPr>
        <w:keepNext/>
        <w:shd w:val="clear" w:color="auto" w:fill="DCE6E8"/>
        <w:spacing w:after="0"/>
        <w:outlineLvl w:val="1"/>
        <w:rPr>
          <w:rFonts w:hint="default" w:ascii="Calibri" w:hAnsi="Calibri" w:cs="Calibri"/>
          <w:b/>
          <w:color w:val="1F4E5A"/>
          <w:sz w:val="21"/>
          <w:szCs w:val="21"/>
        </w:rPr>
      </w:pPr>
      <w:r>
        <w:rPr>
          <w:rFonts w:hint="default" w:ascii="Calibri" w:hAnsi="Calibri" w:cs="Calibri"/>
          <w:b/>
          <w:color w:val="1F4E5A"/>
          <w:sz w:val="21"/>
          <w:szCs w:val="21"/>
        </w:rPr>
        <w:t>HISTÓRICO DE MODIFICACIONES DEL DOCUMENTO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3118"/>
        <w:gridCol w:w="8618"/>
      </w:tblGrid>
      <w:tr w14:paraId="02AEEE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CE6E8"/>
          </w:tcPr>
          <w:p w14:paraId="6A4B6377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31F07CD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11FA3A0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4B926312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b/>
                <w:i w:val="0"/>
                <w:color w:val="1F4E5A"/>
                <w:sz w:val="19"/>
                <w:szCs w:val="19"/>
              </w:rPr>
              <w:t>Breve descripción de los cambios</w:t>
            </w:r>
          </w:p>
        </w:tc>
      </w:tr>
      <w:tr w14:paraId="6F6325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49C72FD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v1.0</w:t>
            </w:r>
          </w:p>
        </w:tc>
        <w:tc>
          <w:tcPr>
            <w:tcW w:w="1587" w:type="dxa"/>
            <w:vAlign w:val="center"/>
          </w:tcPr>
          <w:p w14:paraId="0BAD61F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4120AA35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052E0C5C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Primera versión del documento; autor y fecha pendientes de completar.</w:t>
            </w:r>
          </w:p>
        </w:tc>
      </w:tr>
      <w:tr w14:paraId="514338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002E374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v1.1</w:t>
            </w:r>
          </w:p>
        </w:tc>
        <w:tc>
          <w:tcPr>
            <w:tcW w:w="1587" w:type="dxa"/>
            <w:vAlign w:val="center"/>
          </w:tcPr>
          <w:p w14:paraId="61584C8E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3118" w:type="dxa"/>
            <w:vAlign w:val="center"/>
          </w:tcPr>
          <w:p w14:paraId="5A3703ED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—</w:t>
            </w:r>
          </w:p>
        </w:tc>
        <w:tc>
          <w:tcPr>
            <w:tcW w:w="8618" w:type="dxa"/>
            <w:vAlign w:val="center"/>
          </w:tcPr>
          <w:p w14:paraId="190C634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Revisión anterior; datos del histórico pendientes de completar.</w:t>
            </w:r>
          </w:p>
        </w:tc>
      </w:tr>
      <w:tr w14:paraId="4AEDBA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5DA7143C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v1.2</w:t>
            </w:r>
          </w:p>
        </w:tc>
        <w:tc>
          <w:tcPr>
            <w:tcW w:w="1587" w:type="dxa"/>
            <w:vAlign w:val="center"/>
          </w:tcPr>
          <w:p w14:paraId="2E153247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18/10/2026</w:t>
            </w:r>
          </w:p>
        </w:tc>
        <w:tc>
          <w:tcPr>
            <w:tcW w:w="3118" w:type="dxa"/>
            <w:vAlign w:val="center"/>
          </w:tcPr>
          <w:p w14:paraId="29AF6CC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FP</w:t>
            </w:r>
          </w:p>
        </w:tc>
        <w:tc>
          <w:tcPr>
            <w:tcW w:w="8618" w:type="dxa"/>
            <w:vAlign w:val="center"/>
          </w:tcPr>
          <w:p w14:paraId="51CF091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EDT corregida y representada en árbol; revisión para línea base.</w:t>
            </w:r>
          </w:p>
        </w:tc>
      </w:tr>
      <w:tr w14:paraId="6BA36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7224F794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v1.3</w:t>
            </w:r>
          </w:p>
        </w:tc>
        <w:tc>
          <w:tcPr>
            <w:tcW w:w="1587" w:type="dxa"/>
            <w:vAlign w:val="center"/>
          </w:tcPr>
          <w:p w14:paraId="75984CEE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19/10/2026</w:t>
            </w:r>
          </w:p>
        </w:tc>
        <w:tc>
          <w:tcPr>
            <w:tcW w:w="3118" w:type="dxa"/>
            <w:vAlign w:val="center"/>
          </w:tcPr>
          <w:p w14:paraId="4BCDAD1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CRV</w:t>
            </w:r>
          </w:p>
        </w:tc>
        <w:tc>
          <w:tcPr>
            <w:tcW w:w="8618" w:type="dxa"/>
            <w:vAlign w:val="center"/>
          </w:tcPr>
          <w:p w14:paraId="15FD266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Se detallan adquisiciones y reservas de cronograma; revisión de TC-OP-ALC.</w:t>
            </w:r>
          </w:p>
        </w:tc>
      </w:tr>
      <w:tr w14:paraId="2D448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0D5091A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v1.4</w:t>
            </w:r>
          </w:p>
        </w:tc>
        <w:tc>
          <w:tcPr>
            <w:tcW w:w="1587" w:type="dxa"/>
            <w:vAlign w:val="center"/>
          </w:tcPr>
          <w:p w14:paraId="78EB70E7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23/10/2026</w:t>
            </w:r>
          </w:p>
        </w:tc>
        <w:tc>
          <w:tcPr>
            <w:tcW w:w="3118" w:type="dxa"/>
            <w:vAlign w:val="center"/>
          </w:tcPr>
          <w:p w14:paraId="63C25B2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7054D7E9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Simplificación de paquetes, RF-02.6 en Sprint 5, EP-07 adelantado y revisión de adquisiciones.</w:t>
            </w:r>
          </w:p>
        </w:tc>
      </w:tr>
      <w:tr w14:paraId="015B5D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0B5E8A96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v1.5</w:t>
            </w:r>
          </w:p>
        </w:tc>
        <w:tc>
          <w:tcPr>
            <w:tcW w:w="1587" w:type="dxa"/>
            <w:vAlign w:val="center"/>
          </w:tcPr>
          <w:p w14:paraId="1FE772C8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28/10/2026</w:t>
            </w:r>
          </w:p>
        </w:tc>
        <w:tc>
          <w:tcPr>
            <w:tcW w:w="3118" w:type="dxa"/>
            <w:vAlign w:val="center"/>
          </w:tcPr>
          <w:p w14:paraId="40410053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EMA</w:t>
            </w:r>
          </w:p>
        </w:tc>
        <w:tc>
          <w:tcPr>
            <w:tcW w:w="8618" w:type="dxa"/>
            <w:vAlign w:val="center"/>
          </w:tcPr>
          <w:p w14:paraId="312DB6A0">
            <w:pPr>
              <w:spacing w:before="0"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Reestructuración de la EDT según el nuevo árbol: seis sprints, paquetes E/C/V, ENT-01 a ENT-04 y adquisiciones.</w:t>
            </w:r>
          </w:p>
        </w:tc>
      </w:tr>
      <w:tr w14:paraId="66C302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21B2858">
            <w:pPr>
              <w:spacing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v1.6</w:t>
            </w:r>
          </w:p>
        </w:tc>
        <w:tc>
          <w:tcPr>
            <w:tcW w:w="1587" w:type="dxa"/>
          </w:tcPr>
          <w:p w14:paraId="67F09677">
            <w:pPr>
              <w:spacing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28/10/2026</w:t>
            </w:r>
          </w:p>
        </w:tc>
        <w:tc>
          <w:tcPr>
            <w:tcW w:w="3118" w:type="dxa"/>
          </w:tcPr>
          <w:p w14:paraId="4BE0CC23">
            <w:pPr>
              <w:spacing w:after="0" w:line="240" w:lineRule="auto"/>
              <w:rPr>
                <w:rFonts w:hint="default" w:ascii="Calibri" w:hAnsi="Calibri" w:cs="Calibri"/>
                <w:sz w:val="19"/>
                <w:szCs w:val="19"/>
                <w:lang w:val="es-ES"/>
              </w:rPr>
            </w:pPr>
            <w:r>
              <w:rPr>
                <w:rFonts w:hint="default" w:ascii="Calibri" w:hAnsi="Calibri" w:cs="Calibri"/>
                <w:sz w:val="19"/>
                <w:szCs w:val="19"/>
                <w:lang w:val="es-ES"/>
              </w:rPr>
              <w:t>CRV</w:t>
            </w:r>
          </w:p>
        </w:tc>
        <w:tc>
          <w:tcPr>
            <w:tcW w:w="8618" w:type="dxa"/>
          </w:tcPr>
          <w:p w14:paraId="35431B1E">
            <w:pPr>
              <w:spacing w:after="0" w:line="240" w:lineRule="auto"/>
              <w:rPr>
                <w:rFonts w:hint="default" w:ascii="Calibri" w:hAnsi="Calibri" w:cs="Calibri"/>
                <w:sz w:val="19"/>
                <w:szCs w:val="19"/>
              </w:rPr>
            </w:pPr>
            <w:r>
              <w:rPr>
                <w:rFonts w:hint="default" w:ascii="Calibri" w:hAnsi="Calibri" w:cs="Calibri"/>
                <w:sz w:val="19"/>
                <w:szCs w:val="19"/>
              </w:rPr>
              <w:t>Corrección de temporalización de 1.4.1, 1.4.2 y 1.5.2 conforme al calendario aprobado; se conservan los 37 paquetes terminales.</w:t>
            </w:r>
          </w:p>
        </w:tc>
      </w:tr>
    </w:tbl>
    <w:p w14:paraId="521D612A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6DE3EFB4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Vista general de la EDT</w:t>
      </w:r>
    </w:p>
    <w:p w14:paraId="1C548AE5">
      <w:pPr>
        <w:pStyle w:val="16"/>
        <w:rPr>
          <w:rFonts w:hint="default" w:ascii="Calibri" w:hAnsi="Calibri" w:cs="Calibri"/>
        </w:rPr>
      </w:pPr>
    </w:p>
    <w:p w14:paraId="14CFAA2B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F9A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6E3C245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· Dirección del proyecto</w:t>
      </w:r>
    </w:p>
    <w:p w14:paraId="010B2598">
      <w:pPr>
        <w:pStyle w:val="16"/>
        <w:rPr>
          <w:rFonts w:hint="default" w:ascii="Calibri" w:hAnsi="Calibri" w:cs="Calibri"/>
        </w:rPr>
      </w:pPr>
    </w:p>
    <w:p w14:paraId="31AEF521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4B5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305660AF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Planificación y Sprint 1</w:t>
      </w:r>
    </w:p>
    <w:p w14:paraId="320C8350">
      <w:pPr>
        <w:pStyle w:val="16"/>
        <w:rPr>
          <w:rFonts w:hint="default" w:ascii="Calibri" w:hAnsi="Calibri" w:cs="Calibri"/>
        </w:rPr>
      </w:pPr>
    </w:p>
    <w:p w14:paraId="1C591467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8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5E7DB23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Sprints 2 y 3</w:t>
      </w:r>
    </w:p>
    <w:p w14:paraId="0235EF04">
      <w:pPr>
        <w:pStyle w:val="16"/>
        <w:rPr>
          <w:rFonts w:hint="default" w:ascii="Calibri" w:hAnsi="Calibri" w:cs="Calibri"/>
        </w:rPr>
      </w:pPr>
    </w:p>
    <w:p w14:paraId="5F9A3F23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035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794922F4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Sprints 4 y 5</w:t>
      </w:r>
    </w:p>
    <w:p w14:paraId="2B047DE5">
      <w:pPr>
        <w:pStyle w:val="16"/>
        <w:rPr>
          <w:rFonts w:hint="default" w:ascii="Calibri" w:hAnsi="Calibri" w:cs="Calibri"/>
        </w:rPr>
      </w:pPr>
    </w:p>
    <w:p w14:paraId="6E5D6238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64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344CFE3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· Plataforma | Sprint 6</w:t>
      </w:r>
    </w:p>
    <w:p w14:paraId="4E5988E8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2D1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73493627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· Integración con ERP · ENT-02</w:t>
      </w:r>
    </w:p>
    <w:p w14:paraId="6458ECDB">
      <w:pPr>
        <w:pStyle w:val="16"/>
        <w:rPr>
          <w:rFonts w:hint="default" w:ascii="Calibri" w:hAnsi="Calibri" w:cs="Calibri"/>
        </w:rPr>
      </w:pPr>
    </w:p>
    <w:p w14:paraId="1940E38E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0D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4BB9CD2D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· Puesta en producción · ENT-03</w:t>
      </w:r>
    </w:p>
    <w:p w14:paraId="533CE147">
      <w:pPr>
        <w:pStyle w:val="16"/>
        <w:rPr>
          <w:rFonts w:hint="default" w:ascii="Calibri" w:hAnsi="Calibri" w:cs="Calibri"/>
        </w:rPr>
      </w:pPr>
    </w:p>
    <w:p w14:paraId="53A0B919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1F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BE6F6B3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· Documentación y formación · ENT-04</w:t>
      </w:r>
    </w:p>
    <w:p w14:paraId="62E81038">
      <w:pPr>
        <w:pStyle w:val="16"/>
        <w:rPr>
          <w:rFonts w:hint="default" w:ascii="Calibri" w:hAnsi="Calibri" w:cs="Calibri"/>
        </w:rPr>
      </w:pPr>
    </w:p>
    <w:p w14:paraId="380F3B5F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9E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6B4982C8">
      <w:pPr>
        <w:pStyle w:val="12"/>
        <w:keepNext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· Adquisiciones</w:t>
      </w:r>
    </w:p>
    <w:p w14:paraId="79CE4EB7">
      <w:pPr>
        <w:pStyle w:val="16"/>
        <w:rPr>
          <w:rFonts w:hint="default" w:ascii="Calibri" w:hAnsi="Calibri" w:cs="Calibri"/>
        </w:rPr>
      </w:pPr>
    </w:p>
    <w:p w14:paraId="4EB1759A">
      <w:pPr>
        <w:spacing w:before="140" w:after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8915400" cy="4548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91C">
      <w:pPr>
        <w:rPr>
          <w:rFonts w:hint="default" w:ascii="Calibri" w:hAnsi="Calibri" w:cs="Calibri"/>
        </w:rPr>
      </w:pPr>
      <w:bookmarkStart w:id="0" w:name="_GoBack"/>
      <w:bookmarkEnd w:id="0"/>
    </w:p>
    <w:sectPr>
      <w:headerReference r:id="rId5" w:type="default"/>
      <w:footerReference r:id="rId6" w:type="default"/>
      <w:pgSz w:w="16838" w:h="11906" w:orient="landscape"/>
      <w:pgMar w:top="1134" w:right="1134" w:bottom="1134" w:left="1134" w:header="397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4570" w:type="dxa"/>
      <w:tblCaption w:val="Pie de página"/>
      <w:tblInd w:w="0" w:type="dxa"/>
      <w:tblBorders>
        <w:top w:val="single" w:color="1F4E5A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467"/>
      <w:gridCol w:w="5103"/>
    </w:tblGrid>
    <w:tr w14:paraId="520D424A">
      <w:tblPrEx>
        <w:tblBorders>
          <w:top w:val="single" w:color="1F4E5A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AB4AC61">
          <w:pPr>
            <w:spacing w:before="0" w:after="0" w:line="240" w:lineRule="auto"/>
            <w:ind w:left="0" w:right="0"/>
            <w:jc w:val="left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722F9741"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EDT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 w14:paraId="6D409AB7"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D6F50">
    <w:pP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EDT</w:t>
    </w:r>
  </w:p>
  <w:p w14:paraId="54976B8C">
    <w:pPr>
      <w:pBdr>
        <w:bottom w:val="single" w:color="1F4E5A" w:sz="8" w:space="4"/>
      </w:pBd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  <w:rsid w:val="722C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0" w:after="100" w:line="259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16"/>
      <w:szCs w:val="16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paragraph" w:styleId="7">
    <w:name w:val="foot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2"/>
    <w:link w:val="6"/>
    <w:qFormat/>
    <w:uiPriority w:val="99"/>
  </w:style>
  <w:style w:type="character" w:customStyle="1" w:styleId="10">
    <w:name w:val="Pie de página Car"/>
    <w:basedOn w:val="2"/>
    <w:link w:val="7"/>
    <w:qFormat/>
    <w:uiPriority w:val="99"/>
  </w:style>
  <w:style w:type="character" w:customStyle="1" w:styleId="11">
    <w:name w:val="Texto de globo Car"/>
    <w:basedOn w:val="2"/>
    <w:link w:val="5"/>
    <w:semiHidden/>
    <w:qFormat/>
    <w:uiPriority w:val="99"/>
    <w:rPr>
      <w:rFonts w:ascii="Calibri" w:hAnsi="Calibri" w:eastAsia="Calibri" w:cs="Calibri"/>
      <w:sz w:val="16"/>
      <w:szCs w:val="16"/>
    </w:rPr>
  </w:style>
  <w:style w:type="paragraph" w:customStyle="1" w:styleId="12">
    <w:name w:val="EDT Heading"/>
    <w:qFormat/>
    <w:uiPriority w:val="0"/>
    <w:pPr>
      <w:spacing w:before="0" w:after="140" w:line="259" w:lineRule="auto"/>
    </w:pPr>
    <w:rPr>
      <w:rFonts w:ascii="Aptos" w:hAnsi="Aptos" w:eastAsia="Calibri" w:cs="Calibri"/>
      <w:b/>
      <w:color w:val="1D4F5B"/>
      <w:sz w:val="28"/>
      <w:szCs w:val="21"/>
      <w:lang w:val="es-ES" w:eastAsia="es-ES" w:bidi="ar-SA"/>
    </w:rPr>
  </w:style>
  <w:style w:type="paragraph" w:customStyle="1" w:styleId="13">
    <w:name w:val="EDT Subheading"/>
    <w:qFormat/>
    <w:uiPriority w:val="0"/>
    <w:pPr>
      <w:spacing w:before="0" w:after="80" w:line="259" w:lineRule="auto"/>
    </w:pPr>
    <w:rPr>
      <w:rFonts w:ascii="Aptos" w:hAnsi="Aptos" w:eastAsia="Calibri" w:cs="Calibri"/>
      <w:b/>
      <w:color w:val="1D4F5B"/>
      <w:sz w:val="20"/>
      <w:szCs w:val="21"/>
      <w:lang w:val="es-ES" w:eastAsia="es-ES" w:bidi="ar-SA"/>
    </w:rPr>
  </w:style>
  <w:style w:type="paragraph" w:customStyle="1" w:styleId="14">
    <w:name w:val="EDT Body"/>
    <w:qFormat/>
    <w:uiPriority w:val="0"/>
    <w:pPr>
      <w:spacing w:before="0" w:after="100" w:line="259" w:lineRule="auto"/>
    </w:pPr>
    <w:rPr>
      <w:rFonts w:ascii="Aptos" w:hAnsi="Aptos" w:eastAsia="Calibri" w:cs="Calibri"/>
      <w:color w:val="19282D"/>
      <w:sz w:val="18"/>
      <w:szCs w:val="21"/>
      <w:lang w:val="es-ES" w:eastAsia="es-ES" w:bidi="ar-SA"/>
    </w:rPr>
  </w:style>
  <w:style w:type="paragraph" w:customStyle="1" w:styleId="15">
    <w:name w:val="EDT Editable"/>
    <w:qFormat/>
    <w:uiPriority w:val="0"/>
    <w:pPr>
      <w:spacing w:before="0" w:after="40" w:line="259" w:lineRule="auto"/>
    </w:pPr>
    <w:rPr>
      <w:rFonts w:ascii="Aptos" w:hAnsi="Aptos" w:eastAsia="Calibri" w:cs="Calibri"/>
      <w:color w:val="19282D"/>
      <w:sz w:val="18"/>
      <w:szCs w:val="21"/>
      <w:lang w:val="es-ES" w:eastAsia="es-ES" w:bidi="ar-SA"/>
    </w:rPr>
  </w:style>
  <w:style w:type="paragraph" w:customStyle="1" w:styleId="16">
    <w:name w:val="EDT Caption"/>
    <w:qFormat/>
    <w:uiPriority w:val="0"/>
    <w:pPr>
      <w:spacing w:before="0" w:after="40" w:line="259" w:lineRule="auto"/>
    </w:pPr>
    <w:rPr>
      <w:rFonts w:ascii="Aptos" w:hAnsi="Aptos" w:eastAsia="Calibri" w:cs="Calibri"/>
      <w:color w:val="556265"/>
      <w:sz w:val="16"/>
      <w:szCs w:val="21"/>
      <w:lang w:val="es-ES" w:eastAsia="es-E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Plantilla de la consultora</cp:category>
  <dcterms:created xsi:type="dcterms:W3CDTF">2026-10-28T13:14:53Z</dcterms:created>
  <dc:creator>Oficina de Proyectos · Taracea</dc:creator>
  <dc:description>Versión elaborada sobre la plantilla EDT_v4(1) de Taracea.</dc:description>
  <cp:keywords>plantilla</cp:keywords>
  <cp:lastModifiedBy>EMILIO METRO ALVAREZ</cp:lastModifiedBy>
  <dcterms:modified xsi:type="dcterms:W3CDTF">2026-10-28T13:18:23Z</dcterms:modified>
  <dc:subject>Estructura de desglose del trabajo</dc:subject>
  <dc:title>EDT · TuSuper en línea · TSL-2627 · v1.5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7452D84B63B5494A976B49007632A669_12</vt:lpwstr>
  </property>
</Properties>
</file>