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D36F9F" w14:paraId="40DA2CA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2F17200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534D98E" w14:textId="5ECCF021" w:rsidR="00D36F9F" w:rsidRDefault="00176DB2">
            <w:pPr>
              <w:rPr>
                <w:sz w:val="19"/>
                <w:szCs w:val="19"/>
              </w:rPr>
            </w:pPr>
            <w:proofErr w:type="spellStart"/>
            <w:r>
              <w:rPr>
                <w:rFonts w:ascii="Arial" w:hAnsi="Arial"/>
                <w:sz w:val="18"/>
              </w:rPr>
              <w:t>TuSuper</w:t>
            </w:r>
            <w:proofErr w:type="spellEnd"/>
            <w:r>
              <w:rPr>
                <w:rFonts w:ascii="Arial" w:hAnsi="Arial"/>
                <w:sz w:val="18"/>
              </w:rPr>
              <w:t xml:space="preserve">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78ADFB8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25B58C75" w14:textId="1F0B3390" w:rsidR="00D36F9F" w:rsidRDefault="00176DB2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sz w:val="18"/>
              </w:rPr>
              <w:t>TSL-2627</w:t>
            </w:r>
          </w:p>
        </w:tc>
      </w:tr>
      <w:tr w:rsidR="00D36F9F" w14:paraId="26BA9E8E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0CF0262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73F4D9C5" w14:textId="69DB7A43" w:rsidR="00D36F9F" w:rsidRDefault="00176DB2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3534378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7C501175" w14:textId="027C4E56" w:rsidR="00D36F9F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Lista de actividades · </w:t>
            </w:r>
            <w:r>
              <w:rPr>
                <w:color w:val="808080"/>
                <w:sz w:val="19"/>
                <w:szCs w:val="19"/>
              </w:rPr>
              <w:t>v</w:t>
            </w:r>
            <w:r w:rsidR="00176DB2">
              <w:rPr>
                <w:color w:val="808080"/>
                <w:sz w:val="19"/>
                <w:szCs w:val="19"/>
              </w:rPr>
              <w:t>1</w:t>
            </w:r>
            <w:r>
              <w:rPr>
                <w:color w:val="808080"/>
                <w:sz w:val="19"/>
                <w:szCs w:val="19"/>
              </w:rPr>
              <w:t>.</w:t>
            </w:r>
            <w:r w:rsidR="00176DB2">
              <w:rPr>
                <w:color w:val="808080"/>
                <w:sz w:val="19"/>
                <w:szCs w:val="19"/>
              </w:rPr>
              <w:t>0</w:t>
            </w:r>
          </w:p>
        </w:tc>
      </w:tr>
      <w:tr w:rsidR="00D36F9F" w14:paraId="7580063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0617A8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16A6C884" w14:textId="5399B802" w:rsidR="00D36F9F" w:rsidRDefault="00176DB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17673544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6D7325D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Director del proyecto</w:t>
            </w:r>
          </w:p>
        </w:tc>
      </w:tr>
      <w:tr w:rsidR="00D36F9F" w14:paraId="05FC0757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B7B6D15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59149745" w14:textId="24D17AD9" w:rsidR="00D36F9F" w:rsidRDefault="00176DB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Francisco José Pérez Jiménez</w:t>
            </w:r>
          </w:p>
        </w:tc>
      </w:tr>
    </w:tbl>
    <w:p w14:paraId="30B23CD8" w14:textId="77777777" w:rsidR="00D36F9F" w:rsidRDefault="00D36F9F">
      <w:pPr>
        <w:spacing w:after="0"/>
        <w:rPr>
          <w:sz w:val="12"/>
          <w:szCs w:val="12"/>
        </w:rPr>
      </w:pPr>
    </w:p>
    <w:p w14:paraId="40D4F2B3" w14:textId="77777777" w:rsidR="00D36F9F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D36F9F" w14:paraId="588D8B20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446F9AC3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08910D9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3FC3697E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46B2E87B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D36F9F" w14:paraId="32DE57CC" w14:textId="77777777">
        <w:trPr>
          <w:cantSplit/>
          <w:trHeight w:val="340"/>
        </w:trPr>
        <w:tc>
          <w:tcPr>
            <w:tcW w:w="1247" w:type="dxa"/>
          </w:tcPr>
          <w:p w14:paraId="491F3FAA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v1.0</w:t>
            </w:r>
          </w:p>
        </w:tc>
        <w:tc>
          <w:tcPr>
            <w:tcW w:w="1587" w:type="dxa"/>
          </w:tcPr>
          <w:p w14:paraId="4EDA2BF5" w14:textId="343FF581" w:rsidR="00D36F9F" w:rsidRDefault="00176DB2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23/10/2026</w:t>
            </w:r>
          </w:p>
        </w:tc>
        <w:tc>
          <w:tcPr>
            <w:tcW w:w="3118" w:type="dxa"/>
          </w:tcPr>
          <w:p w14:paraId="22D52F9F" w14:textId="4493711E" w:rsidR="00D36F9F" w:rsidRDefault="00176DB2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FJPJ</w:t>
            </w:r>
          </w:p>
        </w:tc>
        <w:tc>
          <w:tcPr>
            <w:tcW w:w="8618" w:type="dxa"/>
          </w:tcPr>
          <w:p w14:paraId="6790A387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i/>
                <w:color w:val="808080"/>
                <w:sz w:val="19"/>
                <w:szCs w:val="19"/>
              </w:rPr>
              <w:t>Primera versión del documento</w:t>
            </w:r>
          </w:p>
        </w:tc>
      </w:tr>
      <w:tr w:rsidR="00D36F9F" w14:paraId="2201BB5C" w14:textId="77777777">
        <w:trPr>
          <w:cantSplit/>
          <w:trHeight w:val="340"/>
        </w:trPr>
        <w:tc>
          <w:tcPr>
            <w:tcW w:w="1247" w:type="dxa"/>
          </w:tcPr>
          <w:p w14:paraId="16DAFA37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9BDBFEF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2F791741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537DF3E0" w14:textId="77777777" w:rsidR="00D36F9F" w:rsidRDefault="00D36F9F">
            <w:pPr>
              <w:rPr>
                <w:sz w:val="19"/>
                <w:szCs w:val="19"/>
              </w:rPr>
            </w:pPr>
          </w:p>
        </w:tc>
      </w:tr>
      <w:tr w:rsidR="00D36F9F" w14:paraId="30EC3882" w14:textId="77777777">
        <w:trPr>
          <w:cantSplit/>
          <w:trHeight w:val="340"/>
        </w:trPr>
        <w:tc>
          <w:tcPr>
            <w:tcW w:w="1247" w:type="dxa"/>
          </w:tcPr>
          <w:p w14:paraId="377D69E0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1587" w:type="dxa"/>
          </w:tcPr>
          <w:p w14:paraId="61538BB7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3118" w:type="dxa"/>
          </w:tcPr>
          <w:p w14:paraId="5D23E769" w14:textId="77777777" w:rsidR="00D36F9F" w:rsidRDefault="00D36F9F">
            <w:pPr>
              <w:rPr>
                <w:sz w:val="19"/>
                <w:szCs w:val="19"/>
              </w:rPr>
            </w:pPr>
          </w:p>
        </w:tc>
        <w:tc>
          <w:tcPr>
            <w:tcW w:w="8618" w:type="dxa"/>
          </w:tcPr>
          <w:p w14:paraId="4571919E" w14:textId="77777777" w:rsidR="00D36F9F" w:rsidRDefault="00D36F9F">
            <w:pPr>
              <w:rPr>
                <w:sz w:val="19"/>
                <w:szCs w:val="19"/>
              </w:rPr>
            </w:pPr>
          </w:p>
        </w:tc>
      </w:tr>
    </w:tbl>
    <w:p w14:paraId="7140B275" w14:textId="77777777" w:rsidR="00D36F9F" w:rsidRDefault="00D36F9F">
      <w:pPr>
        <w:spacing w:after="0"/>
        <w:rPr>
          <w:sz w:val="12"/>
          <w:szCs w:val="12"/>
        </w:rPr>
      </w:pPr>
    </w:p>
    <w:tbl>
      <w:tblPr>
        <w:tblStyle w:val="TableGrid"/>
        <w:tblW w:w="14570" w:type="dxa"/>
        <w:tblBorders>
          <w:top w:val="single" w:sz="4" w:space="0" w:color="A7C0C5"/>
          <w:left w:val="single" w:sz="4" w:space="0" w:color="A7C0C5"/>
          <w:bottom w:val="single" w:sz="4" w:space="0" w:color="A7C0C5"/>
          <w:right w:val="single" w:sz="4" w:space="0" w:color="A7C0C5"/>
          <w:insideH w:val="single" w:sz="4" w:space="0" w:color="A7C0C5"/>
          <w:insideV w:val="single" w:sz="4" w:space="0" w:color="A7C0C5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D36F9F" w14:paraId="79DEC47F" w14:textId="77777777">
        <w:trPr>
          <w:cantSplit/>
          <w:tblHeader/>
        </w:trPr>
        <w:tc>
          <w:tcPr>
            <w:tcW w:w="14570" w:type="dxa"/>
            <w:gridSpan w:val="2"/>
            <w:shd w:val="clear" w:color="auto" w:fill="E3ECEE"/>
          </w:tcPr>
          <w:p w14:paraId="5A0B2D89" w14:textId="77777777" w:rsidR="00D36F9F" w:rsidRDefault="00000000">
            <w:pPr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CÓMO SE RELLENAN LA CABECERA Y EL HISTÓRICO</w:t>
            </w:r>
            <w:r>
              <w:rPr>
                <w:i/>
                <w:sz w:val="19"/>
                <w:szCs w:val="19"/>
              </w:rPr>
              <w:t xml:space="preserve">   Recuadro de ayuda: puede borrarse antes de entregar.</w:t>
            </w:r>
          </w:p>
        </w:tc>
      </w:tr>
      <w:tr w:rsidR="00D36F9F" w14:paraId="0B43DB3B" w14:textId="77777777">
        <w:trPr>
          <w:cantSplit/>
        </w:trPr>
        <w:tc>
          <w:tcPr>
            <w:tcW w:w="2948" w:type="dxa"/>
            <w:shd w:val="clear" w:color="auto" w:fill="F4F7F8"/>
          </w:tcPr>
          <w:p w14:paraId="72253345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Proyecto y código del proyecto</w:t>
            </w:r>
          </w:p>
        </w:tc>
        <w:tc>
          <w:tcPr>
            <w:tcW w:w="11622" w:type="dxa"/>
            <w:shd w:val="clear" w:color="auto" w:fill="F4F7F8"/>
          </w:tcPr>
          <w:p w14:paraId="182CD714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nombre y el código del proyecto, tal como los fija su acta de constitución. Se escriben igual en todos los documentos del proyecto.</w:t>
            </w:r>
          </w:p>
        </w:tc>
      </w:tr>
      <w:tr w:rsidR="00D36F9F" w14:paraId="547F14CF" w14:textId="77777777">
        <w:trPr>
          <w:cantSplit/>
        </w:trPr>
        <w:tc>
          <w:tcPr>
            <w:tcW w:w="2948" w:type="dxa"/>
            <w:shd w:val="clear" w:color="auto" w:fill="F4F7F8"/>
          </w:tcPr>
          <w:p w14:paraId="453E2C6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Grupo</w:t>
            </w:r>
          </w:p>
        </w:tc>
        <w:tc>
          <w:tcPr>
            <w:tcW w:w="11622" w:type="dxa"/>
            <w:shd w:val="clear" w:color="auto" w:fill="F4F7F8"/>
          </w:tcPr>
          <w:p w14:paraId="7D3AD15F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grupo, escrito tal como figura en la carpeta del proyecto.</w:t>
            </w:r>
          </w:p>
        </w:tc>
      </w:tr>
      <w:tr w:rsidR="00D36F9F" w14:paraId="32E99B9B" w14:textId="77777777">
        <w:trPr>
          <w:cantSplit/>
        </w:trPr>
        <w:tc>
          <w:tcPr>
            <w:tcW w:w="2948" w:type="dxa"/>
            <w:shd w:val="clear" w:color="auto" w:fill="F4F7F8"/>
          </w:tcPr>
          <w:p w14:paraId="2A4E273C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Documento y versión</w:t>
            </w:r>
          </w:p>
        </w:tc>
        <w:tc>
          <w:tcPr>
            <w:tcW w:w="11622" w:type="dxa"/>
            <w:shd w:val="clear" w:color="auto" w:fill="F4F7F8"/>
          </w:tcPr>
          <w:p w14:paraId="13440111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El nombre del documento ya está puesto y solo hay que cambiar </w:t>
            </w:r>
            <w:proofErr w:type="spellStart"/>
            <w:proofErr w:type="gramStart"/>
            <w:r>
              <w:rPr>
                <w:sz w:val="18"/>
                <w:szCs w:val="18"/>
              </w:rPr>
              <w:t>vX.Y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por la versión. La primera que se sube a la carpeta del proyecto es la v1.0, y cada versión con cambios aumenta el segundo número (v1.1, v1.2…), como fija el plan de configuración genérico de la consultora (TC-OP-CFG, apartado 4). La versión que figura en el nombre de esta plantilla es la de la plantilla y no cuenta.</w:t>
            </w:r>
          </w:p>
        </w:tc>
      </w:tr>
      <w:tr w:rsidR="00D36F9F" w14:paraId="1A986007" w14:textId="77777777">
        <w:trPr>
          <w:cantSplit/>
        </w:trPr>
        <w:tc>
          <w:tcPr>
            <w:tcW w:w="2948" w:type="dxa"/>
            <w:shd w:val="clear" w:color="auto" w:fill="F4F7F8"/>
          </w:tcPr>
          <w:p w14:paraId="47034626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Fecha de elaboración</w:t>
            </w:r>
          </w:p>
        </w:tc>
        <w:tc>
          <w:tcPr>
            <w:tcW w:w="11622" w:type="dxa"/>
            <w:shd w:val="clear" w:color="auto" w:fill="F4F7F8"/>
          </w:tcPr>
          <w:p w14:paraId="63A70C86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día en que se cierra esta versión (</w:t>
            </w:r>
            <w:proofErr w:type="spellStart"/>
            <w:r>
              <w:rPr>
                <w:sz w:val="18"/>
                <w:szCs w:val="18"/>
              </w:rPr>
              <w:t>dd</w:t>
            </w:r>
            <w:proofErr w:type="spellEnd"/>
            <w:r>
              <w:rPr>
                <w:sz w:val="18"/>
                <w:szCs w:val="18"/>
              </w:rPr>
              <w:t>/mm/</w:t>
            </w:r>
            <w:proofErr w:type="spellStart"/>
            <w:r>
              <w:rPr>
                <w:sz w:val="18"/>
                <w:szCs w:val="18"/>
              </w:rPr>
              <w:t>aaaa</w:t>
            </w:r>
            <w:proofErr w:type="spellEnd"/>
            <w:r>
              <w:rPr>
                <w:sz w:val="18"/>
                <w:szCs w:val="18"/>
              </w:rPr>
              <w:t>). Aquí no se usan semanas del proyecto.</w:t>
            </w:r>
          </w:p>
        </w:tc>
      </w:tr>
      <w:tr w:rsidR="00D36F9F" w14:paraId="2F8B8265" w14:textId="77777777">
        <w:trPr>
          <w:cantSplit/>
        </w:trPr>
        <w:tc>
          <w:tcPr>
            <w:tcW w:w="2948" w:type="dxa"/>
            <w:shd w:val="clear" w:color="auto" w:fill="F4F7F8"/>
          </w:tcPr>
          <w:p w14:paraId="62A89CDF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Elaborado por</w:t>
            </w:r>
          </w:p>
        </w:tc>
        <w:tc>
          <w:tcPr>
            <w:tcW w:w="11622" w:type="dxa"/>
            <w:shd w:val="clear" w:color="auto" w:fill="F4F7F8"/>
          </w:tcPr>
          <w:p w14:paraId="7996F6E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Quienes han redactado esta versión, con su nombre y su papel en el grupo.</w:t>
            </w:r>
          </w:p>
        </w:tc>
      </w:tr>
      <w:tr w:rsidR="00D36F9F" w14:paraId="1EE13575" w14:textId="77777777">
        <w:trPr>
          <w:cantSplit/>
        </w:trPr>
        <w:tc>
          <w:tcPr>
            <w:tcW w:w="2948" w:type="dxa"/>
            <w:shd w:val="clear" w:color="auto" w:fill="F4F7F8"/>
          </w:tcPr>
          <w:p w14:paraId="16161B42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Aprobado por</w:t>
            </w:r>
          </w:p>
        </w:tc>
        <w:tc>
          <w:tcPr>
            <w:tcW w:w="11622" w:type="dxa"/>
            <w:shd w:val="clear" w:color="auto" w:fill="F4F7F8"/>
          </w:tcPr>
          <w:p w14:paraId="69208027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director del proyecto, que da por terminada cada versión antes de entregarla. Ya viene escrito. El plan de dirección y sus líneas base los aprueba el patrocinador.</w:t>
            </w:r>
          </w:p>
        </w:tc>
      </w:tr>
      <w:tr w:rsidR="00D36F9F" w14:paraId="47012EF7" w14:textId="77777777">
        <w:trPr>
          <w:cantSplit/>
        </w:trPr>
        <w:tc>
          <w:tcPr>
            <w:tcW w:w="2948" w:type="dxa"/>
            <w:shd w:val="clear" w:color="auto" w:fill="F4F7F8"/>
          </w:tcPr>
          <w:p w14:paraId="40CC8273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b/>
                <w:color w:val="1F4E5A"/>
                <w:sz w:val="18"/>
                <w:szCs w:val="18"/>
              </w:rPr>
              <w:t>Histórico de modificaciones</w:t>
            </w:r>
          </w:p>
        </w:tc>
        <w:tc>
          <w:tcPr>
            <w:tcW w:w="11622" w:type="dxa"/>
            <w:shd w:val="clear" w:color="auto" w:fill="F4F7F8"/>
          </w:tcPr>
          <w:p w14:paraId="00B5516B" w14:textId="77777777" w:rsidR="00D36F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 fila por versión, con la más reciente al final; las anteriores no se borran. La descripción cuenta qué cambió y por qué, por ejemplo: “Se añaden las actividades de las pruebas de aceptación”. Cada versión se sube a la carpeta del proyecto con la versión y la fecha en el nombre del fichero: “Lista_de_actividades_v1.1_aaaa-mm-dd.docx”.</w:t>
            </w:r>
          </w:p>
        </w:tc>
      </w:tr>
    </w:tbl>
    <w:p w14:paraId="1373A34F" w14:textId="77777777" w:rsidR="00D36F9F" w:rsidRDefault="00D36F9F">
      <w:pPr>
        <w:spacing w:after="0"/>
        <w:rPr>
          <w:sz w:val="12"/>
          <w:szCs w:val="12"/>
        </w:rPr>
      </w:pPr>
    </w:p>
    <w:tbl>
      <w:tblPr>
        <w:tblStyle w:val="TableGrid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70"/>
        <w:gridCol w:w="7235"/>
        <w:gridCol w:w="1478"/>
        <w:gridCol w:w="1155"/>
        <w:gridCol w:w="923"/>
      </w:tblGrid>
      <w:tr w:rsidR="00842FED" w14:paraId="6A3807DD" w14:textId="77777777" w:rsidTr="00D912EC">
        <w:trPr>
          <w:cantSplit/>
          <w:tblHeader/>
        </w:trPr>
        <w:tc>
          <w:tcPr>
            <w:tcW w:w="709" w:type="dxa"/>
            <w:shd w:val="clear" w:color="auto" w:fill="DCE6E8"/>
            <w:vAlign w:val="center"/>
          </w:tcPr>
          <w:p w14:paraId="564CCA04" w14:textId="77777777" w:rsidR="00842FED" w:rsidRDefault="00842FED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</w:t>
            </w:r>
            <w:r w:rsidR="003F0E6E">
              <w:rPr>
                <w:b/>
                <w:color w:val="1F4E5A"/>
                <w:sz w:val="19"/>
                <w:szCs w:val="19"/>
              </w:rPr>
              <w:t>D</w:t>
            </w:r>
          </w:p>
        </w:tc>
        <w:tc>
          <w:tcPr>
            <w:tcW w:w="3070" w:type="dxa"/>
            <w:shd w:val="clear" w:color="auto" w:fill="DCE6E8"/>
            <w:vAlign w:val="center"/>
          </w:tcPr>
          <w:p w14:paraId="5AEEDDC2" w14:textId="77777777" w:rsidR="00842FED" w:rsidRDefault="004030C5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NOMBRE</w:t>
            </w:r>
          </w:p>
        </w:tc>
        <w:tc>
          <w:tcPr>
            <w:tcW w:w="7235" w:type="dxa"/>
            <w:shd w:val="clear" w:color="auto" w:fill="DCE6E8"/>
            <w:vAlign w:val="center"/>
          </w:tcPr>
          <w:p w14:paraId="18BE414F" w14:textId="77777777" w:rsidR="00842FED" w:rsidRDefault="001E61D4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DESCRIPCIÓN</w:t>
            </w:r>
          </w:p>
        </w:tc>
        <w:tc>
          <w:tcPr>
            <w:tcW w:w="1478" w:type="dxa"/>
            <w:shd w:val="clear" w:color="auto" w:fill="DCE6E8"/>
            <w:vAlign w:val="center"/>
          </w:tcPr>
          <w:p w14:paraId="55DC2168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ID PAQUETE DE TRABAJO</w:t>
            </w:r>
          </w:p>
        </w:tc>
        <w:tc>
          <w:tcPr>
            <w:tcW w:w="1155" w:type="dxa"/>
            <w:shd w:val="clear" w:color="auto" w:fill="DCE6E8"/>
            <w:vAlign w:val="center"/>
          </w:tcPr>
          <w:p w14:paraId="78FA64F9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ELEMENTO</w:t>
            </w:r>
          </w:p>
        </w:tc>
        <w:tc>
          <w:tcPr>
            <w:tcW w:w="923" w:type="dxa"/>
            <w:shd w:val="clear" w:color="auto" w:fill="DCE6E8"/>
            <w:vAlign w:val="center"/>
          </w:tcPr>
          <w:p w14:paraId="3900AEA0" w14:textId="77777777" w:rsidR="00842FED" w:rsidRDefault="00D912EC" w:rsidP="00BD4FA7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ESTADO</w:t>
            </w:r>
          </w:p>
        </w:tc>
      </w:tr>
      <w:tr w:rsidR="0068408E" w14:paraId="24E97C12" w14:textId="77777777" w:rsidTr="00A56D02">
        <w:trPr>
          <w:cantSplit/>
        </w:trPr>
        <w:tc>
          <w:tcPr>
            <w:tcW w:w="709" w:type="dxa"/>
            <w:vAlign w:val="center"/>
          </w:tcPr>
          <w:p w14:paraId="02929E07" w14:textId="437C1579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ACT-01</w:t>
            </w:r>
          </w:p>
        </w:tc>
        <w:tc>
          <w:tcPr>
            <w:tcW w:w="3070" w:type="dxa"/>
            <w:vAlign w:val="center"/>
          </w:tcPr>
          <w:p w14:paraId="4DC525DE" w14:textId="0A50A57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de la planificación</w:t>
            </w:r>
          </w:p>
        </w:tc>
        <w:tc>
          <w:tcPr>
            <w:tcW w:w="7235" w:type="dxa"/>
            <w:vAlign w:val="center"/>
          </w:tcPr>
          <w:p w14:paraId="1F4A9FC0" w14:textId="52E980C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global de la fase de planificación, coordinación del equipo de expertos y elaboración del Plan de Dirección y Líneas Base.</w:t>
            </w:r>
          </w:p>
        </w:tc>
        <w:tc>
          <w:tcPr>
            <w:tcW w:w="1478" w:type="dxa"/>
            <w:vAlign w:val="center"/>
          </w:tcPr>
          <w:p w14:paraId="0CDF5B06" w14:textId="62FE405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1.1.1</w:t>
            </w:r>
          </w:p>
        </w:tc>
        <w:tc>
          <w:tcPr>
            <w:tcW w:w="1155" w:type="dxa"/>
            <w:vAlign w:val="center"/>
          </w:tcPr>
          <w:p w14:paraId="6FB3B996" w14:textId="4EF8031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CE3A979" w14:textId="1B9BFC0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0845C31" w14:textId="77777777" w:rsidTr="00E41DE1">
        <w:trPr>
          <w:cantSplit/>
        </w:trPr>
        <w:tc>
          <w:tcPr>
            <w:tcW w:w="709" w:type="dxa"/>
            <w:vAlign w:val="center"/>
          </w:tcPr>
          <w:p w14:paraId="2C4994B5" w14:textId="6B165B3E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ACT-02</w:t>
            </w:r>
          </w:p>
        </w:tc>
        <w:tc>
          <w:tcPr>
            <w:tcW w:w="3070" w:type="dxa"/>
            <w:vAlign w:val="center"/>
          </w:tcPr>
          <w:p w14:paraId="1DDAB940" w14:textId="53B7400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1</w:t>
            </w:r>
          </w:p>
        </w:tc>
        <w:tc>
          <w:tcPr>
            <w:tcW w:w="7235" w:type="dxa"/>
            <w:vAlign w:val="center"/>
          </w:tcPr>
          <w:p w14:paraId="6B018964" w14:textId="3820129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1, seguimiento diario, eliminación de impedimentos y revisión/retrospectiva con el cliente.</w:t>
            </w:r>
          </w:p>
        </w:tc>
        <w:tc>
          <w:tcPr>
            <w:tcW w:w="1478" w:type="dxa"/>
            <w:vAlign w:val="center"/>
          </w:tcPr>
          <w:p w14:paraId="3500A38F" w14:textId="4176716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1.1.2</w:t>
            </w:r>
          </w:p>
        </w:tc>
        <w:tc>
          <w:tcPr>
            <w:tcW w:w="1155" w:type="dxa"/>
            <w:vAlign w:val="center"/>
          </w:tcPr>
          <w:p w14:paraId="748F83E1" w14:textId="77E9D6A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0C35443" w14:textId="60DDD5F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C26D78E" w14:textId="77777777" w:rsidTr="00E41DE1">
        <w:trPr>
          <w:cantSplit/>
        </w:trPr>
        <w:tc>
          <w:tcPr>
            <w:tcW w:w="709" w:type="dxa"/>
            <w:vAlign w:val="center"/>
          </w:tcPr>
          <w:p w14:paraId="10D19314" w14:textId="3966F94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ACT-03</w:t>
            </w:r>
          </w:p>
        </w:tc>
        <w:tc>
          <w:tcPr>
            <w:tcW w:w="3070" w:type="dxa"/>
            <w:vAlign w:val="center"/>
          </w:tcPr>
          <w:p w14:paraId="5304207C" w14:textId="3E76766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2</w:t>
            </w:r>
          </w:p>
        </w:tc>
        <w:tc>
          <w:tcPr>
            <w:tcW w:w="7235" w:type="dxa"/>
            <w:vAlign w:val="center"/>
          </w:tcPr>
          <w:p w14:paraId="605F140E" w14:textId="61AA3F0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2,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3A914337" w14:textId="5B413DB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1.1.3</w:t>
            </w:r>
          </w:p>
        </w:tc>
        <w:tc>
          <w:tcPr>
            <w:tcW w:w="1155" w:type="dxa"/>
            <w:vAlign w:val="center"/>
          </w:tcPr>
          <w:p w14:paraId="71CC5E8F" w14:textId="70EA9D6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8547C06" w14:textId="73A6650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9027B0D" w14:textId="77777777" w:rsidTr="00E41DE1">
        <w:trPr>
          <w:cantSplit/>
        </w:trPr>
        <w:tc>
          <w:tcPr>
            <w:tcW w:w="709" w:type="dxa"/>
            <w:vAlign w:val="center"/>
          </w:tcPr>
          <w:p w14:paraId="29285993" w14:textId="517E458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ACT-04</w:t>
            </w:r>
          </w:p>
        </w:tc>
        <w:tc>
          <w:tcPr>
            <w:tcW w:w="3070" w:type="dxa"/>
            <w:vAlign w:val="center"/>
          </w:tcPr>
          <w:p w14:paraId="0C0120F7" w14:textId="743F699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3</w:t>
            </w:r>
          </w:p>
        </w:tc>
        <w:tc>
          <w:tcPr>
            <w:tcW w:w="7235" w:type="dxa"/>
            <w:vAlign w:val="center"/>
          </w:tcPr>
          <w:p w14:paraId="225A5EED" w14:textId="3FC1F21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3,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7FF8709A" w14:textId="0E710D2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1.1.4</w:t>
            </w:r>
          </w:p>
        </w:tc>
        <w:tc>
          <w:tcPr>
            <w:tcW w:w="1155" w:type="dxa"/>
            <w:vAlign w:val="center"/>
          </w:tcPr>
          <w:p w14:paraId="7904C139" w14:textId="2211B4B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6759C85" w14:textId="1C4E580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E9E319C" w14:textId="77777777" w:rsidTr="00E41DE1">
        <w:trPr>
          <w:cantSplit/>
        </w:trPr>
        <w:tc>
          <w:tcPr>
            <w:tcW w:w="709" w:type="dxa"/>
            <w:vAlign w:val="center"/>
          </w:tcPr>
          <w:p w14:paraId="5F37684E" w14:textId="0494AB77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ACT-05</w:t>
            </w:r>
          </w:p>
        </w:tc>
        <w:tc>
          <w:tcPr>
            <w:tcW w:w="3070" w:type="dxa"/>
            <w:vAlign w:val="center"/>
          </w:tcPr>
          <w:p w14:paraId="6BA95638" w14:textId="5682A54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4</w:t>
            </w:r>
          </w:p>
        </w:tc>
        <w:tc>
          <w:tcPr>
            <w:tcW w:w="7235" w:type="dxa"/>
            <w:vAlign w:val="center"/>
          </w:tcPr>
          <w:p w14:paraId="5A5D9309" w14:textId="6D0CA09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4,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52DEA14D" w14:textId="18789E7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1.1.5</w:t>
            </w:r>
          </w:p>
        </w:tc>
        <w:tc>
          <w:tcPr>
            <w:tcW w:w="1155" w:type="dxa"/>
            <w:vAlign w:val="center"/>
          </w:tcPr>
          <w:p w14:paraId="41DEE96E" w14:textId="6664E3B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1FADEE5D" w14:textId="4781008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680B7E5" w14:textId="77777777" w:rsidTr="00317C94">
        <w:trPr>
          <w:cantSplit/>
        </w:trPr>
        <w:tc>
          <w:tcPr>
            <w:tcW w:w="709" w:type="dxa"/>
            <w:vAlign w:val="center"/>
          </w:tcPr>
          <w:p w14:paraId="45E226FB" w14:textId="0B11E45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ACT-06</w:t>
            </w:r>
          </w:p>
        </w:tc>
        <w:tc>
          <w:tcPr>
            <w:tcW w:w="3070" w:type="dxa"/>
            <w:vAlign w:val="center"/>
          </w:tcPr>
          <w:p w14:paraId="0FFE4806" w14:textId="4870B37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5</w:t>
            </w:r>
          </w:p>
        </w:tc>
        <w:tc>
          <w:tcPr>
            <w:tcW w:w="7235" w:type="dxa"/>
            <w:vAlign w:val="center"/>
          </w:tcPr>
          <w:p w14:paraId="291DC3AE" w14:textId="26A0E2D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5, seguimiento diario y revisión/retrospectiva con el cliente.</w:t>
            </w:r>
          </w:p>
        </w:tc>
        <w:tc>
          <w:tcPr>
            <w:tcW w:w="1478" w:type="dxa"/>
            <w:vAlign w:val="center"/>
          </w:tcPr>
          <w:p w14:paraId="75E8B835" w14:textId="052B6EC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1.1.6</w:t>
            </w:r>
          </w:p>
        </w:tc>
        <w:tc>
          <w:tcPr>
            <w:tcW w:w="1155" w:type="dxa"/>
            <w:vAlign w:val="center"/>
          </w:tcPr>
          <w:p w14:paraId="7BEFCCD3" w14:textId="6E45C13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3991B95B" w14:textId="0512AE5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74AC931" w14:textId="77777777" w:rsidTr="00317C94">
        <w:trPr>
          <w:cantSplit/>
        </w:trPr>
        <w:tc>
          <w:tcPr>
            <w:tcW w:w="709" w:type="dxa"/>
            <w:vAlign w:val="center"/>
          </w:tcPr>
          <w:p w14:paraId="331B8BE2" w14:textId="38B79C45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ACT-07</w:t>
            </w:r>
          </w:p>
        </w:tc>
        <w:tc>
          <w:tcPr>
            <w:tcW w:w="3070" w:type="dxa"/>
            <w:vAlign w:val="center"/>
          </w:tcPr>
          <w:p w14:paraId="42D21FB7" w14:textId="76F2DA4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Dirección y control del Sprint 6</w:t>
            </w:r>
          </w:p>
        </w:tc>
        <w:tc>
          <w:tcPr>
            <w:tcW w:w="7235" w:type="dxa"/>
            <w:vAlign w:val="center"/>
          </w:tcPr>
          <w:p w14:paraId="12177551" w14:textId="5DACE67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de la ejecución del Sprint 6, seguimiento diario y preparación del paso a producción.</w:t>
            </w:r>
          </w:p>
        </w:tc>
        <w:tc>
          <w:tcPr>
            <w:tcW w:w="1478" w:type="dxa"/>
            <w:vAlign w:val="center"/>
          </w:tcPr>
          <w:p w14:paraId="28FC62FE" w14:textId="4D12CCE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1.1.7</w:t>
            </w:r>
          </w:p>
        </w:tc>
        <w:tc>
          <w:tcPr>
            <w:tcW w:w="1155" w:type="dxa"/>
            <w:vAlign w:val="center"/>
          </w:tcPr>
          <w:p w14:paraId="756E7772" w14:textId="654CB4E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29E95411" w14:textId="4AC4F81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A7ABF69" w14:textId="77777777" w:rsidTr="00317C94">
        <w:trPr>
          <w:cantSplit/>
        </w:trPr>
        <w:tc>
          <w:tcPr>
            <w:tcW w:w="709" w:type="dxa"/>
            <w:vAlign w:val="center"/>
          </w:tcPr>
          <w:p w14:paraId="0B1565C6" w14:textId="016E0244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ACT-08</w:t>
            </w:r>
          </w:p>
        </w:tc>
        <w:tc>
          <w:tcPr>
            <w:tcW w:w="3070" w:type="dxa"/>
            <w:vAlign w:val="center"/>
          </w:tcPr>
          <w:p w14:paraId="4EEE11E7" w14:textId="7459ACD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Cierre formal y liquidación</w:t>
            </w:r>
          </w:p>
        </w:tc>
        <w:tc>
          <w:tcPr>
            <w:tcW w:w="7235" w:type="dxa"/>
            <w:vAlign w:val="center"/>
          </w:tcPr>
          <w:p w14:paraId="1E31B4DE" w14:textId="2F49830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del informe de cierre, balance de líneas base, registro de lecciones aprendidas y liberación del personal.</w:t>
            </w:r>
          </w:p>
        </w:tc>
        <w:tc>
          <w:tcPr>
            <w:tcW w:w="1478" w:type="dxa"/>
            <w:vAlign w:val="center"/>
          </w:tcPr>
          <w:p w14:paraId="73F47C57" w14:textId="3234D31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1.1.8</w:t>
            </w:r>
          </w:p>
        </w:tc>
        <w:tc>
          <w:tcPr>
            <w:tcW w:w="1155" w:type="dxa"/>
            <w:vAlign w:val="center"/>
          </w:tcPr>
          <w:p w14:paraId="055311B1" w14:textId="2F93565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EDA5EFC" w14:textId="42638BB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12FAF741" w14:textId="77777777" w:rsidTr="00317C94">
        <w:trPr>
          <w:cantSplit/>
        </w:trPr>
        <w:tc>
          <w:tcPr>
            <w:tcW w:w="709" w:type="dxa"/>
            <w:vAlign w:val="center"/>
          </w:tcPr>
          <w:p w14:paraId="520E257D" w14:textId="7FF4A67A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ACT-09</w:t>
            </w:r>
          </w:p>
        </w:tc>
        <w:tc>
          <w:tcPr>
            <w:tcW w:w="3070" w:type="dxa"/>
            <w:vAlign w:val="center"/>
          </w:tcPr>
          <w:p w14:paraId="03C1207A" w14:textId="67A387D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Traspaso al servicio de mantenimiento</w:t>
            </w:r>
          </w:p>
        </w:tc>
        <w:tc>
          <w:tcPr>
            <w:tcW w:w="7235" w:type="dxa"/>
            <w:vAlign w:val="center"/>
          </w:tcPr>
          <w:p w14:paraId="2307A9A9" w14:textId="079EFDC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Traspaso del repositorio, configuración, relación de defectos abiertos y provisión para la garantía.</w:t>
            </w:r>
          </w:p>
        </w:tc>
        <w:tc>
          <w:tcPr>
            <w:tcW w:w="1478" w:type="dxa"/>
            <w:vAlign w:val="center"/>
          </w:tcPr>
          <w:p w14:paraId="78047ADA" w14:textId="797A776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1.1.9</w:t>
            </w:r>
          </w:p>
        </w:tc>
        <w:tc>
          <w:tcPr>
            <w:tcW w:w="1155" w:type="dxa"/>
            <w:vAlign w:val="center"/>
          </w:tcPr>
          <w:p w14:paraId="5EEA01D1" w14:textId="6A42DE5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52549C3F" w14:textId="2259880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BA73EC6" w14:textId="77777777" w:rsidTr="001E623F">
        <w:trPr>
          <w:cantSplit/>
        </w:trPr>
        <w:tc>
          <w:tcPr>
            <w:tcW w:w="709" w:type="dxa"/>
            <w:vAlign w:val="center"/>
          </w:tcPr>
          <w:p w14:paraId="40EC2E56" w14:textId="5306D86E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ACT-10</w:t>
            </w:r>
          </w:p>
        </w:tc>
        <w:tc>
          <w:tcPr>
            <w:tcW w:w="3070" w:type="dxa"/>
            <w:vAlign w:val="center"/>
          </w:tcPr>
          <w:p w14:paraId="3FBA7C26" w14:textId="48A9D73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funcional común</w:t>
            </w:r>
          </w:p>
        </w:tc>
        <w:tc>
          <w:tcPr>
            <w:tcW w:w="7235" w:type="dxa"/>
            <w:vAlign w:val="center"/>
          </w:tcPr>
          <w:p w14:paraId="70398EA6" w14:textId="36B332D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Definición de especificaciones funcionales comunes y acuerdos de criterios de aceptación con </w:t>
            </w:r>
            <w:proofErr w:type="spellStart"/>
            <w:r>
              <w:rPr>
                <w:sz w:val="20"/>
                <w:szCs w:val="20"/>
              </w:rPr>
              <w:t>TuSuper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78" w:type="dxa"/>
            <w:vAlign w:val="center"/>
          </w:tcPr>
          <w:p w14:paraId="6B227621" w14:textId="13B29A0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1.2.1.1</w:t>
            </w:r>
          </w:p>
        </w:tc>
        <w:tc>
          <w:tcPr>
            <w:tcW w:w="1155" w:type="dxa"/>
            <w:vAlign w:val="center"/>
          </w:tcPr>
          <w:p w14:paraId="241ACBB2" w14:textId="45CCE22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EP-01</w:t>
            </w:r>
          </w:p>
        </w:tc>
        <w:tc>
          <w:tcPr>
            <w:tcW w:w="923" w:type="dxa"/>
            <w:vAlign w:val="center"/>
          </w:tcPr>
          <w:p w14:paraId="3305414F" w14:textId="600CCE8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233BAD3" w14:textId="77777777" w:rsidTr="001E623F">
        <w:trPr>
          <w:cantSplit/>
        </w:trPr>
        <w:tc>
          <w:tcPr>
            <w:tcW w:w="709" w:type="dxa"/>
            <w:vAlign w:val="center"/>
          </w:tcPr>
          <w:p w14:paraId="0A203249" w14:textId="665CF600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ACT-11</w:t>
            </w:r>
          </w:p>
        </w:tc>
        <w:tc>
          <w:tcPr>
            <w:tcW w:w="3070" w:type="dxa"/>
            <w:vAlign w:val="center"/>
          </w:tcPr>
          <w:p w14:paraId="1035D3D8" w14:textId="175644B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Diseño del sistema de interacción UI/UX</w:t>
            </w:r>
          </w:p>
        </w:tc>
        <w:tc>
          <w:tcPr>
            <w:tcW w:w="7235" w:type="dxa"/>
            <w:vAlign w:val="center"/>
          </w:tcPr>
          <w:p w14:paraId="7C0CB738" w14:textId="63976E8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del sistema de diseño, pautas de interacción, maquetación base y componentes visuales comunes web y móvil.</w:t>
            </w:r>
          </w:p>
        </w:tc>
        <w:tc>
          <w:tcPr>
            <w:tcW w:w="1478" w:type="dxa"/>
            <w:vAlign w:val="center"/>
          </w:tcPr>
          <w:p w14:paraId="0EDDD090" w14:textId="437844E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1.2.1.2</w:t>
            </w:r>
          </w:p>
        </w:tc>
        <w:tc>
          <w:tcPr>
            <w:tcW w:w="1155" w:type="dxa"/>
            <w:vAlign w:val="center"/>
          </w:tcPr>
          <w:p w14:paraId="6E96E978" w14:textId="77F72DA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EP-02</w:t>
            </w:r>
          </w:p>
        </w:tc>
        <w:tc>
          <w:tcPr>
            <w:tcW w:w="923" w:type="dxa"/>
            <w:vAlign w:val="center"/>
          </w:tcPr>
          <w:p w14:paraId="2E879389" w14:textId="60A019B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9D37C6C" w14:textId="77777777" w:rsidTr="001E623F">
        <w:trPr>
          <w:cantSplit/>
        </w:trPr>
        <w:tc>
          <w:tcPr>
            <w:tcW w:w="709" w:type="dxa"/>
            <w:vAlign w:val="center"/>
          </w:tcPr>
          <w:p w14:paraId="3592F224" w14:textId="79067F07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ACT-12</w:t>
            </w:r>
          </w:p>
        </w:tc>
        <w:tc>
          <w:tcPr>
            <w:tcW w:w="3070" w:type="dxa"/>
            <w:vAlign w:val="center"/>
          </w:tcPr>
          <w:p w14:paraId="61601F79" w14:textId="094426A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RF-01</w:t>
            </w:r>
          </w:p>
        </w:tc>
        <w:tc>
          <w:tcPr>
            <w:tcW w:w="7235" w:type="dxa"/>
            <w:vAlign w:val="center"/>
          </w:tcPr>
          <w:p w14:paraId="3FA46157" w14:textId="168CB3D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Detalle funcional del registro con validación, login, área personal y diseño de casos de prueba de autenticación.</w:t>
            </w:r>
          </w:p>
        </w:tc>
        <w:tc>
          <w:tcPr>
            <w:tcW w:w="1478" w:type="dxa"/>
            <w:vAlign w:val="center"/>
          </w:tcPr>
          <w:p w14:paraId="20370E2A" w14:textId="2EDCBFD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1.2.2.1</w:t>
            </w:r>
          </w:p>
        </w:tc>
        <w:tc>
          <w:tcPr>
            <w:tcW w:w="1155" w:type="dxa"/>
            <w:vAlign w:val="center"/>
          </w:tcPr>
          <w:p w14:paraId="7B2726A3" w14:textId="65B74D9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28024310" w14:textId="4427F76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1A4FFF30" w14:textId="77777777" w:rsidTr="001E623F">
        <w:trPr>
          <w:cantSplit/>
        </w:trPr>
        <w:tc>
          <w:tcPr>
            <w:tcW w:w="709" w:type="dxa"/>
            <w:vAlign w:val="center"/>
          </w:tcPr>
          <w:p w14:paraId="4159439B" w14:textId="4C4A7BE3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ACT-13</w:t>
            </w:r>
          </w:p>
        </w:tc>
        <w:tc>
          <w:tcPr>
            <w:tcW w:w="3070" w:type="dxa"/>
            <w:vAlign w:val="center"/>
          </w:tcPr>
          <w:p w14:paraId="18835B44" w14:textId="607F950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RF-01</w:t>
            </w:r>
          </w:p>
        </w:tc>
        <w:tc>
          <w:tcPr>
            <w:tcW w:w="7235" w:type="dxa"/>
            <w:vAlign w:val="center"/>
          </w:tcPr>
          <w:p w14:paraId="0250FDE6" w14:textId="1984CDB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Codificación de servicios REST de cuentas, servidor de identidad </w:t>
            </w:r>
            <w:proofErr w:type="spellStart"/>
            <w:r>
              <w:rPr>
                <w:sz w:val="20"/>
                <w:szCs w:val="20"/>
              </w:rPr>
              <w:t>OpenID</w:t>
            </w:r>
            <w:proofErr w:type="spellEnd"/>
            <w:r>
              <w:rPr>
                <w:sz w:val="20"/>
                <w:szCs w:val="20"/>
              </w:rPr>
              <w:t>/OAuth, vistas web y móviles integradas en rama principal.</w:t>
            </w:r>
          </w:p>
        </w:tc>
        <w:tc>
          <w:tcPr>
            <w:tcW w:w="1478" w:type="dxa"/>
            <w:vAlign w:val="center"/>
          </w:tcPr>
          <w:p w14:paraId="78290AE3" w14:textId="16D3AFD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1.2.2.2</w:t>
            </w:r>
          </w:p>
        </w:tc>
        <w:tc>
          <w:tcPr>
            <w:tcW w:w="1155" w:type="dxa"/>
            <w:vAlign w:val="center"/>
          </w:tcPr>
          <w:p w14:paraId="5993985B" w14:textId="520E330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0E48CF93" w14:textId="05C7B46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618C2919" w14:textId="77777777" w:rsidTr="008767DD">
        <w:trPr>
          <w:cantSplit/>
        </w:trPr>
        <w:tc>
          <w:tcPr>
            <w:tcW w:w="709" w:type="dxa"/>
            <w:vAlign w:val="center"/>
          </w:tcPr>
          <w:p w14:paraId="09FDA48A" w14:textId="524E2BE5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ACT-14</w:t>
            </w:r>
          </w:p>
        </w:tc>
        <w:tc>
          <w:tcPr>
            <w:tcW w:w="3070" w:type="dxa"/>
            <w:vAlign w:val="center"/>
          </w:tcPr>
          <w:p w14:paraId="629DFC46" w14:textId="1BF6CDD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RF-01</w:t>
            </w:r>
          </w:p>
        </w:tc>
        <w:tc>
          <w:tcPr>
            <w:tcW w:w="7235" w:type="dxa"/>
            <w:vAlign w:val="center"/>
          </w:tcPr>
          <w:p w14:paraId="61E407D5" w14:textId="6643FFF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sistema, validación de flujos de autenticación y revisión con el cliente en el entorno de verificación.</w:t>
            </w:r>
          </w:p>
        </w:tc>
        <w:tc>
          <w:tcPr>
            <w:tcW w:w="1478" w:type="dxa"/>
            <w:vAlign w:val="center"/>
          </w:tcPr>
          <w:p w14:paraId="040D60A2" w14:textId="59C02D9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1.2.2.3</w:t>
            </w:r>
          </w:p>
        </w:tc>
        <w:tc>
          <w:tcPr>
            <w:tcW w:w="1155" w:type="dxa"/>
            <w:vAlign w:val="center"/>
          </w:tcPr>
          <w:p w14:paraId="1040C9B2" w14:textId="3CA1681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RF-01</w:t>
            </w:r>
          </w:p>
        </w:tc>
        <w:tc>
          <w:tcPr>
            <w:tcW w:w="923" w:type="dxa"/>
            <w:vAlign w:val="center"/>
          </w:tcPr>
          <w:p w14:paraId="208676E6" w14:textId="17235F0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49B1E80A" w14:textId="77777777" w:rsidTr="008767DD">
        <w:trPr>
          <w:cantSplit/>
        </w:trPr>
        <w:tc>
          <w:tcPr>
            <w:tcW w:w="709" w:type="dxa"/>
            <w:vAlign w:val="center"/>
          </w:tcPr>
          <w:p w14:paraId="5911923A" w14:textId="430232A4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ACT-15</w:t>
            </w:r>
          </w:p>
        </w:tc>
        <w:tc>
          <w:tcPr>
            <w:tcW w:w="3070" w:type="dxa"/>
            <w:vAlign w:val="center"/>
          </w:tcPr>
          <w:p w14:paraId="1223955D" w14:textId="465D8AE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RF-02</w:t>
            </w:r>
          </w:p>
        </w:tc>
        <w:tc>
          <w:tcPr>
            <w:tcW w:w="7235" w:type="dxa"/>
            <w:vAlign w:val="center"/>
          </w:tcPr>
          <w:p w14:paraId="7A25BF8A" w14:textId="0DA6AB2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Detalle de navegación por categorías, filtros por marca/formato, buscador con sugerencias y diseño de pruebas.</w:t>
            </w:r>
          </w:p>
        </w:tc>
        <w:tc>
          <w:tcPr>
            <w:tcW w:w="1478" w:type="dxa"/>
            <w:vAlign w:val="center"/>
          </w:tcPr>
          <w:p w14:paraId="1531F82A" w14:textId="4E005B2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1.2.2.1</w:t>
            </w:r>
          </w:p>
        </w:tc>
        <w:tc>
          <w:tcPr>
            <w:tcW w:w="1155" w:type="dxa"/>
            <w:vAlign w:val="center"/>
          </w:tcPr>
          <w:p w14:paraId="390A0D71" w14:textId="7EB576D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51B28C01" w14:textId="129C7B6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0A280387" w14:textId="77777777" w:rsidTr="008767DD">
        <w:trPr>
          <w:cantSplit/>
        </w:trPr>
        <w:tc>
          <w:tcPr>
            <w:tcW w:w="709" w:type="dxa"/>
            <w:vAlign w:val="center"/>
          </w:tcPr>
          <w:p w14:paraId="491FB421" w14:textId="183811B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ACT-16</w:t>
            </w:r>
          </w:p>
        </w:tc>
        <w:tc>
          <w:tcPr>
            <w:tcW w:w="3070" w:type="dxa"/>
            <w:vAlign w:val="center"/>
          </w:tcPr>
          <w:p w14:paraId="604E306D" w14:textId="3A0B67E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RF-02</w:t>
            </w:r>
          </w:p>
        </w:tc>
        <w:tc>
          <w:tcPr>
            <w:tcW w:w="7235" w:type="dxa"/>
            <w:vAlign w:val="center"/>
          </w:tcPr>
          <w:p w14:paraId="32A4A8A7" w14:textId="629DD00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Desarrollo del servicio de catálogo,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búsqueda, componentes de interfaz web/móvil e integración continua.</w:t>
            </w:r>
          </w:p>
        </w:tc>
        <w:tc>
          <w:tcPr>
            <w:tcW w:w="1478" w:type="dxa"/>
            <w:vAlign w:val="center"/>
          </w:tcPr>
          <w:p w14:paraId="71E6ED73" w14:textId="5B425E7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1.2.2.2</w:t>
            </w:r>
          </w:p>
        </w:tc>
        <w:tc>
          <w:tcPr>
            <w:tcW w:w="1155" w:type="dxa"/>
            <w:vAlign w:val="center"/>
          </w:tcPr>
          <w:p w14:paraId="43304C5D" w14:textId="1C2F688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2EEE61BB" w14:textId="61C9E6B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2B6E6C35" w14:textId="77777777" w:rsidTr="008767DD">
        <w:trPr>
          <w:cantSplit/>
        </w:trPr>
        <w:tc>
          <w:tcPr>
            <w:tcW w:w="709" w:type="dxa"/>
            <w:vAlign w:val="center"/>
          </w:tcPr>
          <w:p w14:paraId="7E807515" w14:textId="19A42AD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ACT-17</w:t>
            </w:r>
          </w:p>
        </w:tc>
        <w:tc>
          <w:tcPr>
            <w:tcW w:w="3070" w:type="dxa"/>
            <w:vAlign w:val="center"/>
          </w:tcPr>
          <w:p w14:paraId="211894B3" w14:textId="4A0C03F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RF-02</w:t>
            </w:r>
          </w:p>
        </w:tc>
        <w:tc>
          <w:tcPr>
            <w:tcW w:w="7235" w:type="dxa"/>
            <w:vAlign w:val="center"/>
          </w:tcPr>
          <w:p w14:paraId="470D6A6C" w14:textId="4A02269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rendimiento de búsquedas, filtros y visualización de fichas en entorno de verificación.</w:t>
            </w:r>
          </w:p>
        </w:tc>
        <w:tc>
          <w:tcPr>
            <w:tcW w:w="1478" w:type="dxa"/>
            <w:vAlign w:val="center"/>
          </w:tcPr>
          <w:p w14:paraId="68B89171" w14:textId="4F8EC68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1.2.2.3</w:t>
            </w:r>
          </w:p>
        </w:tc>
        <w:tc>
          <w:tcPr>
            <w:tcW w:w="1155" w:type="dxa"/>
            <w:vAlign w:val="center"/>
          </w:tcPr>
          <w:p w14:paraId="0BB07E96" w14:textId="3363A6F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RF-02</w:t>
            </w:r>
          </w:p>
        </w:tc>
        <w:tc>
          <w:tcPr>
            <w:tcW w:w="923" w:type="dxa"/>
            <w:vAlign w:val="center"/>
          </w:tcPr>
          <w:p w14:paraId="0CF4EE80" w14:textId="11098E8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71F290C5" w14:textId="77777777" w:rsidTr="008767DD">
        <w:trPr>
          <w:cantSplit/>
        </w:trPr>
        <w:tc>
          <w:tcPr>
            <w:tcW w:w="709" w:type="dxa"/>
            <w:vAlign w:val="center"/>
          </w:tcPr>
          <w:p w14:paraId="28ABEC27" w14:textId="36AE86D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ACT-18</w:t>
            </w:r>
          </w:p>
        </w:tc>
        <w:tc>
          <w:tcPr>
            <w:tcW w:w="3070" w:type="dxa"/>
            <w:vAlign w:val="center"/>
          </w:tcPr>
          <w:p w14:paraId="668F6610" w14:textId="6078F61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RF-03</w:t>
            </w:r>
          </w:p>
        </w:tc>
        <w:tc>
          <w:tcPr>
            <w:tcW w:w="7235" w:type="dxa"/>
            <w:vAlign w:val="center"/>
          </w:tcPr>
          <w:p w14:paraId="264B621C" w14:textId="1B85014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persistencia multisesión/dispositivo, reglas de guardado para más tarde y diseño de pruebas.</w:t>
            </w:r>
          </w:p>
        </w:tc>
        <w:tc>
          <w:tcPr>
            <w:tcW w:w="1478" w:type="dxa"/>
            <w:vAlign w:val="center"/>
          </w:tcPr>
          <w:p w14:paraId="34FF8E09" w14:textId="588FF55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1.2.3.1</w:t>
            </w:r>
          </w:p>
        </w:tc>
        <w:tc>
          <w:tcPr>
            <w:tcW w:w="1155" w:type="dxa"/>
            <w:vAlign w:val="center"/>
          </w:tcPr>
          <w:p w14:paraId="4AF8BC25" w14:textId="25C3C29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4356BF38" w14:textId="620C758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4F7C246D" w14:textId="77777777" w:rsidTr="00BA32AC">
        <w:trPr>
          <w:cantSplit/>
        </w:trPr>
        <w:tc>
          <w:tcPr>
            <w:tcW w:w="709" w:type="dxa"/>
            <w:vAlign w:val="center"/>
          </w:tcPr>
          <w:p w14:paraId="3BAE2B08" w14:textId="231F84D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ACT-19</w:t>
            </w:r>
          </w:p>
        </w:tc>
        <w:tc>
          <w:tcPr>
            <w:tcW w:w="3070" w:type="dxa"/>
            <w:vAlign w:val="center"/>
          </w:tcPr>
          <w:p w14:paraId="23B5ACDF" w14:textId="0B37C85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RF-03</w:t>
            </w:r>
          </w:p>
        </w:tc>
        <w:tc>
          <w:tcPr>
            <w:tcW w:w="7235" w:type="dxa"/>
            <w:vAlign w:val="center"/>
          </w:tcPr>
          <w:p w14:paraId="0BB5AE1F" w14:textId="760E10E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Programación del servicio de cesta de la compra, almacenamiento en base de datos PostgreSQL e integración en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78" w:type="dxa"/>
            <w:vAlign w:val="center"/>
          </w:tcPr>
          <w:p w14:paraId="53E59D33" w14:textId="14AADFC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1.2.3.2</w:t>
            </w:r>
          </w:p>
        </w:tc>
        <w:tc>
          <w:tcPr>
            <w:tcW w:w="1155" w:type="dxa"/>
            <w:vAlign w:val="center"/>
          </w:tcPr>
          <w:p w14:paraId="2ACC8160" w14:textId="7A56E2B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028BFD2C" w14:textId="7244DDD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54CC3B48" w14:textId="77777777" w:rsidTr="00BA32AC">
        <w:trPr>
          <w:cantSplit/>
        </w:trPr>
        <w:tc>
          <w:tcPr>
            <w:tcW w:w="709" w:type="dxa"/>
            <w:vAlign w:val="center"/>
          </w:tcPr>
          <w:p w14:paraId="2FE633B5" w14:textId="56FEC2FD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ACT-20</w:t>
            </w:r>
          </w:p>
        </w:tc>
        <w:tc>
          <w:tcPr>
            <w:tcW w:w="3070" w:type="dxa"/>
            <w:vAlign w:val="center"/>
          </w:tcPr>
          <w:p w14:paraId="2D5A60D3" w14:textId="068B4DF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RF-03</w:t>
            </w:r>
          </w:p>
        </w:tc>
        <w:tc>
          <w:tcPr>
            <w:tcW w:w="7235" w:type="dxa"/>
            <w:vAlign w:val="center"/>
          </w:tcPr>
          <w:p w14:paraId="7F414FB9" w14:textId="2939A47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sistema de persistencia entre navegador y móvil y validación funcional con usuarios.</w:t>
            </w:r>
          </w:p>
        </w:tc>
        <w:tc>
          <w:tcPr>
            <w:tcW w:w="1478" w:type="dxa"/>
            <w:vAlign w:val="center"/>
          </w:tcPr>
          <w:p w14:paraId="079C5A95" w14:textId="2368210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1.2.3.3</w:t>
            </w:r>
          </w:p>
        </w:tc>
        <w:tc>
          <w:tcPr>
            <w:tcW w:w="1155" w:type="dxa"/>
            <w:vAlign w:val="center"/>
          </w:tcPr>
          <w:p w14:paraId="144BA8AD" w14:textId="6CC71C2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RF-03</w:t>
            </w:r>
          </w:p>
        </w:tc>
        <w:tc>
          <w:tcPr>
            <w:tcW w:w="923" w:type="dxa"/>
            <w:vAlign w:val="center"/>
          </w:tcPr>
          <w:p w14:paraId="35929E36" w14:textId="2D8FB02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177AB750" w14:textId="77777777" w:rsidTr="00BA32AC">
        <w:trPr>
          <w:cantSplit/>
        </w:trPr>
        <w:tc>
          <w:tcPr>
            <w:tcW w:w="709" w:type="dxa"/>
            <w:vAlign w:val="center"/>
          </w:tcPr>
          <w:p w14:paraId="163039A9" w14:textId="7C65939E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ACT-21</w:t>
            </w:r>
          </w:p>
        </w:tc>
        <w:tc>
          <w:tcPr>
            <w:tcW w:w="3070" w:type="dxa"/>
            <w:vAlign w:val="center"/>
          </w:tcPr>
          <w:p w14:paraId="5320CCCE" w14:textId="5FDD113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RF-04</w:t>
            </w:r>
          </w:p>
        </w:tc>
        <w:tc>
          <w:tcPr>
            <w:tcW w:w="7235" w:type="dxa"/>
            <w:vAlign w:val="center"/>
          </w:tcPr>
          <w:p w14:paraId="2C5DCE75" w14:textId="3EEACF9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Especificación técnica de integración con la pasarela externa de pago, diseño de pantallas de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y casos de prueba.</w:t>
            </w:r>
          </w:p>
        </w:tc>
        <w:tc>
          <w:tcPr>
            <w:tcW w:w="1478" w:type="dxa"/>
            <w:vAlign w:val="center"/>
          </w:tcPr>
          <w:p w14:paraId="25C62D41" w14:textId="512A8E7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1.2.3.1</w:t>
            </w:r>
          </w:p>
        </w:tc>
        <w:tc>
          <w:tcPr>
            <w:tcW w:w="1155" w:type="dxa"/>
            <w:vAlign w:val="center"/>
          </w:tcPr>
          <w:p w14:paraId="3EC2ECC8" w14:textId="68A7AD4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57028A26" w14:textId="03AEDB3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61F8D9BC" w14:textId="77777777" w:rsidTr="00BA32AC">
        <w:trPr>
          <w:cantSplit/>
        </w:trPr>
        <w:tc>
          <w:tcPr>
            <w:tcW w:w="709" w:type="dxa"/>
            <w:vAlign w:val="center"/>
          </w:tcPr>
          <w:p w14:paraId="34FF59E5" w14:textId="661D0B85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ACT-22</w:t>
            </w:r>
          </w:p>
        </w:tc>
        <w:tc>
          <w:tcPr>
            <w:tcW w:w="3070" w:type="dxa"/>
            <w:vAlign w:val="center"/>
          </w:tcPr>
          <w:p w14:paraId="43286701" w14:textId="034FEA2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RF-04</w:t>
            </w:r>
          </w:p>
        </w:tc>
        <w:tc>
          <w:tcPr>
            <w:tcW w:w="7235" w:type="dxa"/>
            <w:vAlign w:val="center"/>
          </w:tcPr>
          <w:p w14:paraId="00046FC7" w14:textId="2BD67EC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Implementación del servicio de pagos, tokenización segura (sin almacenar tarjetas) y confirmación de cobro.</w:t>
            </w:r>
          </w:p>
        </w:tc>
        <w:tc>
          <w:tcPr>
            <w:tcW w:w="1478" w:type="dxa"/>
            <w:vAlign w:val="center"/>
          </w:tcPr>
          <w:p w14:paraId="4540D3AC" w14:textId="5ECB9E3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1.2.3.2</w:t>
            </w:r>
          </w:p>
        </w:tc>
        <w:tc>
          <w:tcPr>
            <w:tcW w:w="1155" w:type="dxa"/>
            <w:vAlign w:val="center"/>
          </w:tcPr>
          <w:p w14:paraId="63055808" w14:textId="4481C51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5F0F1DD8" w14:textId="417257F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108F3400" w14:textId="77777777" w:rsidTr="00BA32AC">
        <w:trPr>
          <w:cantSplit/>
        </w:trPr>
        <w:tc>
          <w:tcPr>
            <w:tcW w:w="709" w:type="dxa"/>
            <w:vAlign w:val="center"/>
          </w:tcPr>
          <w:p w14:paraId="0B759ED2" w14:textId="5AA5BEC7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ACT-23</w:t>
            </w:r>
          </w:p>
        </w:tc>
        <w:tc>
          <w:tcPr>
            <w:tcW w:w="3070" w:type="dxa"/>
            <w:vAlign w:val="center"/>
          </w:tcPr>
          <w:p w14:paraId="3A5AA15A" w14:textId="2394B18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RF-04</w:t>
            </w:r>
          </w:p>
        </w:tc>
        <w:tc>
          <w:tcPr>
            <w:tcW w:w="7235" w:type="dxa"/>
            <w:vAlign w:val="center"/>
          </w:tcPr>
          <w:p w14:paraId="41ECC2FA" w14:textId="1A6B951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transaccionales en modo de pruebas contra la pasarela externa en entorno de verificación.</w:t>
            </w:r>
          </w:p>
        </w:tc>
        <w:tc>
          <w:tcPr>
            <w:tcW w:w="1478" w:type="dxa"/>
            <w:vAlign w:val="center"/>
          </w:tcPr>
          <w:p w14:paraId="3300BD06" w14:textId="2C42347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1.2.3.3</w:t>
            </w:r>
          </w:p>
        </w:tc>
        <w:tc>
          <w:tcPr>
            <w:tcW w:w="1155" w:type="dxa"/>
            <w:vAlign w:val="center"/>
          </w:tcPr>
          <w:p w14:paraId="3E605E9B" w14:textId="02E2C4A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RF-04</w:t>
            </w:r>
          </w:p>
        </w:tc>
        <w:tc>
          <w:tcPr>
            <w:tcW w:w="923" w:type="dxa"/>
            <w:vAlign w:val="center"/>
          </w:tcPr>
          <w:p w14:paraId="121A2878" w14:textId="509EAF8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1A4C7106" w14:textId="77777777" w:rsidTr="00BA32AC">
        <w:trPr>
          <w:cantSplit/>
        </w:trPr>
        <w:tc>
          <w:tcPr>
            <w:tcW w:w="709" w:type="dxa"/>
            <w:vAlign w:val="center"/>
          </w:tcPr>
          <w:p w14:paraId="4D2B8E09" w14:textId="72BFBF3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ACT-24</w:t>
            </w:r>
          </w:p>
        </w:tc>
        <w:tc>
          <w:tcPr>
            <w:tcW w:w="3070" w:type="dxa"/>
            <w:vAlign w:val="center"/>
          </w:tcPr>
          <w:p w14:paraId="1AF4C909" w14:textId="4118235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RF-05</w:t>
            </w:r>
          </w:p>
        </w:tc>
        <w:tc>
          <w:tcPr>
            <w:tcW w:w="7235" w:type="dxa"/>
            <w:vAlign w:val="center"/>
          </w:tcPr>
          <w:p w14:paraId="3BD128F9" w14:textId="5610591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cálculo de zonas de cobertura por CP, gestión de franjas horarias, cupos y diseño de pruebas.</w:t>
            </w:r>
          </w:p>
        </w:tc>
        <w:tc>
          <w:tcPr>
            <w:tcW w:w="1478" w:type="dxa"/>
            <w:vAlign w:val="center"/>
          </w:tcPr>
          <w:p w14:paraId="621DB5F7" w14:textId="4C3749D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1.2.4.1</w:t>
            </w:r>
          </w:p>
        </w:tc>
        <w:tc>
          <w:tcPr>
            <w:tcW w:w="1155" w:type="dxa"/>
            <w:vAlign w:val="center"/>
          </w:tcPr>
          <w:p w14:paraId="28DAB8F2" w14:textId="001949B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69F5EB30" w14:textId="652E1F0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6E172E11" w14:textId="77777777" w:rsidTr="00BA32AC">
        <w:trPr>
          <w:cantSplit/>
        </w:trPr>
        <w:tc>
          <w:tcPr>
            <w:tcW w:w="709" w:type="dxa"/>
            <w:vAlign w:val="center"/>
          </w:tcPr>
          <w:p w14:paraId="759F8854" w14:textId="3568AA02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ACT-25</w:t>
            </w:r>
          </w:p>
        </w:tc>
        <w:tc>
          <w:tcPr>
            <w:tcW w:w="3070" w:type="dxa"/>
            <w:vAlign w:val="center"/>
          </w:tcPr>
          <w:p w14:paraId="043E0457" w14:textId="0B4ECFC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RF-05</w:t>
            </w:r>
          </w:p>
        </w:tc>
        <w:tc>
          <w:tcPr>
            <w:tcW w:w="7235" w:type="dxa"/>
            <w:vAlign w:val="center"/>
          </w:tcPr>
          <w:p w14:paraId="5A3940F7" w14:textId="69855F2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del servicio de entregas, asignación de repartidores y componentes de selección de franja en web y móvil.</w:t>
            </w:r>
          </w:p>
        </w:tc>
        <w:tc>
          <w:tcPr>
            <w:tcW w:w="1478" w:type="dxa"/>
            <w:vAlign w:val="center"/>
          </w:tcPr>
          <w:p w14:paraId="617E28E2" w14:textId="3CA049E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1.2.4.2</w:t>
            </w:r>
          </w:p>
        </w:tc>
        <w:tc>
          <w:tcPr>
            <w:tcW w:w="1155" w:type="dxa"/>
            <w:vAlign w:val="center"/>
          </w:tcPr>
          <w:p w14:paraId="3FF3482F" w14:textId="6C405B5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732503FE" w14:textId="7BFC0CF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5C99ED80" w14:textId="77777777" w:rsidTr="00BA32AC">
        <w:trPr>
          <w:cantSplit/>
        </w:trPr>
        <w:tc>
          <w:tcPr>
            <w:tcW w:w="709" w:type="dxa"/>
            <w:vAlign w:val="center"/>
          </w:tcPr>
          <w:p w14:paraId="5EE384B5" w14:textId="0F893D37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ACT-26</w:t>
            </w:r>
          </w:p>
        </w:tc>
        <w:tc>
          <w:tcPr>
            <w:tcW w:w="3070" w:type="dxa"/>
            <w:vAlign w:val="center"/>
          </w:tcPr>
          <w:p w14:paraId="5966F370" w14:textId="1EFE1B5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RF-05</w:t>
            </w:r>
          </w:p>
        </w:tc>
        <w:tc>
          <w:tcPr>
            <w:tcW w:w="7235" w:type="dxa"/>
            <w:vAlign w:val="center"/>
          </w:tcPr>
          <w:p w14:paraId="5D95E7CD" w14:textId="156C4AA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cobertura geográfica por código postal y control de capacidad máxima por franja horaria.</w:t>
            </w:r>
          </w:p>
        </w:tc>
        <w:tc>
          <w:tcPr>
            <w:tcW w:w="1478" w:type="dxa"/>
            <w:vAlign w:val="center"/>
          </w:tcPr>
          <w:p w14:paraId="5AEA94B0" w14:textId="7677AA6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1.2.4.3</w:t>
            </w:r>
          </w:p>
        </w:tc>
        <w:tc>
          <w:tcPr>
            <w:tcW w:w="1155" w:type="dxa"/>
            <w:vAlign w:val="center"/>
          </w:tcPr>
          <w:p w14:paraId="74570F62" w14:textId="67D1EA5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RF-05</w:t>
            </w:r>
          </w:p>
        </w:tc>
        <w:tc>
          <w:tcPr>
            <w:tcW w:w="923" w:type="dxa"/>
            <w:vAlign w:val="center"/>
          </w:tcPr>
          <w:p w14:paraId="4AF60E93" w14:textId="7B1713A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36CBE75D" w14:textId="77777777" w:rsidTr="00185B81">
        <w:trPr>
          <w:cantSplit/>
        </w:trPr>
        <w:tc>
          <w:tcPr>
            <w:tcW w:w="709" w:type="dxa"/>
            <w:vAlign w:val="center"/>
          </w:tcPr>
          <w:p w14:paraId="532E3161" w14:textId="2E61E10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ACT-27</w:t>
            </w:r>
          </w:p>
        </w:tc>
        <w:tc>
          <w:tcPr>
            <w:tcW w:w="3070" w:type="dxa"/>
            <w:vAlign w:val="center"/>
          </w:tcPr>
          <w:p w14:paraId="2E2930E7" w14:textId="7C01A6D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RF-06</w:t>
            </w:r>
          </w:p>
        </w:tc>
        <w:tc>
          <w:tcPr>
            <w:tcW w:w="7235" w:type="dxa"/>
            <w:vAlign w:val="center"/>
          </w:tcPr>
          <w:p w14:paraId="7D45DF83" w14:textId="666BAC1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Diseño de interacción del panel de tienda, flujos de preparación de pedidos, cambios de estado y diseño de pruebas.</w:t>
            </w:r>
          </w:p>
        </w:tc>
        <w:tc>
          <w:tcPr>
            <w:tcW w:w="1478" w:type="dxa"/>
            <w:vAlign w:val="center"/>
          </w:tcPr>
          <w:p w14:paraId="7C9C9D5F" w14:textId="4BB63B4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1.2.4.1</w:t>
            </w:r>
          </w:p>
        </w:tc>
        <w:tc>
          <w:tcPr>
            <w:tcW w:w="1155" w:type="dxa"/>
            <w:vAlign w:val="center"/>
          </w:tcPr>
          <w:p w14:paraId="1F4E3E39" w14:textId="290D313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17B5DC2A" w14:textId="7A24FE3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33E6FA50" w14:textId="77777777" w:rsidTr="00185B81">
        <w:trPr>
          <w:cantSplit/>
        </w:trPr>
        <w:tc>
          <w:tcPr>
            <w:tcW w:w="709" w:type="dxa"/>
            <w:vAlign w:val="center"/>
          </w:tcPr>
          <w:p w14:paraId="6AE5E111" w14:textId="78386C0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ACT-28</w:t>
            </w:r>
          </w:p>
        </w:tc>
        <w:tc>
          <w:tcPr>
            <w:tcW w:w="3070" w:type="dxa"/>
            <w:vAlign w:val="center"/>
          </w:tcPr>
          <w:p w14:paraId="0FF8402A" w14:textId="2795144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RF-06</w:t>
            </w:r>
          </w:p>
        </w:tc>
        <w:tc>
          <w:tcPr>
            <w:tcW w:w="7235" w:type="dxa"/>
            <w:vAlign w:val="center"/>
          </w:tcPr>
          <w:p w14:paraId="41C24FD1" w14:textId="1D3873A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 la aplicación web del panel de tienda, servicio de pedidos de tienda y sincronización de estados.</w:t>
            </w:r>
          </w:p>
        </w:tc>
        <w:tc>
          <w:tcPr>
            <w:tcW w:w="1478" w:type="dxa"/>
            <w:vAlign w:val="center"/>
          </w:tcPr>
          <w:p w14:paraId="567CE67B" w14:textId="19BA023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1.2.4.2</w:t>
            </w:r>
          </w:p>
        </w:tc>
        <w:tc>
          <w:tcPr>
            <w:tcW w:w="1155" w:type="dxa"/>
            <w:vAlign w:val="center"/>
          </w:tcPr>
          <w:p w14:paraId="10A2E98F" w14:textId="0FF4FB4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54E6C380" w14:textId="4458F58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6E7423E3" w14:textId="77777777" w:rsidTr="00185B81">
        <w:trPr>
          <w:cantSplit/>
        </w:trPr>
        <w:tc>
          <w:tcPr>
            <w:tcW w:w="709" w:type="dxa"/>
            <w:vAlign w:val="center"/>
          </w:tcPr>
          <w:p w14:paraId="035D449B" w14:textId="23D076B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ACT-29</w:t>
            </w:r>
          </w:p>
        </w:tc>
        <w:tc>
          <w:tcPr>
            <w:tcW w:w="3070" w:type="dxa"/>
            <w:vAlign w:val="center"/>
          </w:tcPr>
          <w:p w14:paraId="2C1D9D24" w14:textId="0F6629B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RF-06</w:t>
            </w:r>
          </w:p>
        </w:tc>
        <w:tc>
          <w:tcPr>
            <w:tcW w:w="7235" w:type="dxa"/>
            <w:vAlign w:val="center"/>
          </w:tcPr>
          <w:p w14:paraId="072235B7" w14:textId="5D5A000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operación en tienda con pedidos simulados y datos reales cargados desde el ERP.</w:t>
            </w:r>
          </w:p>
        </w:tc>
        <w:tc>
          <w:tcPr>
            <w:tcW w:w="1478" w:type="dxa"/>
            <w:vAlign w:val="center"/>
          </w:tcPr>
          <w:p w14:paraId="46735378" w14:textId="60C0FEF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1.2.4.3</w:t>
            </w:r>
          </w:p>
        </w:tc>
        <w:tc>
          <w:tcPr>
            <w:tcW w:w="1155" w:type="dxa"/>
            <w:vAlign w:val="center"/>
          </w:tcPr>
          <w:p w14:paraId="5155FFF4" w14:textId="67030AF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RF-06</w:t>
            </w:r>
          </w:p>
        </w:tc>
        <w:tc>
          <w:tcPr>
            <w:tcW w:w="923" w:type="dxa"/>
            <w:vAlign w:val="center"/>
          </w:tcPr>
          <w:p w14:paraId="6B4919EA" w14:textId="7AC7DA5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5629EA02" w14:textId="77777777" w:rsidTr="00185B81">
        <w:trPr>
          <w:cantSplit/>
        </w:trPr>
        <w:tc>
          <w:tcPr>
            <w:tcW w:w="709" w:type="dxa"/>
            <w:vAlign w:val="center"/>
          </w:tcPr>
          <w:p w14:paraId="3A63237F" w14:textId="601092D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ACT-30</w:t>
            </w:r>
          </w:p>
        </w:tc>
        <w:tc>
          <w:tcPr>
            <w:tcW w:w="3070" w:type="dxa"/>
            <w:vAlign w:val="center"/>
          </w:tcPr>
          <w:p w14:paraId="08558BB8" w14:textId="76DF6FA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RF-07</w:t>
            </w:r>
          </w:p>
        </w:tc>
        <w:tc>
          <w:tcPr>
            <w:tcW w:w="7235" w:type="dxa"/>
            <w:vAlign w:val="center"/>
          </w:tcPr>
          <w:p w14:paraId="54DDB762" w14:textId="74CBDA3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Definición de plantillas y eventos de aviso por email y notificaciones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en iOS/Android y casos de prueba.</w:t>
            </w:r>
          </w:p>
        </w:tc>
        <w:tc>
          <w:tcPr>
            <w:tcW w:w="1478" w:type="dxa"/>
            <w:vAlign w:val="center"/>
          </w:tcPr>
          <w:p w14:paraId="58D10484" w14:textId="4B7F942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1.2.5.1</w:t>
            </w:r>
          </w:p>
        </w:tc>
        <w:tc>
          <w:tcPr>
            <w:tcW w:w="1155" w:type="dxa"/>
            <w:vAlign w:val="center"/>
          </w:tcPr>
          <w:p w14:paraId="65A71497" w14:textId="78634EB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55CDE07C" w14:textId="14D0C02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309FC092" w14:textId="77777777" w:rsidTr="00185B81">
        <w:trPr>
          <w:cantSplit/>
        </w:trPr>
        <w:tc>
          <w:tcPr>
            <w:tcW w:w="709" w:type="dxa"/>
            <w:vAlign w:val="center"/>
          </w:tcPr>
          <w:p w14:paraId="630D5AF4" w14:textId="2768EFE3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ACT-31</w:t>
            </w:r>
          </w:p>
        </w:tc>
        <w:tc>
          <w:tcPr>
            <w:tcW w:w="3070" w:type="dxa"/>
            <w:vAlign w:val="center"/>
          </w:tcPr>
          <w:p w14:paraId="12673762" w14:textId="7FC7AF2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RF-07</w:t>
            </w:r>
          </w:p>
        </w:tc>
        <w:tc>
          <w:tcPr>
            <w:tcW w:w="7235" w:type="dxa"/>
            <w:vAlign w:val="center"/>
          </w:tcPr>
          <w:p w14:paraId="1CC474EF" w14:textId="2A9672C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Implementación del microservicio de notificaciones, pasarela SMTP y conexión con servicios </w:t>
            </w:r>
            <w:proofErr w:type="spellStart"/>
            <w:r>
              <w:rPr>
                <w:sz w:val="20"/>
                <w:szCs w:val="20"/>
              </w:rPr>
              <w:t>APNs</w:t>
            </w:r>
            <w:proofErr w:type="spellEnd"/>
            <w:r>
              <w:rPr>
                <w:sz w:val="20"/>
                <w:szCs w:val="20"/>
              </w:rPr>
              <w:t xml:space="preserve"> y FCM.</w:t>
            </w:r>
          </w:p>
        </w:tc>
        <w:tc>
          <w:tcPr>
            <w:tcW w:w="1478" w:type="dxa"/>
            <w:vAlign w:val="center"/>
          </w:tcPr>
          <w:p w14:paraId="37C6AF7E" w14:textId="68BD5A5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1.2.5.2</w:t>
            </w:r>
          </w:p>
        </w:tc>
        <w:tc>
          <w:tcPr>
            <w:tcW w:w="1155" w:type="dxa"/>
            <w:vAlign w:val="center"/>
          </w:tcPr>
          <w:p w14:paraId="5C47573A" w14:textId="43406C1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37EA3FD6" w14:textId="1980759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75B9355D" w14:textId="77777777" w:rsidTr="00185B81">
        <w:trPr>
          <w:cantSplit/>
        </w:trPr>
        <w:tc>
          <w:tcPr>
            <w:tcW w:w="709" w:type="dxa"/>
            <w:vAlign w:val="center"/>
          </w:tcPr>
          <w:p w14:paraId="79AD32FC" w14:textId="702B1E2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ACT-32</w:t>
            </w:r>
          </w:p>
        </w:tc>
        <w:tc>
          <w:tcPr>
            <w:tcW w:w="3070" w:type="dxa"/>
            <w:vAlign w:val="center"/>
          </w:tcPr>
          <w:p w14:paraId="0489F911" w14:textId="412FCBC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RF-07</w:t>
            </w:r>
          </w:p>
        </w:tc>
        <w:tc>
          <w:tcPr>
            <w:tcW w:w="7235" w:type="dxa"/>
            <w:vAlign w:val="center"/>
          </w:tcPr>
          <w:p w14:paraId="3C24BD0B" w14:textId="61A8770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envío y recepción de correos y alertas móviles ante cambios de estado de pedidos.</w:t>
            </w:r>
          </w:p>
        </w:tc>
        <w:tc>
          <w:tcPr>
            <w:tcW w:w="1478" w:type="dxa"/>
            <w:vAlign w:val="center"/>
          </w:tcPr>
          <w:p w14:paraId="68752DDA" w14:textId="16EAAE5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1.2.5.3</w:t>
            </w:r>
          </w:p>
        </w:tc>
        <w:tc>
          <w:tcPr>
            <w:tcW w:w="1155" w:type="dxa"/>
            <w:vAlign w:val="center"/>
          </w:tcPr>
          <w:p w14:paraId="726D02BF" w14:textId="443024C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RF-07</w:t>
            </w:r>
          </w:p>
        </w:tc>
        <w:tc>
          <w:tcPr>
            <w:tcW w:w="923" w:type="dxa"/>
            <w:vAlign w:val="center"/>
          </w:tcPr>
          <w:p w14:paraId="5B0F5192" w14:textId="06002EA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7315BB7C" w14:textId="77777777" w:rsidTr="00185B81">
        <w:trPr>
          <w:cantSplit/>
        </w:trPr>
        <w:tc>
          <w:tcPr>
            <w:tcW w:w="709" w:type="dxa"/>
            <w:vAlign w:val="center"/>
          </w:tcPr>
          <w:p w14:paraId="76C0FDE8" w14:textId="500A8B44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ACT-33</w:t>
            </w:r>
          </w:p>
        </w:tc>
        <w:tc>
          <w:tcPr>
            <w:tcW w:w="3070" w:type="dxa"/>
            <w:vAlign w:val="center"/>
          </w:tcPr>
          <w:p w14:paraId="64D9A4B7" w14:textId="3F8D9E4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y diseño de pruebas de RF-08</w:t>
            </w:r>
          </w:p>
        </w:tc>
        <w:tc>
          <w:tcPr>
            <w:tcW w:w="7235" w:type="dxa"/>
            <w:vAlign w:val="center"/>
          </w:tcPr>
          <w:p w14:paraId="0C90EF01" w14:textId="36FEA75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Definición de los cuatro informes de ventas por periodo comercial (CA-01), formatos agregados y pruebas.</w:t>
            </w:r>
          </w:p>
        </w:tc>
        <w:tc>
          <w:tcPr>
            <w:tcW w:w="1478" w:type="dxa"/>
            <w:vAlign w:val="center"/>
          </w:tcPr>
          <w:p w14:paraId="2F2DA9C5" w14:textId="6266BDB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1.2.5.1</w:t>
            </w:r>
          </w:p>
        </w:tc>
        <w:tc>
          <w:tcPr>
            <w:tcW w:w="1155" w:type="dxa"/>
            <w:vAlign w:val="center"/>
          </w:tcPr>
          <w:p w14:paraId="05D6AB15" w14:textId="1A894B7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176E072B" w14:textId="20218F6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68408E" w14:paraId="0158A9B3" w14:textId="77777777" w:rsidTr="00185B81">
        <w:trPr>
          <w:cantSplit/>
        </w:trPr>
        <w:tc>
          <w:tcPr>
            <w:tcW w:w="709" w:type="dxa"/>
            <w:vAlign w:val="center"/>
          </w:tcPr>
          <w:p w14:paraId="2BAA9F96" w14:textId="4286C3C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ACT-34</w:t>
            </w:r>
          </w:p>
        </w:tc>
        <w:tc>
          <w:tcPr>
            <w:tcW w:w="3070" w:type="dxa"/>
            <w:vAlign w:val="center"/>
          </w:tcPr>
          <w:p w14:paraId="4BB90606" w14:textId="4711519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e integración de RF-08</w:t>
            </w:r>
          </w:p>
        </w:tc>
        <w:tc>
          <w:tcPr>
            <w:tcW w:w="7235" w:type="dxa"/>
            <w:vAlign w:val="center"/>
          </w:tcPr>
          <w:p w14:paraId="1428E76E" w14:textId="7E74768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Desarrollo del servicio de informes, agregación de ventas diarias, productos más vendidos y módulo web de dirección.</w:t>
            </w:r>
          </w:p>
        </w:tc>
        <w:tc>
          <w:tcPr>
            <w:tcW w:w="1478" w:type="dxa"/>
            <w:vAlign w:val="center"/>
          </w:tcPr>
          <w:p w14:paraId="004312E0" w14:textId="54F332D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1.2.5.2</w:t>
            </w:r>
          </w:p>
        </w:tc>
        <w:tc>
          <w:tcPr>
            <w:tcW w:w="1155" w:type="dxa"/>
            <w:vAlign w:val="center"/>
          </w:tcPr>
          <w:p w14:paraId="2837B96C" w14:textId="10F2453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7CD137DA" w14:textId="3956F48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68408E" w14:paraId="736771B1" w14:textId="77777777" w:rsidTr="00185B81">
        <w:trPr>
          <w:cantSplit/>
        </w:trPr>
        <w:tc>
          <w:tcPr>
            <w:tcW w:w="709" w:type="dxa"/>
            <w:vAlign w:val="center"/>
          </w:tcPr>
          <w:p w14:paraId="390F1E68" w14:textId="57F09253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ACT-35</w:t>
            </w:r>
          </w:p>
        </w:tc>
        <w:tc>
          <w:tcPr>
            <w:tcW w:w="3070" w:type="dxa"/>
            <w:vAlign w:val="center"/>
          </w:tcPr>
          <w:p w14:paraId="140E5207" w14:textId="432A507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Verificación de RF-08</w:t>
            </w:r>
          </w:p>
        </w:tc>
        <w:tc>
          <w:tcPr>
            <w:tcW w:w="7235" w:type="dxa"/>
            <w:vAlign w:val="center"/>
          </w:tcPr>
          <w:p w14:paraId="046D8CA5" w14:textId="495DEF0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Comprobación de cuadre de cifras contra ventas registradas y agregación por periodos comerciales.</w:t>
            </w:r>
          </w:p>
        </w:tc>
        <w:tc>
          <w:tcPr>
            <w:tcW w:w="1478" w:type="dxa"/>
            <w:vAlign w:val="center"/>
          </w:tcPr>
          <w:p w14:paraId="79B94EF5" w14:textId="33A7947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1.2.5.3</w:t>
            </w:r>
          </w:p>
        </w:tc>
        <w:tc>
          <w:tcPr>
            <w:tcW w:w="1155" w:type="dxa"/>
            <w:vAlign w:val="center"/>
          </w:tcPr>
          <w:p w14:paraId="551715F9" w14:textId="3EF6960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RF-08</w:t>
            </w:r>
          </w:p>
        </w:tc>
        <w:tc>
          <w:tcPr>
            <w:tcW w:w="923" w:type="dxa"/>
            <w:vAlign w:val="center"/>
          </w:tcPr>
          <w:p w14:paraId="71B2CCCB" w14:textId="14E688B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</w:tr>
      <w:tr w:rsidR="0068408E" w14:paraId="62FD62A2" w14:textId="77777777" w:rsidTr="00185B81">
        <w:trPr>
          <w:cantSplit/>
        </w:trPr>
        <w:tc>
          <w:tcPr>
            <w:tcW w:w="709" w:type="dxa"/>
            <w:vAlign w:val="center"/>
          </w:tcPr>
          <w:p w14:paraId="4088E049" w14:textId="6B17F68C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ACT-36</w:t>
            </w:r>
          </w:p>
        </w:tc>
        <w:tc>
          <w:tcPr>
            <w:tcW w:w="3070" w:type="dxa"/>
            <w:vAlign w:val="center"/>
          </w:tcPr>
          <w:p w14:paraId="5E111C7F" w14:textId="115A54C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Arquitectura y entorno de integración</w:t>
            </w:r>
          </w:p>
        </w:tc>
        <w:tc>
          <w:tcPr>
            <w:tcW w:w="7235" w:type="dxa"/>
            <w:vAlign w:val="center"/>
          </w:tcPr>
          <w:p w14:paraId="517F1505" w14:textId="5173B40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Configuración de repositorio Git, canalización CI/CD con pruebas automatizadas y entorno de desarrollo.</w:t>
            </w:r>
          </w:p>
        </w:tc>
        <w:tc>
          <w:tcPr>
            <w:tcW w:w="1478" w:type="dxa"/>
            <w:vAlign w:val="center"/>
          </w:tcPr>
          <w:p w14:paraId="13563557" w14:textId="5ECD766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1.3.1.1</w:t>
            </w:r>
          </w:p>
        </w:tc>
        <w:tc>
          <w:tcPr>
            <w:tcW w:w="1155" w:type="dxa"/>
            <w:vAlign w:val="center"/>
          </w:tcPr>
          <w:p w14:paraId="6D48F9E2" w14:textId="0B44712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EP-03</w:t>
            </w:r>
          </w:p>
        </w:tc>
        <w:tc>
          <w:tcPr>
            <w:tcW w:w="923" w:type="dxa"/>
            <w:vAlign w:val="center"/>
          </w:tcPr>
          <w:p w14:paraId="23A7448C" w14:textId="5BB5212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45691E4" w14:textId="77777777" w:rsidTr="006D41AD">
        <w:trPr>
          <w:cantSplit/>
        </w:trPr>
        <w:tc>
          <w:tcPr>
            <w:tcW w:w="709" w:type="dxa"/>
            <w:vAlign w:val="center"/>
          </w:tcPr>
          <w:p w14:paraId="47507C27" w14:textId="569C45C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ACT-37</w:t>
            </w:r>
          </w:p>
        </w:tc>
        <w:tc>
          <w:tcPr>
            <w:tcW w:w="3070" w:type="dxa"/>
            <w:vAlign w:val="center"/>
          </w:tcPr>
          <w:p w14:paraId="75B7C3B3" w14:textId="442F003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Especificación de interfaz con conector</w:t>
            </w:r>
          </w:p>
        </w:tc>
        <w:tc>
          <w:tcPr>
            <w:tcW w:w="7235" w:type="dxa"/>
            <w:vAlign w:val="center"/>
          </w:tcPr>
          <w:p w14:paraId="25DB9A92" w14:textId="5A28655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Redacción y acuerdo del contrato de interfaz técnica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con el conector del ERP (ESP, DA-03).</w:t>
            </w:r>
          </w:p>
        </w:tc>
        <w:tc>
          <w:tcPr>
            <w:tcW w:w="1478" w:type="dxa"/>
            <w:vAlign w:val="center"/>
          </w:tcPr>
          <w:p w14:paraId="74C5A648" w14:textId="5AC5BF1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1.3.1.2</w:t>
            </w:r>
          </w:p>
        </w:tc>
        <w:tc>
          <w:tcPr>
            <w:tcW w:w="1155" w:type="dxa"/>
            <w:vAlign w:val="center"/>
          </w:tcPr>
          <w:p w14:paraId="5D8910CA" w14:textId="6F41679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6E56004E" w14:textId="3B30049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C6B0D2A" w14:textId="77777777" w:rsidTr="006D41AD">
        <w:trPr>
          <w:cantSplit/>
        </w:trPr>
        <w:tc>
          <w:tcPr>
            <w:tcW w:w="709" w:type="dxa"/>
            <w:vAlign w:val="center"/>
          </w:tcPr>
          <w:p w14:paraId="570BBC64" w14:textId="3C2BFA21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ACT-38</w:t>
            </w:r>
          </w:p>
        </w:tc>
        <w:tc>
          <w:tcPr>
            <w:tcW w:w="3070" w:type="dxa"/>
            <w:vAlign w:val="center"/>
          </w:tcPr>
          <w:p w14:paraId="784731E6" w14:textId="7E279A7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Construcción de capa de adaptación al ERP</w:t>
            </w:r>
          </w:p>
        </w:tc>
        <w:tc>
          <w:tcPr>
            <w:tcW w:w="7235" w:type="dxa"/>
            <w:vAlign w:val="center"/>
          </w:tcPr>
          <w:p w14:paraId="5E524222" w14:textId="505D458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Programación de los módulos de sincronización de catálogo, precios, existencias y volcado de pedidos (ADP).</w:t>
            </w:r>
          </w:p>
        </w:tc>
        <w:tc>
          <w:tcPr>
            <w:tcW w:w="1478" w:type="dxa"/>
            <w:vAlign w:val="center"/>
          </w:tcPr>
          <w:p w14:paraId="14BFFCAE" w14:textId="25405F5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1.3.2.1</w:t>
            </w:r>
          </w:p>
        </w:tc>
        <w:tc>
          <w:tcPr>
            <w:tcW w:w="1155" w:type="dxa"/>
            <w:vAlign w:val="center"/>
          </w:tcPr>
          <w:p w14:paraId="244D4906" w14:textId="3195B77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43F72C4B" w14:textId="57AD031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DAA2928" w14:textId="77777777" w:rsidTr="006D41AD">
        <w:trPr>
          <w:cantSplit/>
        </w:trPr>
        <w:tc>
          <w:tcPr>
            <w:tcW w:w="709" w:type="dxa"/>
            <w:vAlign w:val="center"/>
          </w:tcPr>
          <w:p w14:paraId="492C6E31" w14:textId="235B4FAF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ACT-39</w:t>
            </w:r>
          </w:p>
        </w:tc>
        <w:tc>
          <w:tcPr>
            <w:tcW w:w="3070" w:type="dxa"/>
            <w:vAlign w:val="center"/>
          </w:tcPr>
          <w:p w14:paraId="488C2B63" w14:textId="010CC25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integración con ERP heredado</w:t>
            </w:r>
          </w:p>
        </w:tc>
        <w:tc>
          <w:tcPr>
            <w:tcW w:w="7235" w:type="dxa"/>
            <w:vAlign w:val="center"/>
          </w:tcPr>
          <w:p w14:paraId="446949C9" w14:textId="6189692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Ensayos de sincronización extremo a extremo con el ERP a través del conector en verificación (PRI).</w:t>
            </w:r>
          </w:p>
        </w:tc>
        <w:tc>
          <w:tcPr>
            <w:tcW w:w="1478" w:type="dxa"/>
            <w:vAlign w:val="center"/>
          </w:tcPr>
          <w:p w14:paraId="16406F2D" w14:textId="6F94420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1.3.3.1</w:t>
            </w:r>
          </w:p>
        </w:tc>
        <w:tc>
          <w:tcPr>
            <w:tcW w:w="1155" w:type="dxa"/>
            <w:vAlign w:val="center"/>
          </w:tcPr>
          <w:p w14:paraId="40F5CBF1" w14:textId="25B50C3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309DB80A" w14:textId="2DA14F9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F3FB065" w14:textId="77777777" w:rsidTr="006D41AD">
        <w:trPr>
          <w:cantSplit/>
        </w:trPr>
        <w:tc>
          <w:tcPr>
            <w:tcW w:w="709" w:type="dxa"/>
            <w:vAlign w:val="center"/>
          </w:tcPr>
          <w:p w14:paraId="3D20479B" w14:textId="2077895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ACT-40</w:t>
            </w:r>
          </w:p>
        </w:tc>
        <w:tc>
          <w:tcPr>
            <w:tcW w:w="3070" w:type="dxa"/>
            <w:vAlign w:val="center"/>
          </w:tcPr>
          <w:p w14:paraId="1A67DBC7" w14:textId="24DC592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inicial de datos en verificación</w:t>
            </w:r>
          </w:p>
        </w:tc>
        <w:tc>
          <w:tcPr>
            <w:tcW w:w="7235" w:type="dxa"/>
            <w:vAlign w:val="center"/>
          </w:tcPr>
          <w:p w14:paraId="1D672C4C" w14:textId="3455B7E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masiva de existencias, precios y referencias de las 32 tiendas en el entorno de verificación (CAR).</w:t>
            </w:r>
          </w:p>
        </w:tc>
        <w:tc>
          <w:tcPr>
            <w:tcW w:w="1478" w:type="dxa"/>
            <w:vAlign w:val="center"/>
          </w:tcPr>
          <w:p w14:paraId="1A1B32A2" w14:textId="577D580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1.3.3.2</w:t>
            </w:r>
          </w:p>
        </w:tc>
        <w:tc>
          <w:tcPr>
            <w:tcW w:w="1155" w:type="dxa"/>
            <w:vAlign w:val="center"/>
          </w:tcPr>
          <w:p w14:paraId="20722E38" w14:textId="7EA81F4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5763EB1E" w14:textId="12C59D6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2641606" w14:textId="77777777" w:rsidTr="006D41AD">
        <w:trPr>
          <w:cantSplit/>
        </w:trPr>
        <w:tc>
          <w:tcPr>
            <w:tcW w:w="709" w:type="dxa"/>
            <w:vAlign w:val="center"/>
          </w:tcPr>
          <w:p w14:paraId="4B5D6072" w14:textId="42331B9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ACT-41</w:t>
            </w:r>
          </w:p>
        </w:tc>
        <w:tc>
          <w:tcPr>
            <w:tcW w:w="3070" w:type="dxa"/>
            <w:vAlign w:val="center"/>
          </w:tcPr>
          <w:p w14:paraId="5849D21A" w14:textId="3DB6D7D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Solicitud y validación de recarga de datos</w:t>
            </w:r>
          </w:p>
        </w:tc>
        <w:tc>
          <w:tcPr>
            <w:tcW w:w="7235" w:type="dxa"/>
            <w:vAlign w:val="center"/>
          </w:tcPr>
          <w:p w14:paraId="230E08D6" w14:textId="2A82EE0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Petición formal a Sistemas de TI de recarga de datos y comprobación de integridad (CVE, RT-02).</w:t>
            </w:r>
          </w:p>
        </w:tc>
        <w:tc>
          <w:tcPr>
            <w:tcW w:w="1478" w:type="dxa"/>
            <w:vAlign w:val="center"/>
          </w:tcPr>
          <w:p w14:paraId="6C75C7F7" w14:textId="7BF17E3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1.3.3.3</w:t>
            </w:r>
          </w:p>
        </w:tc>
        <w:tc>
          <w:tcPr>
            <w:tcW w:w="1155" w:type="dxa"/>
            <w:vAlign w:val="center"/>
          </w:tcPr>
          <w:p w14:paraId="7D8540D8" w14:textId="7A840CB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7C1590E2" w14:textId="36E9021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421C2045" w14:textId="77777777" w:rsidTr="006D41AD">
        <w:trPr>
          <w:cantSplit/>
        </w:trPr>
        <w:tc>
          <w:tcPr>
            <w:tcW w:w="709" w:type="dxa"/>
            <w:vAlign w:val="center"/>
          </w:tcPr>
          <w:p w14:paraId="7058F3AF" w14:textId="24019042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ACT-42</w:t>
            </w:r>
          </w:p>
        </w:tc>
        <w:tc>
          <w:tcPr>
            <w:tcW w:w="3070" w:type="dxa"/>
            <w:vAlign w:val="center"/>
          </w:tcPr>
          <w:p w14:paraId="1F89643B" w14:textId="6B08096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carga y rendimiento</w:t>
            </w:r>
          </w:p>
        </w:tc>
        <w:tc>
          <w:tcPr>
            <w:tcW w:w="7235" w:type="dxa"/>
            <w:vAlign w:val="center"/>
          </w:tcPr>
          <w:p w14:paraId="74D6F563" w14:textId="2E5D443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Ensayos en preproducción simulando 2.000 usuarios concurrentes y tiempos de respuesta &lt; 2 s (PCA, RNF-01).</w:t>
            </w:r>
          </w:p>
        </w:tc>
        <w:tc>
          <w:tcPr>
            <w:tcW w:w="1478" w:type="dxa"/>
            <w:vAlign w:val="center"/>
          </w:tcPr>
          <w:p w14:paraId="7590BB84" w14:textId="4B0F4B7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1.4.1.1</w:t>
            </w:r>
          </w:p>
        </w:tc>
        <w:tc>
          <w:tcPr>
            <w:tcW w:w="1155" w:type="dxa"/>
            <w:vAlign w:val="center"/>
          </w:tcPr>
          <w:p w14:paraId="4C76AE2A" w14:textId="24D02C9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00045ACD" w14:textId="614B747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37565E56" w14:textId="77777777" w:rsidTr="006D41AD">
        <w:trPr>
          <w:cantSplit/>
        </w:trPr>
        <w:tc>
          <w:tcPr>
            <w:tcW w:w="709" w:type="dxa"/>
            <w:vAlign w:val="center"/>
          </w:tcPr>
          <w:p w14:paraId="40C8E9B9" w14:textId="26BF2038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ACT-43</w:t>
            </w:r>
          </w:p>
        </w:tc>
        <w:tc>
          <w:tcPr>
            <w:tcW w:w="3070" w:type="dxa"/>
            <w:vAlign w:val="center"/>
          </w:tcPr>
          <w:p w14:paraId="76BB326C" w14:textId="0D43BFE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seguridad de la plataforma</w:t>
            </w:r>
          </w:p>
        </w:tc>
        <w:tc>
          <w:tcPr>
            <w:tcW w:w="7235" w:type="dxa"/>
            <w:vAlign w:val="center"/>
          </w:tcPr>
          <w:p w14:paraId="068A5FBC" w14:textId="7B2636F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Auditoría de vulnerabilidades, cifrado de comunicaciones y protección de datos (PSE, RNF-03).</w:t>
            </w:r>
          </w:p>
        </w:tc>
        <w:tc>
          <w:tcPr>
            <w:tcW w:w="1478" w:type="dxa"/>
            <w:vAlign w:val="center"/>
          </w:tcPr>
          <w:p w14:paraId="05876493" w14:textId="041896F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1.4.1.1</w:t>
            </w:r>
          </w:p>
        </w:tc>
        <w:tc>
          <w:tcPr>
            <w:tcW w:w="1155" w:type="dxa"/>
            <w:vAlign w:val="center"/>
          </w:tcPr>
          <w:p w14:paraId="362A1480" w14:textId="3E63B8A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076135B7" w14:textId="12B09AD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5E323D61" w14:textId="77777777" w:rsidTr="006D41AD">
        <w:trPr>
          <w:cantSplit/>
        </w:trPr>
        <w:tc>
          <w:tcPr>
            <w:tcW w:w="709" w:type="dxa"/>
            <w:vAlign w:val="center"/>
          </w:tcPr>
          <w:p w14:paraId="004D1833" w14:textId="1C31FE35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ACT-44</w:t>
            </w:r>
          </w:p>
        </w:tc>
        <w:tc>
          <w:tcPr>
            <w:tcW w:w="3070" w:type="dxa"/>
            <w:vAlign w:val="center"/>
          </w:tcPr>
          <w:p w14:paraId="28A60B96" w14:textId="44F1FCA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Auditoría de pasarela de pago</w:t>
            </w:r>
          </w:p>
        </w:tc>
        <w:tc>
          <w:tcPr>
            <w:tcW w:w="7235" w:type="dxa"/>
            <w:vAlign w:val="center"/>
          </w:tcPr>
          <w:p w14:paraId="05172FAC" w14:textId="1275DAB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Gestión y superación de la auditoría técnica de 15 días hábiles del banco para credenciales reales (AUD).</w:t>
            </w:r>
          </w:p>
        </w:tc>
        <w:tc>
          <w:tcPr>
            <w:tcW w:w="1478" w:type="dxa"/>
            <w:vAlign w:val="center"/>
          </w:tcPr>
          <w:p w14:paraId="658C817E" w14:textId="4E53C49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1.4.1.2</w:t>
            </w:r>
          </w:p>
        </w:tc>
        <w:tc>
          <w:tcPr>
            <w:tcW w:w="1155" w:type="dxa"/>
            <w:vAlign w:val="center"/>
          </w:tcPr>
          <w:p w14:paraId="5A50BED3" w14:textId="7EA8C9B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66B58EC0" w14:textId="2C4F3F8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BC6553B" w14:textId="77777777" w:rsidTr="006D41AD">
        <w:trPr>
          <w:cantSplit/>
        </w:trPr>
        <w:tc>
          <w:tcPr>
            <w:tcW w:w="709" w:type="dxa"/>
            <w:vAlign w:val="center"/>
          </w:tcPr>
          <w:p w14:paraId="79BCD5AF" w14:textId="77460EE9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ACT-45</w:t>
            </w:r>
          </w:p>
        </w:tc>
        <w:tc>
          <w:tcPr>
            <w:tcW w:w="3070" w:type="dxa"/>
            <w:vAlign w:val="center"/>
          </w:tcPr>
          <w:p w14:paraId="5C5E8B91" w14:textId="55B7092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Montaje y configuración de producción</w:t>
            </w:r>
          </w:p>
        </w:tc>
        <w:tc>
          <w:tcPr>
            <w:tcW w:w="7235" w:type="dxa"/>
            <w:vAlign w:val="center"/>
          </w:tcPr>
          <w:p w14:paraId="321D1038" w14:textId="69E7684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de infraestructura, aprovisionamiento de contenedores y configuración de entornos (EP-06).</w:t>
            </w:r>
          </w:p>
        </w:tc>
        <w:tc>
          <w:tcPr>
            <w:tcW w:w="1478" w:type="dxa"/>
            <w:vAlign w:val="center"/>
          </w:tcPr>
          <w:p w14:paraId="20040651" w14:textId="6D9915D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1.4.2.1</w:t>
            </w:r>
          </w:p>
        </w:tc>
        <w:tc>
          <w:tcPr>
            <w:tcW w:w="1155" w:type="dxa"/>
            <w:vAlign w:val="center"/>
          </w:tcPr>
          <w:p w14:paraId="55732053" w14:textId="24E8622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3CABF442" w14:textId="0209514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C5075FC" w14:textId="77777777" w:rsidTr="006D41AD">
        <w:trPr>
          <w:cantSplit/>
        </w:trPr>
        <w:tc>
          <w:tcPr>
            <w:tcW w:w="709" w:type="dxa"/>
            <w:vAlign w:val="center"/>
          </w:tcPr>
          <w:p w14:paraId="4F3D0ED6" w14:textId="3A80AB20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ACT-46</w:t>
            </w:r>
          </w:p>
        </w:tc>
        <w:tc>
          <w:tcPr>
            <w:tcW w:w="3070" w:type="dxa"/>
            <w:vAlign w:val="center"/>
          </w:tcPr>
          <w:p w14:paraId="746F15BC" w14:textId="7531AE4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para tiendas piloto</w:t>
            </w:r>
          </w:p>
        </w:tc>
        <w:tc>
          <w:tcPr>
            <w:tcW w:w="7235" w:type="dxa"/>
            <w:vAlign w:val="center"/>
          </w:tcPr>
          <w:p w14:paraId="64A1C003" w14:textId="0DF8183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Puesta en producción restringida de la plataforma para las 3 tiendas designadas por </w:t>
            </w:r>
            <w:proofErr w:type="spellStart"/>
            <w:r>
              <w:rPr>
                <w:sz w:val="20"/>
                <w:szCs w:val="20"/>
              </w:rPr>
              <w:t>TuSuper</w:t>
            </w:r>
            <w:proofErr w:type="spellEnd"/>
            <w:r>
              <w:rPr>
                <w:sz w:val="20"/>
                <w:szCs w:val="20"/>
              </w:rPr>
              <w:t xml:space="preserve"> (DPI).</w:t>
            </w:r>
          </w:p>
        </w:tc>
        <w:tc>
          <w:tcPr>
            <w:tcW w:w="1478" w:type="dxa"/>
            <w:vAlign w:val="center"/>
          </w:tcPr>
          <w:p w14:paraId="2C501087" w14:textId="01C4B20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1.4.2.2</w:t>
            </w:r>
          </w:p>
        </w:tc>
        <w:tc>
          <w:tcPr>
            <w:tcW w:w="1155" w:type="dxa"/>
            <w:vAlign w:val="center"/>
          </w:tcPr>
          <w:p w14:paraId="1696D1EE" w14:textId="71EF2A3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3300447E" w14:textId="7F3327C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5BC93550" w14:textId="77777777" w:rsidTr="004B38FB">
        <w:trPr>
          <w:cantSplit/>
        </w:trPr>
        <w:tc>
          <w:tcPr>
            <w:tcW w:w="709" w:type="dxa"/>
            <w:vAlign w:val="center"/>
          </w:tcPr>
          <w:p w14:paraId="2041ECD8" w14:textId="291DD016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ACT-47</w:t>
            </w:r>
          </w:p>
        </w:tc>
        <w:tc>
          <w:tcPr>
            <w:tcW w:w="3070" w:type="dxa"/>
            <w:vAlign w:val="center"/>
          </w:tcPr>
          <w:p w14:paraId="1C27E28D" w14:textId="77C4988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inicial de datos en producción</w:t>
            </w:r>
          </w:p>
        </w:tc>
        <w:tc>
          <w:tcPr>
            <w:tcW w:w="7235" w:type="dxa"/>
            <w:vAlign w:val="center"/>
          </w:tcPr>
          <w:p w14:paraId="412B0B06" w14:textId="4C1C909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Carga de catálogo real y existencias vivas de las 3 tiendas piloto previo al arranque (CAR).</w:t>
            </w:r>
          </w:p>
        </w:tc>
        <w:tc>
          <w:tcPr>
            <w:tcW w:w="1478" w:type="dxa"/>
            <w:vAlign w:val="center"/>
          </w:tcPr>
          <w:p w14:paraId="2B52A9D1" w14:textId="7EE4D6E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1.4.2.3</w:t>
            </w:r>
          </w:p>
        </w:tc>
        <w:tc>
          <w:tcPr>
            <w:tcW w:w="1155" w:type="dxa"/>
            <w:vAlign w:val="center"/>
          </w:tcPr>
          <w:p w14:paraId="1D497917" w14:textId="2C16915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EP-04</w:t>
            </w:r>
          </w:p>
        </w:tc>
        <w:tc>
          <w:tcPr>
            <w:tcW w:w="923" w:type="dxa"/>
            <w:vAlign w:val="center"/>
          </w:tcPr>
          <w:p w14:paraId="26B729BE" w14:textId="78D2ED5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57DFA15B" w14:textId="77777777" w:rsidTr="004B38FB">
        <w:trPr>
          <w:cantSplit/>
        </w:trPr>
        <w:tc>
          <w:tcPr>
            <w:tcW w:w="709" w:type="dxa"/>
            <w:vAlign w:val="center"/>
          </w:tcPr>
          <w:p w14:paraId="20863D38" w14:textId="4EE896B9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ACT-48</w:t>
            </w:r>
          </w:p>
        </w:tc>
        <w:tc>
          <w:tcPr>
            <w:tcW w:w="3070" w:type="dxa"/>
            <w:vAlign w:val="center"/>
          </w:tcPr>
          <w:p w14:paraId="58E7404C" w14:textId="4BEB08F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Soporte y operación del piloto</w:t>
            </w:r>
          </w:p>
        </w:tc>
        <w:tc>
          <w:tcPr>
            <w:tcW w:w="7235" w:type="dxa"/>
            <w:vAlign w:val="center"/>
          </w:tcPr>
          <w:p w14:paraId="3A9A81DF" w14:textId="12C3590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Seguimiento técnico del piloto en 3 tiendas durante al menos dos ciclos semanales de reposición (PIL, CA-03).</w:t>
            </w:r>
          </w:p>
        </w:tc>
        <w:tc>
          <w:tcPr>
            <w:tcW w:w="1478" w:type="dxa"/>
            <w:vAlign w:val="center"/>
          </w:tcPr>
          <w:p w14:paraId="54750ED1" w14:textId="6B3A1F1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1.4.3.1</w:t>
            </w:r>
          </w:p>
        </w:tc>
        <w:tc>
          <w:tcPr>
            <w:tcW w:w="1155" w:type="dxa"/>
            <w:vAlign w:val="center"/>
          </w:tcPr>
          <w:p w14:paraId="29C65AB8" w14:textId="2FC81AF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EP-05</w:t>
            </w:r>
          </w:p>
        </w:tc>
        <w:tc>
          <w:tcPr>
            <w:tcW w:w="923" w:type="dxa"/>
            <w:vAlign w:val="center"/>
          </w:tcPr>
          <w:p w14:paraId="399302CF" w14:textId="2ABE31A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1379C84F" w14:textId="77777777" w:rsidTr="004B38FB">
        <w:trPr>
          <w:cantSplit/>
        </w:trPr>
        <w:tc>
          <w:tcPr>
            <w:tcW w:w="709" w:type="dxa"/>
            <w:vAlign w:val="center"/>
          </w:tcPr>
          <w:p w14:paraId="3A4DCBB1" w14:textId="5D835338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ACT-49</w:t>
            </w:r>
          </w:p>
        </w:tc>
        <w:tc>
          <w:tcPr>
            <w:tcW w:w="3070" w:type="dxa"/>
            <w:vAlign w:val="center"/>
          </w:tcPr>
          <w:p w14:paraId="558C1745" w14:textId="121C61B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Despliegue general en toda la cadena</w:t>
            </w:r>
          </w:p>
        </w:tc>
        <w:tc>
          <w:tcPr>
            <w:tcW w:w="7235" w:type="dxa"/>
            <w:vAlign w:val="center"/>
          </w:tcPr>
          <w:p w14:paraId="7A65A753" w14:textId="65DE53B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Entrada en explotación abriendo la venta en línea a las 32 tiendas antes del 15 de marzo (EXP).</w:t>
            </w:r>
          </w:p>
        </w:tc>
        <w:tc>
          <w:tcPr>
            <w:tcW w:w="1478" w:type="dxa"/>
            <w:vAlign w:val="center"/>
          </w:tcPr>
          <w:p w14:paraId="28D1259F" w14:textId="1D3DAACF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1.4.4.1</w:t>
            </w:r>
          </w:p>
        </w:tc>
        <w:tc>
          <w:tcPr>
            <w:tcW w:w="1155" w:type="dxa"/>
            <w:vAlign w:val="center"/>
          </w:tcPr>
          <w:p w14:paraId="7A9D1202" w14:textId="61CE843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EP-06</w:t>
            </w:r>
          </w:p>
        </w:tc>
        <w:tc>
          <w:tcPr>
            <w:tcW w:w="923" w:type="dxa"/>
            <w:vAlign w:val="center"/>
          </w:tcPr>
          <w:p w14:paraId="76C8E157" w14:textId="4AB2201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4CE09586" w14:textId="77777777" w:rsidTr="004B38FB">
        <w:trPr>
          <w:cantSplit/>
        </w:trPr>
        <w:tc>
          <w:tcPr>
            <w:tcW w:w="709" w:type="dxa"/>
            <w:vAlign w:val="center"/>
          </w:tcPr>
          <w:p w14:paraId="6E15A000" w14:textId="2E861FD2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ACT-50</w:t>
            </w:r>
          </w:p>
        </w:tc>
        <w:tc>
          <w:tcPr>
            <w:tcW w:w="3070" w:type="dxa"/>
            <w:vAlign w:val="center"/>
          </w:tcPr>
          <w:p w14:paraId="4EA8157D" w14:textId="6A7F92B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Elaboración de manuales y guías</w:t>
            </w:r>
          </w:p>
        </w:tc>
        <w:tc>
          <w:tcPr>
            <w:tcW w:w="7235" w:type="dxa"/>
            <w:vAlign w:val="center"/>
          </w:tcPr>
          <w:p w14:paraId="214D2F0F" w14:textId="3B2CE8C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Redacción del manual de uso del panel de tiendas y de la guía operativa para repartidores (EP-07).</w:t>
            </w:r>
          </w:p>
        </w:tc>
        <w:tc>
          <w:tcPr>
            <w:tcW w:w="1478" w:type="dxa"/>
            <w:vAlign w:val="center"/>
          </w:tcPr>
          <w:p w14:paraId="29131357" w14:textId="44EBC44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1.5.1.1</w:t>
            </w:r>
          </w:p>
        </w:tc>
        <w:tc>
          <w:tcPr>
            <w:tcW w:w="1155" w:type="dxa"/>
            <w:vAlign w:val="center"/>
          </w:tcPr>
          <w:p w14:paraId="5BD9AF9E" w14:textId="23D5E6C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EP-07</w:t>
            </w:r>
          </w:p>
        </w:tc>
        <w:tc>
          <w:tcPr>
            <w:tcW w:w="923" w:type="dxa"/>
            <w:vAlign w:val="center"/>
          </w:tcPr>
          <w:p w14:paraId="49333762" w14:textId="600269D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2849A4A0" w14:textId="77777777" w:rsidTr="004B38FB">
        <w:trPr>
          <w:cantSplit/>
        </w:trPr>
        <w:tc>
          <w:tcPr>
            <w:tcW w:w="709" w:type="dxa"/>
            <w:vAlign w:val="center"/>
          </w:tcPr>
          <w:p w14:paraId="1CB5ABE3" w14:textId="57A2E38C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ACT-51</w:t>
            </w:r>
          </w:p>
        </w:tc>
        <w:tc>
          <w:tcPr>
            <w:tcW w:w="3070" w:type="dxa"/>
            <w:vAlign w:val="center"/>
          </w:tcPr>
          <w:p w14:paraId="008FE52E" w14:textId="1F00638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Entrega y acceso al dpto. de formación</w:t>
            </w:r>
          </w:p>
        </w:tc>
        <w:tc>
          <w:tcPr>
            <w:tcW w:w="7235" w:type="dxa"/>
            <w:vAlign w:val="center"/>
          </w:tcPr>
          <w:p w14:paraId="2B57D4A7" w14:textId="6CF6FA9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Entrega de manuales y habilitación de accesos en preproducción al departamento de formación (DFO).</w:t>
            </w:r>
          </w:p>
        </w:tc>
        <w:tc>
          <w:tcPr>
            <w:tcW w:w="1478" w:type="dxa"/>
            <w:vAlign w:val="center"/>
          </w:tcPr>
          <w:p w14:paraId="6385D452" w14:textId="59F7ACA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1.5.1.2</w:t>
            </w:r>
          </w:p>
        </w:tc>
        <w:tc>
          <w:tcPr>
            <w:tcW w:w="1155" w:type="dxa"/>
            <w:vAlign w:val="center"/>
          </w:tcPr>
          <w:p w14:paraId="202F4856" w14:textId="0DA72EA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548235"/>
                <w:sz w:val="20"/>
                <w:szCs w:val="20"/>
              </w:rPr>
              <w:t>EP-07</w:t>
            </w:r>
          </w:p>
        </w:tc>
        <w:tc>
          <w:tcPr>
            <w:tcW w:w="923" w:type="dxa"/>
            <w:vAlign w:val="center"/>
          </w:tcPr>
          <w:p w14:paraId="50F6D4AC" w14:textId="61B5880B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B6B18EF" w14:textId="77777777" w:rsidTr="004B38FB">
        <w:trPr>
          <w:cantSplit/>
        </w:trPr>
        <w:tc>
          <w:tcPr>
            <w:tcW w:w="709" w:type="dxa"/>
            <w:vAlign w:val="center"/>
          </w:tcPr>
          <w:p w14:paraId="026EF8E9" w14:textId="0C3103DD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lastRenderedPageBreak/>
              <w:t>ACT-52</w:t>
            </w:r>
          </w:p>
        </w:tc>
        <w:tc>
          <w:tcPr>
            <w:tcW w:w="3070" w:type="dxa"/>
            <w:vAlign w:val="center"/>
          </w:tcPr>
          <w:p w14:paraId="764FBBD0" w14:textId="4F6DDE0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Pedido y contratación del conector</w:t>
            </w:r>
          </w:p>
        </w:tc>
        <w:tc>
          <w:tcPr>
            <w:tcW w:w="7235" w:type="dxa"/>
            <w:vAlign w:val="center"/>
          </w:tcPr>
          <w:p w14:paraId="6BE50B1B" w14:textId="44EC4501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 xml:space="preserve">Formalización del pedido de compra del conector homologado a </w:t>
            </w:r>
            <w:proofErr w:type="spellStart"/>
            <w:r>
              <w:rPr>
                <w:sz w:val="20"/>
                <w:szCs w:val="20"/>
              </w:rPr>
              <w:t>Conectia</w:t>
            </w:r>
            <w:proofErr w:type="spellEnd"/>
            <w:r>
              <w:rPr>
                <w:sz w:val="20"/>
                <w:szCs w:val="20"/>
              </w:rPr>
              <w:t xml:space="preserve"> Integración de Sistemas (PED).</w:t>
            </w:r>
          </w:p>
        </w:tc>
        <w:tc>
          <w:tcPr>
            <w:tcW w:w="1478" w:type="dxa"/>
            <w:vAlign w:val="center"/>
          </w:tcPr>
          <w:p w14:paraId="4CE7F4FB" w14:textId="37201E9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1.6.1.1</w:t>
            </w:r>
          </w:p>
        </w:tc>
        <w:tc>
          <w:tcPr>
            <w:tcW w:w="1155" w:type="dxa"/>
            <w:vAlign w:val="center"/>
          </w:tcPr>
          <w:p w14:paraId="79AE29DB" w14:textId="6643526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2988AD3F" w14:textId="3FBD7D22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B21A097" w14:textId="77777777" w:rsidTr="004B38FB">
        <w:trPr>
          <w:cantSplit/>
        </w:trPr>
        <w:tc>
          <w:tcPr>
            <w:tcW w:w="709" w:type="dxa"/>
            <w:vAlign w:val="center"/>
          </w:tcPr>
          <w:p w14:paraId="08BBC28E" w14:textId="637645E9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ACT-53</w:t>
            </w:r>
          </w:p>
        </w:tc>
        <w:tc>
          <w:tcPr>
            <w:tcW w:w="3070" w:type="dxa"/>
            <w:vAlign w:val="center"/>
          </w:tcPr>
          <w:p w14:paraId="262369D3" w14:textId="4B64DD33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Seguimiento del proveedor del conector</w:t>
            </w:r>
          </w:p>
        </w:tc>
        <w:tc>
          <w:tcPr>
            <w:tcW w:w="7235" w:type="dxa"/>
            <w:vAlign w:val="center"/>
          </w:tcPr>
          <w:p w14:paraId="379F8BE2" w14:textId="7786DA6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Monitorización de hitos, entregas intermedias y plazos del proveedor del conector (SEG).</w:t>
            </w:r>
          </w:p>
        </w:tc>
        <w:tc>
          <w:tcPr>
            <w:tcW w:w="1478" w:type="dxa"/>
            <w:vAlign w:val="center"/>
          </w:tcPr>
          <w:p w14:paraId="7EC63AD5" w14:textId="0B7551F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1.6.1.2</w:t>
            </w:r>
          </w:p>
        </w:tc>
        <w:tc>
          <w:tcPr>
            <w:tcW w:w="1155" w:type="dxa"/>
            <w:vAlign w:val="center"/>
          </w:tcPr>
          <w:p w14:paraId="15CC0680" w14:textId="2ED68BE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F221F8F" w14:textId="77C223F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037C139D" w14:textId="77777777" w:rsidTr="004B38FB">
        <w:trPr>
          <w:cantSplit/>
        </w:trPr>
        <w:tc>
          <w:tcPr>
            <w:tcW w:w="709" w:type="dxa"/>
            <w:vAlign w:val="center"/>
          </w:tcPr>
          <w:p w14:paraId="57BCB981" w14:textId="6DE9942A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ACT-54</w:t>
            </w:r>
          </w:p>
        </w:tc>
        <w:tc>
          <w:tcPr>
            <w:tcW w:w="3070" w:type="dxa"/>
            <w:vAlign w:val="center"/>
          </w:tcPr>
          <w:p w14:paraId="7E2574C8" w14:textId="34E5F15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Aceptación formal del conector</w:t>
            </w:r>
          </w:p>
        </w:tc>
        <w:tc>
          <w:tcPr>
            <w:tcW w:w="7235" w:type="dxa"/>
            <w:vAlign w:val="center"/>
          </w:tcPr>
          <w:p w14:paraId="7DFE2493" w14:textId="7468679A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Pruebas de conformidad y firma del acta de recepción técnica del conector (ACO).</w:t>
            </w:r>
          </w:p>
        </w:tc>
        <w:tc>
          <w:tcPr>
            <w:tcW w:w="1478" w:type="dxa"/>
            <w:vAlign w:val="center"/>
          </w:tcPr>
          <w:p w14:paraId="19CE086D" w14:textId="645B665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1.6.1.3</w:t>
            </w:r>
          </w:p>
        </w:tc>
        <w:tc>
          <w:tcPr>
            <w:tcW w:w="1155" w:type="dxa"/>
            <w:vAlign w:val="center"/>
          </w:tcPr>
          <w:p w14:paraId="1025FC2B" w14:textId="21723149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1C47A470" w14:textId="34D985E7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64327ED5" w14:textId="77777777" w:rsidTr="004B38FB">
        <w:trPr>
          <w:cantSplit/>
        </w:trPr>
        <w:tc>
          <w:tcPr>
            <w:tcW w:w="709" w:type="dxa"/>
            <w:vAlign w:val="center"/>
          </w:tcPr>
          <w:p w14:paraId="37EB8951" w14:textId="17F2B43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ACT-55</w:t>
            </w:r>
          </w:p>
        </w:tc>
        <w:tc>
          <w:tcPr>
            <w:tcW w:w="3070" w:type="dxa"/>
            <w:vAlign w:val="center"/>
          </w:tcPr>
          <w:p w14:paraId="61FFA989" w14:textId="54F8EF95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Formalización del encargo de formación</w:t>
            </w:r>
          </w:p>
        </w:tc>
        <w:tc>
          <w:tcPr>
            <w:tcW w:w="7235" w:type="dxa"/>
            <w:vAlign w:val="center"/>
          </w:tcPr>
          <w:p w14:paraId="2817E70E" w14:textId="6D0C112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Emisión del encargo de formación a usuarios al departamento interno de Taracea (EFO, NOR-26).</w:t>
            </w:r>
          </w:p>
        </w:tc>
        <w:tc>
          <w:tcPr>
            <w:tcW w:w="1478" w:type="dxa"/>
            <w:vAlign w:val="center"/>
          </w:tcPr>
          <w:p w14:paraId="3807C859" w14:textId="02FADFD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1.6.2.1</w:t>
            </w:r>
          </w:p>
        </w:tc>
        <w:tc>
          <w:tcPr>
            <w:tcW w:w="1155" w:type="dxa"/>
            <w:vAlign w:val="center"/>
          </w:tcPr>
          <w:p w14:paraId="1D9DC405" w14:textId="6D69C020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875A472" w14:textId="0CFC6BFD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30BDFA4F" w14:textId="77777777" w:rsidTr="004B38FB">
        <w:trPr>
          <w:cantSplit/>
        </w:trPr>
        <w:tc>
          <w:tcPr>
            <w:tcW w:w="709" w:type="dxa"/>
            <w:vAlign w:val="center"/>
          </w:tcPr>
          <w:p w14:paraId="5973D3A0" w14:textId="4AC783BB" w:rsidR="0068408E" w:rsidRDefault="0068408E" w:rsidP="0068408E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bCs/>
                <w:color w:val="1F497D"/>
                <w:sz w:val="20"/>
                <w:szCs w:val="20"/>
              </w:rPr>
              <w:t>ACT-56</w:t>
            </w:r>
          </w:p>
        </w:tc>
        <w:tc>
          <w:tcPr>
            <w:tcW w:w="3070" w:type="dxa"/>
            <w:vAlign w:val="center"/>
          </w:tcPr>
          <w:p w14:paraId="4B8A9749" w14:textId="631566F6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Formación de personal de tiendas piloto</w:t>
            </w:r>
          </w:p>
        </w:tc>
        <w:tc>
          <w:tcPr>
            <w:tcW w:w="7235" w:type="dxa"/>
            <w:vAlign w:val="center"/>
          </w:tcPr>
          <w:p w14:paraId="1EDAB685" w14:textId="471BD6E4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Impartición de las sesiones formativas al personal de las 3 tiendas piloto en el uso de la plataforma (FPI).</w:t>
            </w:r>
          </w:p>
        </w:tc>
        <w:tc>
          <w:tcPr>
            <w:tcW w:w="1478" w:type="dxa"/>
            <w:vAlign w:val="center"/>
          </w:tcPr>
          <w:p w14:paraId="4798CE7A" w14:textId="120FB568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1.6.2.2</w:t>
            </w:r>
          </w:p>
        </w:tc>
        <w:tc>
          <w:tcPr>
            <w:tcW w:w="1155" w:type="dxa"/>
            <w:vAlign w:val="center"/>
          </w:tcPr>
          <w:p w14:paraId="4C360712" w14:textId="7FAF22AE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23" w:type="dxa"/>
            <w:vAlign w:val="center"/>
          </w:tcPr>
          <w:p w14:paraId="4FBA14D4" w14:textId="7CD26D7C" w:rsidR="0068408E" w:rsidRDefault="0068408E" w:rsidP="0068408E">
            <w:pPr>
              <w:spacing w:before="120" w:after="120"/>
              <w:rPr>
                <w:b/>
                <w:sz w:val="19"/>
                <w:szCs w:val="19"/>
              </w:rPr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  <w:tr w:rsidR="0068408E" w14:paraId="74B6D9DC" w14:textId="77777777" w:rsidTr="00D912EC">
        <w:trPr>
          <w:cantSplit/>
        </w:trPr>
        <w:tc>
          <w:tcPr>
            <w:tcW w:w="709" w:type="dxa"/>
          </w:tcPr>
          <w:p w14:paraId="2DB3F98E" w14:textId="77777777" w:rsidR="0068408E" w:rsidRDefault="0068408E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6C797528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0A905EB2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5F8D7A26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5193F971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34D544A2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68408E" w14:paraId="04350F2C" w14:textId="77777777" w:rsidTr="00D912EC">
        <w:trPr>
          <w:cantSplit/>
        </w:trPr>
        <w:tc>
          <w:tcPr>
            <w:tcW w:w="709" w:type="dxa"/>
          </w:tcPr>
          <w:p w14:paraId="7BF8876A" w14:textId="77777777" w:rsidR="0068408E" w:rsidRDefault="0068408E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086FE027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46F6E859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093C704F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6EAD2F3C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04F9F4E8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68408E" w14:paraId="52817970" w14:textId="77777777" w:rsidTr="00D912EC">
        <w:trPr>
          <w:cantSplit/>
        </w:trPr>
        <w:tc>
          <w:tcPr>
            <w:tcW w:w="709" w:type="dxa"/>
          </w:tcPr>
          <w:p w14:paraId="3E6355B1" w14:textId="77777777" w:rsidR="0068408E" w:rsidRDefault="0068408E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03DB390D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0C2861B8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043999F4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30D3CB68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482F1D3D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  <w:tr w:rsidR="0068408E" w14:paraId="6F92D8FF" w14:textId="77777777" w:rsidTr="00D912EC">
        <w:trPr>
          <w:cantSplit/>
        </w:trPr>
        <w:tc>
          <w:tcPr>
            <w:tcW w:w="709" w:type="dxa"/>
          </w:tcPr>
          <w:p w14:paraId="08704D9B" w14:textId="77777777" w:rsidR="0068408E" w:rsidRDefault="0068408E" w:rsidP="00BD4FA7">
            <w:pPr>
              <w:spacing w:before="120" w:after="120"/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070" w:type="dxa"/>
          </w:tcPr>
          <w:p w14:paraId="575DE942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7235" w:type="dxa"/>
          </w:tcPr>
          <w:p w14:paraId="48CA5A6C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478" w:type="dxa"/>
          </w:tcPr>
          <w:p w14:paraId="15FBCC16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1155" w:type="dxa"/>
          </w:tcPr>
          <w:p w14:paraId="77D11C37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  <w:tc>
          <w:tcPr>
            <w:tcW w:w="923" w:type="dxa"/>
          </w:tcPr>
          <w:p w14:paraId="2C345AF9" w14:textId="77777777" w:rsidR="0068408E" w:rsidRDefault="0068408E" w:rsidP="00BD4FA7">
            <w:pPr>
              <w:spacing w:before="120" w:after="120"/>
              <w:rPr>
                <w:b/>
                <w:sz w:val="19"/>
                <w:szCs w:val="19"/>
              </w:rPr>
            </w:pPr>
          </w:p>
        </w:tc>
      </w:tr>
    </w:tbl>
    <w:p w14:paraId="3C1BF52F" w14:textId="77777777" w:rsidR="00D36F9F" w:rsidRDefault="00000000">
      <w:r>
        <w:rPr>
          <w:i/>
          <w:color w:val="357080"/>
        </w:rPr>
        <w:t>Recuadro de ayuda: puede borrarse antes de entregar. ELEMENTO es el código del catálogo de elementos de producto al que sirve la actividad (RF-0n o EP-0n), y ESTADO, cuál de los tres de NOR-11 hace avanzar: E, C o V. Las actividades de adquisiciones, de transición y de dirección del proyecto no sirven a ningún elemento y llevan una raya en las dos columnas. En MS Project, el elemento va en el campo Texto1 y el estado, en el campo Texto2.</w:t>
      </w:r>
    </w:p>
    <w:p w14:paraId="1799ED2F" w14:textId="77777777" w:rsidR="00BD4FA7" w:rsidRDefault="00BD4FA7" w:rsidP="00217C94">
      <w:pPr>
        <w:spacing w:after="0" w:line="20" w:lineRule="exact"/>
        <w:rPr>
          <w:b/>
          <w:sz w:val="2"/>
          <w:szCs w:val="2"/>
        </w:rPr>
      </w:pPr>
    </w:p>
    <w:sectPr w:rsidR="00BD4FA7" w:rsidSect="00FA7A18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E6CE" w14:textId="77777777" w:rsidR="00CD494D" w:rsidRDefault="00CD494D" w:rsidP="00837F2F">
      <w:pPr>
        <w:spacing w:after="0" w:line="240" w:lineRule="auto"/>
      </w:pPr>
      <w:r>
        <w:separator/>
      </w:r>
    </w:p>
  </w:endnote>
  <w:endnote w:type="continuationSeparator" w:id="0">
    <w:p w14:paraId="789671D6" w14:textId="77777777" w:rsidR="00CD494D" w:rsidRDefault="00CD494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D36F9F" w14:paraId="5A8B52B3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8E73AAF" w14:textId="77777777" w:rsidR="00D36F9F" w:rsidRDefault="00D36F9F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49C30B0A" w14:textId="77777777" w:rsidR="00D36F9F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Lista de actividades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2DF09597" w14:textId="77777777" w:rsidR="00D36F9F" w:rsidRDefault="00D36F9F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3F77" w14:textId="77777777" w:rsidR="00CD494D" w:rsidRDefault="00CD494D" w:rsidP="00837F2F">
      <w:pPr>
        <w:spacing w:after="0" w:line="240" w:lineRule="auto"/>
      </w:pPr>
      <w:r>
        <w:separator/>
      </w:r>
    </w:p>
  </w:footnote>
  <w:footnote w:type="continuationSeparator" w:id="0">
    <w:p w14:paraId="7512E220" w14:textId="77777777" w:rsidR="00CD494D" w:rsidRDefault="00CD494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46C7" w14:textId="77777777" w:rsidR="00D36F9F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Lista de actividades</w:t>
    </w:r>
  </w:p>
  <w:p w14:paraId="47791EDA" w14:textId="77777777" w:rsidR="00D36F9F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31F06"/>
    <w:rsid w:val="000512B0"/>
    <w:rsid w:val="000710CD"/>
    <w:rsid w:val="000E6155"/>
    <w:rsid w:val="00105DAE"/>
    <w:rsid w:val="001250C8"/>
    <w:rsid w:val="00131E1D"/>
    <w:rsid w:val="00142C73"/>
    <w:rsid w:val="00162139"/>
    <w:rsid w:val="00176DB2"/>
    <w:rsid w:val="001E61D4"/>
    <w:rsid w:val="00202ED8"/>
    <w:rsid w:val="00204A21"/>
    <w:rsid w:val="002064D6"/>
    <w:rsid w:val="00217C94"/>
    <w:rsid w:val="0028298D"/>
    <w:rsid w:val="00296934"/>
    <w:rsid w:val="00355532"/>
    <w:rsid w:val="00387B0B"/>
    <w:rsid w:val="003A06BB"/>
    <w:rsid w:val="003D218D"/>
    <w:rsid w:val="003E16E9"/>
    <w:rsid w:val="003F0E6E"/>
    <w:rsid w:val="004030C5"/>
    <w:rsid w:val="004078F5"/>
    <w:rsid w:val="00456964"/>
    <w:rsid w:val="00464358"/>
    <w:rsid w:val="00476230"/>
    <w:rsid w:val="00495156"/>
    <w:rsid w:val="004B1F41"/>
    <w:rsid w:val="004D078B"/>
    <w:rsid w:val="0051331B"/>
    <w:rsid w:val="0055087B"/>
    <w:rsid w:val="005910C2"/>
    <w:rsid w:val="005C6798"/>
    <w:rsid w:val="0064503C"/>
    <w:rsid w:val="0068408E"/>
    <w:rsid w:val="006B191B"/>
    <w:rsid w:val="006B2A51"/>
    <w:rsid w:val="006C6B81"/>
    <w:rsid w:val="006F2844"/>
    <w:rsid w:val="0075554B"/>
    <w:rsid w:val="0079596E"/>
    <w:rsid w:val="00796E26"/>
    <w:rsid w:val="00796EAD"/>
    <w:rsid w:val="007C620A"/>
    <w:rsid w:val="00833AAB"/>
    <w:rsid w:val="00837F2F"/>
    <w:rsid w:val="00842FED"/>
    <w:rsid w:val="00891B24"/>
    <w:rsid w:val="008958E4"/>
    <w:rsid w:val="008A55CB"/>
    <w:rsid w:val="008B3A6B"/>
    <w:rsid w:val="008B708A"/>
    <w:rsid w:val="00921038"/>
    <w:rsid w:val="00924DFE"/>
    <w:rsid w:val="0095401D"/>
    <w:rsid w:val="0099587A"/>
    <w:rsid w:val="009B57BF"/>
    <w:rsid w:val="00A45DF9"/>
    <w:rsid w:val="00A95442"/>
    <w:rsid w:val="00AA2C51"/>
    <w:rsid w:val="00AB4B85"/>
    <w:rsid w:val="00AB56D0"/>
    <w:rsid w:val="00AD5DD1"/>
    <w:rsid w:val="00B57964"/>
    <w:rsid w:val="00B95FB6"/>
    <w:rsid w:val="00BA0D31"/>
    <w:rsid w:val="00BD4FA7"/>
    <w:rsid w:val="00BE3CDA"/>
    <w:rsid w:val="00BF037F"/>
    <w:rsid w:val="00C13876"/>
    <w:rsid w:val="00C441A8"/>
    <w:rsid w:val="00CD494D"/>
    <w:rsid w:val="00CF46C3"/>
    <w:rsid w:val="00CF78D0"/>
    <w:rsid w:val="00D22DE6"/>
    <w:rsid w:val="00D36F9F"/>
    <w:rsid w:val="00D37C41"/>
    <w:rsid w:val="00D912EC"/>
    <w:rsid w:val="00DE7D9A"/>
    <w:rsid w:val="00DF09F4"/>
    <w:rsid w:val="00E247D6"/>
    <w:rsid w:val="00E566F8"/>
    <w:rsid w:val="00EA25E4"/>
    <w:rsid w:val="00EA4A2A"/>
    <w:rsid w:val="00EF1A26"/>
    <w:rsid w:val="00F10776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EB167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1773</Words>
  <Characters>9755</Characters>
  <Application>Microsoft Office Word</Application>
  <DocSecurity>0</DocSecurity>
  <Lines>81</Lines>
  <Paragraphs>23</Paragraphs>
  <ScaleCrop>false</ScaleCrop>
  <Company/>
  <LinksUpToDate>false</LinksUpToDate>
  <CharactersWithSpaces>11505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actividades · plantilla v2</dc:title>
  <dc:subject>Plantilla de proyecto de Taracea</dc:subject>
  <dc:creator>Oficina de Proyectos · Taracea</dc:creator>
  <cp:keywords>plantilla</cp:keywords>
  <dc:description/>
  <cp:lastModifiedBy>FRANCISCO JOSE PEREZ JIMENEZ</cp:lastModifiedBy>
  <cp:revision>3</cp:revision>
  <dcterms:created xsi:type="dcterms:W3CDTF">2026-10-23T09:42:00Z</dcterms:created>
  <dcterms:modified xsi:type="dcterms:W3CDTF">2026-10-23T10:19:00Z</dcterms:modified>
  <cp:category>Plantilla de la consultora</cp:category>
  <cp:contentStatus/>
  <dc:language>es-ES</dc:language>
</cp:coreProperties>
</file>