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870"/>
        <w:gridCol w:w="1984"/>
        <w:gridCol w:w="3233"/>
      </w:tblGrid>
      <w:tr w:rsidR="003814FA" w14:paraId="45B059EA" w14:textId="77777777">
        <w:trPr>
          <w:cantSplit/>
          <w:trHeight w:val="425"/>
        </w:trPr>
        <w:tc>
          <w:tcPr>
            <w:tcW w:w="2551" w:type="dxa"/>
            <w:shd w:val="clear" w:color="auto" w:fill="F2F2F2"/>
            <w:vAlign w:val="center"/>
          </w:tcPr>
          <w:p w14:paraId="7009499A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1870" w:type="dxa"/>
            <w:vAlign w:val="center"/>
          </w:tcPr>
          <w:p w14:paraId="2F598D89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TuSuper en línea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9978C86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3233" w:type="dxa"/>
            <w:vAlign w:val="center"/>
          </w:tcPr>
          <w:p w14:paraId="65F6BCA8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TSL-2627</w:t>
            </w:r>
          </w:p>
        </w:tc>
      </w:tr>
      <w:tr w:rsidR="003814FA" w14:paraId="669302BB" w14:textId="77777777">
        <w:trPr>
          <w:cantSplit/>
          <w:trHeight w:val="425"/>
        </w:trPr>
        <w:tc>
          <w:tcPr>
            <w:tcW w:w="2551" w:type="dxa"/>
            <w:shd w:val="clear" w:color="auto" w:fill="F2F2F2"/>
            <w:vAlign w:val="center"/>
          </w:tcPr>
          <w:p w14:paraId="19763A88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1870" w:type="dxa"/>
            <w:vAlign w:val="center"/>
          </w:tcPr>
          <w:p w14:paraId="67B022AF" w14:textId="6C5D494A" w:rsidR="003814FA" w:rsidRDefault="00D7082F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PGPI-2</w:t>
            </w:r>
            <w:r w:rsidR="00000000">
              <w:rPr>
                <w:sz w:val="19"/>
                <w:szCs w:val="19"/>
              </w:rPr>
              <w:t>08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B2F8503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3233" w:type="dxa"/>
            <w:vAlign w:val="center"/>
          </w:tcPr>
          <w:p w14:paraId="190EC472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Plan de gestión de comunicaciones · v1.0</w:t>
            </w:r>
          </w:p>
        </w:tc>
      </w:tr>
      <w:tr w:rsidR="003814FA" w14:paraId="1B47E6CA" w14:textId="77777777">
        <w:trPr>
          <w:cantSplit/>
          <w:trHeight w:val="425"/>
        </w:trPr>
        <w:tc>
          <w:tcPr>
            <w:tcW w:w="2551" w:type="dxa"/>
            <w:shd w:val="clear" w:color="auto" w:fill="F2F2F2"/>
            <w:vAlign w:val="center"/>
          </w:tcPr>
          <w:p w14:paraId="30DCBE6A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1870" w:type="dxa"/>
            <w:vAlign w:val="center"/>
          </w:tcPr>
          <w:p w14:paraId="1F81B35D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LB-1.0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DCABBDE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3233" w:type="dxa"/>
            <w:vAlign w:val="center"/>
          </w:tcPr>
          <w:p w14:paraId="75961F9E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02/10/2026</w:t>
            </w:r>
          </w:p>
        </w:tc>
      </w:tr>
      <w:tr w:rsidR="003814FA" w14:paraId="0A016EB5" w14:textId="77777777">
        <w:trPr>
          <w:cantSplit/>
          <w:trHeight w:val="425"/>
        </w:trPr>
        <w:tc>
          <w:tcPr>
            <w:tcW w:w="2551" w:type="dxa"/>
            <w:shd w:val="clear" w:color="auto" w:fill="F2F2F2"/>
            <w:vAlign w:val="center"/>
          </w:tcPr>
          <w:p w14:paraId="306D868F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1870" w:type="dxa"/>
            <w:vAlign w:val="center"/>
          </w:tcPr>
          <w:p w14:paraId="74CFF81C" w14:textId="4EAA3AE5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Daniel Salado Hidalgo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96E340B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3233" w:type="dxa"/>
            <w:vAlign w:val="center"/>
          </w:tcPr>
          <w:p w14:paraId="43CF7D29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Patrocinador del proyecto</w:t>
            </w:r>
          </w:p>
        </w:tc>
      </w:tr>
    </w:tbl>
    <w:p w14:paraId="7400BCF0" w14:textId="77777777" w:rsidR="003814FA" w:rsidRDefault="003814FA">
      <w:pPr>
        <w:spacing w:after="0"/>
        <w:rPr>
          <w:sz w:val="12"/>
          <w:szCs w:val="12"/>
        </w:rPr>
      </w:pPr>
    </w:p>
    <w:p w14:paraId="5B5D4350" w14:textId="77777777" w:rsidR="003814FA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aconcuadrcula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3686"/>
      </w:tblGrid>
      <w:tr w:rsidR="003814FA" w14:paraId="6704346A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23EC4548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3A2AA03E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10523023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3686" w:type="dxa"/>
            <w:shd w:val="clear" w:color="auto" w:fill="DCE6E8"/>
          </w:tcPr>
          <w:p w14:paraId="3C0D5860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3814FA" w14:paraId="7CC0264C" w14:textId="77777777">
        <w:trPr>
          <w:cantSplit/>
          <w:trHeight w:val="340"/>
        </w:trPr>
        <w:tc>
          <w:tcPr>
            <w:tcW w:w="1247" w:type="dxa"/>
          </w:tcPr>
          <w:p w14:paraId="275BA2AC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017C6400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02/10/2026</w:t>
            </w:r>
          </w:p>
        </w:tc>
        <w:tc>
          <w:tcPr>
            <w:tcW w:w="3118" w:type="dxa"/>
          </w:tcPr>
          <w:p w14:paraId="1C14FA5E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DSH</w:t>
            </w:r>
          </w:p>
        </w:tc>
        <w:tc>
          <w:tcPr>
            <w:tcW w:w="3686" w:type="dxa"/>
          </w:tcPr>
          <w:p w14:paraId="6BD59B9F" w14:textId="77777777" w:rsidR="003814F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Primera versión del documento</w:t>
            </w:r>
          </w:p>
        </w:tc>
      </w:tr>
    </w:tbl>
    <w:p w14:paraId="728A19AF" w14:textId="77777777" w:rsidR="003814FA" w:rsidRDefault="003814FA">
      <w:pPr>
        <w:spacing w:after="0"/>
        <w:rPr>
          <w:sz w:val="12"/>
          <w:szCs w:val="12"/>
        </w:rPr>
      </w:pPr>
    </w:p>
    <w:tbl>
      <w:tblPr>
        <w:tblStyle w:val="Tablaconcuadrcula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2196"/>
        <w:gridCol w:w="1304"/>
        <w:gridCol w:w="1748"/>
        <w:gridCol w:w="2325"/>
      </w:tblGrid>
      <w:tr w:rsidR="005B5B44" w14:paraId="43C84E40" w14:textId="77777777" w:rsidTr="005B5B44">
        <w:trPr>
          <w:cantSplit/>
          <w:trHeight w:val="495"/>
          <w:tblHeader/>
        </w:trPr>
        <w:tc>
          <w:tcPr>
            <w:tcW w:w="2065" w:type="dxa"/>
            <w:shd w:val="clear" w:color="auto" w:fill="DCE6E8"/>
            <w:vAlign w:val="center"/>
          </w:tcPr>
          <w:p w14:paraId="370833F4" w14:textId="77777777" w:rsidR="005B5B44" w:rsidRDefault="005B5B44" w:rsidP="00656FD0">
            <w:pPr>
              <w:jc w:val="center"/>
              <w:rPr>
                <w:sz w:val="19"/>
                <w:szCs w:val="19"/>
              </w:rPr>
            </w:pPr>
            <w:r w:rsidRPr="00796EAD">
              <w:rPr>
                <w:b/>
                <w:color w:val="1F4E5A"/>
                <w:sz w:val="19"/>
                <w:szCs w:val="19"/>
              </w:rPr>
              <w:t>Información</w:t>
            </w:r>
            <w:r>
              <w:rPr>
                <w:b/>
                <w:color w:val="1F4E5A"/>
                <w:sz w:val="19"/>
                <w:szCs w:val="19"/>
              </w:rPr>
              <w:t xml:space="preserve"> a comunicar</w:t>
            </w:r>
          </w:p>
        </w:tc>
        <w:tc>
          <w:tcPr>
            <w:tcW w:w="2196" w:type="dxa"/>
            <w:shd w:val="clear" w:color="auto" w:fill="DCE6E8"/>
            <w:vAlign w:val="center"/>
          </w:tcPr>
          <w:p w14:paraId="50BDE856" w14:textId="77777777" w:rsidR="005B5B44" w:rsidRDefault="005B5B44" w:rsidP="003A35C9">
            <w:pPr>
              <w:jc w:val="center"/>
              <w:rPr>
                <w:sz w:val="19"/>
                <w:szCs w:val="19"/>
              </w:rPr>
            </w:pPr>
            <w:r w:rsidRPr="00796EAD">
              <w:rPr>
                <w:b/>
                <w:color w:val="1F4E5A"/>
                <w:sz w:val="19"/>
                <w:szCs w:val="19"/>
              </w:rPr>
              <w:t>Interesado</w:t>
            </w:r>
            <w:r>
              <w:rPr>
                <w:b/>
                <w:color w:val="1F4E5A"/>
                <w:sz w:val="19"/>
                <w:szCs w:val="19"/>
              </w:rPr>
              <w:t>/Destinatario</w:t>
            </w:r>
          </w:p>
        </w:tc>
        <w:tc>
          <w:tcPr>
            <w:tcW w:w="1304" w:type="dxa"/>
            <w:shd w:val="clear" w:color="auto" w:fill="DCE6E8"/>
            <w:vAlign w:val="center"/>
          </w:tcPr>
          <w:p w14:paraId="20871D23" w14:textId="77777777" w:rsidR="005B5B44" w:rsidRDefault="005B5B44" w:rsidP="00656FD0">
            <w:pPr>
              <w:jc w:val="center"/>
              <w:rPr>
                <w:sz w:val="19"/>
                <w:szCs w:val="19"/>
              </w:rPr>
            </w:pPr>
            <w:r w:rsidRPr="00796EAD">
              <w:rPr>
                <w:b/>
                <w:color w:val="1F4E5A"/>
                <w:sz w:val="19"/>
                <w:szCs w:val="19"/>
              </w:rPr>
              <w:t>M</w:t>
            </w:r>
            <w:r>
              <w:rPr>
                <w:b/>
                <w:color w:val="1F4E5A"/>
                <w:sz w:val="19"/>
                <w:szCs w:val="19"/>
              </w:rPr>
              <w:t>edio</w:t>
            </w:r>
          </w:p>
        </w:tc>
        <w:tc>
          <w:tcPr>
            <w:tcW w:w="1748" w:type="dxa"/>
            <w:shd w:val="clear" w:color="auto" w:fill="DCE6E8"/>
            <w:vAlign w:val="center"/>
          </w:tcPr>
          <w:p w14:paraId="7A757EC9" w14:textId="77777777" w:rsidR="005B5B44" w:rsidRPr="00796EAD" w:rsidRDefault="005B5B44" w:rsidP="00656FD0">
            <w:pPr>
              <w:jc w:val="center"/>
              <w:rPr>
                <w:b/>
                <w:sz w:val="19"/>
                <w:szCs w:val="19"/>
              </w:rPr>
            </w:pPr>
            <w:r w:rsidRPr="00796EAD">
              <w:rPr>
                <w:b/>
                <w:color w:val="1F4E5A"/>
                <w:sz w:val="19"/>
                <w:szCs w:val="19"/>
              </w:rPr>
              <w:t>Momento o Periodicidad</w:t>
            </w:r>
          </w:p>
        </w:tc>
        <w:tc>
          <w:tcPr>
            <w:tcW w:w="2325" w:type="dxa"/>
            <w:shd w:val="clear" w:color="auto" w:fill="DCE6E8"/>
            <w:vAlign w:val="center"/>
          </w:tcPr>
          <w:p w14:paraId="088DD245" w14:textId="77777777" w:rsidR="005B5B44" w:rsidRPr="00796EAD" w:rsidRDefault="005B5B44" w:rsidP="00656FD0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Observaciones</w:t>
            </w:r>
          </w:p>
        </w:tc>
      </w:tr>
      <w:tr w:rsidR="003814FA" w14:paraId="1023CE33" w14:textId="77777777">
        <w:trPr>
          <w:cantSplit/>
        </w:trPr>
        <w:tc>
          <w:tcPr>
            <w:tcW w:w="9638" w:type="dxa"/>
            <w:gridSpan w:val="5"/>
            <w:shd w:val="clear" w:color="auto" w:fill="E3ECEE"/>
          </w:tcPr>
          <w:p w14:paraId="766EB507" w14:textId="77777777" w:rsidR="003814FA" w:rsidRDefault="00000000">
            <w:pPr>
              <w:keepNext/>
              <w:spacing w:before="40" w:after="40"/>
            </w:pPr>
            <w:r>
              <w:rPr>
                <w:b/>
                <w:color w:val="1F4E5A"/>
                <w:sz w:val="19"/>
                <w:szCs w:val="19"/>
              </w:rPr>
              <w:t>1. Con el patrocinador y con la Oficina de Proyectos de Taracea</w:t>
            </w:r>
          </w:p>
        </w:tc>
      </w:tr>
      <w:tr w:rsidR="003814FA" w14:paraId="199B13BC" w14:textId="77777777">
        <w:trPr>
          <w:cantSplit/>
        </w:trPr>
        <w:tc>
          <w:tcPr>
            <w:tcW w:w="2065" w:type="dxa"/>
          </w:tcPr>
          <w:p w14:paraId="48AA295B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Revisión del avance del plan de dirección</w:t>
            </w:r>
          </w:p>
        </w:tc>
        <w:tc>
          <w:tcPr>
            <w:tcW w:w="2196" w:type="dxa"/>
          </w:tcPr>
          <w:p w14:paraId="4301760E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Patrocinador (Director de Cuenta de TuSuper en Taracea)</w:t>
            </w:r>
          </w:p>
        </w:tc>
        <w:tc>
          <w:tcPr>
            <w:tcW w:w="1304" w:type="dxa"/>
          </w:tcPr>
          <w:p w14:paraId="2A1AC37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Reunión</w:t>
            </w:r>
          </w:p>
        </w:tc>
        <w:tc>
          <w:tcPr>
            <w:tcW w:w="1748" w:type="dxa"/>
          </w:tcPr>
          <w:p w14:paraId="5FC87D0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Cada miércoles durante la planificación</w:t>
            </w:r>
          </w:p>
        </w:tc>
        <w:tc>
          <w:tcPr>
            <w:tcW w:w="2325" w:type="dxa"/>
          </w:tcPr>
          <w:p w14:paraId="29721BA3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Prevista en el acta de constitución. El patrocinador aprueba el plan en una de estas reuniones. Se registra en el Cuaderno de bitácora.</w:t>
            </w:r>
          </w:p>
        </w:tc>
      </w:tr>
      <w:tr w:rsidR="003814FA" w14:paraId="6A44AAF8" w14:textId="77777777">
        <w:trPr>
          <w:cantSplit/>
        </w:trPr>
        <w:tc>
          <w:tcPr>
            <w:tcW w:w="2065" w:type="dxa"/>
          </w:tcPr>
          <w:p w14:paraId="6D50CCC4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 de dirección completo, con sus líneas base, para su aprobación</w:t>
            </w:r>
          </w:p>
        </w:tc>
        <w:tc>
          <w:tcPr>
            <w:tcW w:w="2196" w:type="dxa"/>
          </w:tcPr>
          <w:p w14:paraId="4FCC614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Patrocinador (Director de Cuenta de TuSuper en Taracea). Oficina de Proyectos, que comprueba el cumplimiento de las normas internas</w:t>
            </w:r>
          </w:p>
        </w:tc>
        <w:tc>
          <w:tcPr>
            <w:tcW w:w="1304" w:type="dxa"/>
          </w:tcPr>
          <w:p w14:paraId="6EBBE3B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en Enseñanza Virtual</w:t>
            </w:r>
          </w:p>
        </w:tc>
        <w:tc>
          <w:tcPr>
            <w:tcW w:w="1748" w:type="dxa"/>
          </w:tcPr>
          <w:p w14:paraId="391C9D6E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Entrega el 06/11/2026. La aprobación del patrocinador va antes de que calendario y alcance salgan hacia TuSuper</w:t>
            </w:r>
          </w:p>
        </w:tc>
        <w:tc>
          <w:tcPr>
            <w:tcW w:w="2325" w:type="dxa"/>
          </w:tcPr>
          <w:p w14:paraId="19D061CD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aprobación corresponde al patrocinador (acta). Se entrega con el MS Project, la solicitud de recursos, las consultas con sus respuestas y la declaración de uso de IA.</w:t>
            </w:r>
          </w:p>
        </w:tc>
      </w:tr>
      <w:tr w:rsidR="003814FA" w14:paraId="3B3C3C26" w14:textId="77777777">
        <w:trPr>
          <w:cantSplit/>
        </w:trPr>
        <w:tc>
          <w:tcPr>
            <w:tcW w:w="2065" w:type="dxa"/>
          </w:tcPr>
          <w:p w14:paraId="675FE07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Informe de seguimiento con valor ganado: indicadores de cada cuenta de control y del proyecto, desviaciones y decisiones</w:t>
            </w:r>
          </w:p>
        </w:tc>
        <w:tc>
          <w:tcPr>
            <w:tcW w:w="2196" w:type="dxa"/>
          </w:tcPr>
          <w:p w14:paraId="6432C5B6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Patrocinador (Director de Cuenta de TuSuper en Taracea)</w:t>
            </w:r>
          </w:p>
        </w:tc>
        <w:tc>
          <w:tcPr>
            <w:tcW w:w="1304" w:type="dxa"/>
          </w:tcPr>
          <w:p w14:paraId="0AD7D5D3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Informe escrito de 2 páginas como máximo</w:t>
            </w:r>
          </w:p>
        </w:tc>
        <w:tc>
          <w:tcPr>
            <w:tcW w:w="1748" w:type="dxa"/>
          </w:tcPr>
          <w:p w14:paraId="1532B90D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corte: último día de cada sprint (NOR-05). Sprints de dos semanas</w:t>
            </w:r>
          </w:p>
        </w:tc>
        <w:tc>
          <w:tcPr>
            <w:tcW w:w="2325" w:type="dxa"/>
          </w:tcPr>
          <w:p w14:paraId="55F1E07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informe por sprint, sin excepción. No se emite al terminar la planificación. Incluye costes, que no se trasladan al cliente (NOR-17). En el curso se entregan el 13, 20 y 27/11/2026.</w:t>
            </w:r>
          </w:p>
        </w:tc>
      </w:tr>
      <w:tr w:rsidR="003814FA" w14:paraId="427B9819" w14:textId="77777777">
        <w:trPr>
          <w:cantSplit/>
        </w:trPr>
        <w:tc>
          <w:tcPr>
            <w:tcW w:w="2065" w:type="dxa"/>
          </w:tcPr>
          <w:p w14:paraId="10DC4344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Alerta de riesgos o hechos que amenacen la fecha de entrada en explotación (R-01, R-02)</w:t>
            </w:r>
          </w:p>
        </w:tc>
        <w:tc>
          <w:tcPr>
            <w:tcW w:w="2196" w:type="dxa"/>
          </w:tcPr>
          <w:p w14:paraId="6D0D49CA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Patrocinador (Director de Cuenta de TuSuper en Taracea)</w:t>
            </w:r>
          </w:p>
        </w:tc>
        <w:tc>
          <w:tcPr>
            <w:tcW w:w="1304" w:type="dxa"/>
          </w:tcPr>
          <w:p w14:paraId="31D4AC2A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Escrito; solicitud de cambio si procede</w:t>
            </w:r>
          </w:p>
        </w:tc>
        <w:tc>
          <w:tcPr>
            <w:tcW w:w="1748" w:type="dxa"/>
          </w:tcPr>
          <w:p w14:paraId="46DDA2B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cuanto se detecten, sin esperar al informe</w:t>
            </w:r>
          </w:p>
        </w:tc>
        <w:tc>
          <w:tcPr>
            <w:tcW w:w="2325" w:type="dxa"/>
          </w:tcPr>
          <w:p w14:paraId="3FB94AE9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entrada en explotación, antes del 15/03/2027, no admite desplazamiento. Toda modificación que la ponga en riesgo se somete al patrocinador como solicitud de cambio (acta).</w:t>
            </w:r>
          </w:p>
        </w:tc>
      </w:tr>
      <w:tr w:rsidR="003814FA" w14:paraId="2006ECB4" w14:textId="77777777">
        <w:trPr>
          <w:cantSplit/>
        </w:trPr>
        <w:tc>
          <w:tcPr>
            <w:tcW w:w="2065" w:type="dxa"/>
          </w:tcPr>
          <w:p w14:paraId="1A86CD8D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Solicitud de cambio de la línea base, con análisis de impacto en alcance, plazo y coste</w:t>
            </w:r>
          </w:p>
        </w:tc>
        <w:tc>
          <w:tcPr>
            <w:tcW w:w="2196" w:type="dxa"/>
          </w:tcPr>
          <w:p w14:paraId="4088653A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Patrocinador, si afecta a TuSuper, al alcance contratado o a la fecha de explotación. Oficina de Proyectos, si pide recursos o reserva de gestión, o no afecta a TuSuper</w:t>
            </w:r>
          </w:p>
        </w:tc>
        <w:tc>
          <w:tcPr>
            <w:tcW w:w="1304" w:type="dxa"/>
          </w:tcPr>
          <w:p w14:paraId="4BA0351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Solicitud de cambio escrita</w:t>
            </w:r>
          </w:p>
        </w:tc>
        <w:tc>
          <w:tcPr>
            <w:tcW w:w="1748" w:type="dxa"/>
          </w:tcPr>
          <w:p w14:paraId="5C21971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Cuando se necesite el cambio</w:t>
            </w:r>
          </w:p>
        </w:tc>
        <w:tc>
          <w:tcPr>
            <w:tcW w:w="2325" w:type="dxa"/>
          </w:tcPr>
          <w:p w14:paraId="0FADF7C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NOR-18. La reserva de contingencia la usa el director sin solicitud. Si el cambio modifica el contrato, necesita la conformidad escrita de TuSuper, que recaba el patrocinador.</w:t>
            </w:r>
          </w:p>
        </w:tc>
      </w:tr>
      <w:tr w:rsidR="003814FA" w14:paraId="628F3E2E" w14:textId="77777777">
        <w:trPr>
          <w:cantSplit/>
        </w:trPr>
        <w:tc>
          <w:tcPr>
            <w:tcW w:w="2065" w:type="dxa"/>
          </w:tcPr>
          <w:p w14:paraId="44B36858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Conflictos en que intervengan interesados de TuSuper</w:t>
            </w:r>
          </w:p>
        </w:tc>
        <w:tc>
          <w:tcPr>
            <w:tcW w:w="2196" w:type="dxa"/>
          </w:tcPr>
          <w:p w14:paraId="31B6BF3A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Patrocinador (Director de Cuenta de TuSuper en Taracea)</w:t>
            </w:r>
          </w:p>
        </w:tc>
        <w:tc>
          <w:tcPr>
            <w:tcW w:w="1304" w:type="dxa"/>
          </w:tcPr>
          <w:p w14:paraId="4AD2E3F2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 o reunión</w:t>
            </w:r>
          </w:p>
        </w:tc>
        <w:tc>
          <w:tcPr>
            <w:tcW w:w="1748" w:type="dxa"/>
          </w:tcPr>
          <w:p w14:paraId="177F868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Cuando surjan</w:t>
            </w:r>
          </w:p>
        </w:tc>
        <w:tc>
          <w:tcPr>
            <w:tcW w:w="2325" w:type="dxa"/>
          </w:tcPr>
          <w:p w14:paraId="12585A5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director resuelve los conflictos internos del proyecto; los que implican a TuSuper los eleva al patrocinador (acta).</w:t>
            </w:r>
          </w:p>
        </w:tc>
      </w:tr>
      <w:tr w:rsidR="003814FA" w14:paraId="5BF09C37" w14:textId="77777777">
        <w:trPr>
          <w:cantSplit/>
        </w:trPr>
        <w:tc>
          <w:tcPr>
            <w:tcW w:w="2065" w:type="dxa"/>
          </w:tcPr>
          <w:p w14:paraId="2C5164D8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Consulta o petición sobre el cliente y el encargo</w:t>
            </w:r>
          </w:p>
        </w:tc>
        <w:tc>
          <w:tcPr>
            <w:tcW w:w="2196" w:type="dxa"/>
          </w:tcPr>
          <w:p w14:paraId="49968F28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Patrocinador (Director de Cuenta de TuSuper en Taracea)</w:t>
            </w:r>
          </w:p>
        </w:tc>
        <w:tc>
          <w:tcPr>
            <w:tcW w:w="1304" w:type="dxa"/>
          </w:tcPr>
          <w:p w14:paraId="2FFEBF7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Formulario F-CO-02</w:t>
            </w:r>
          </w:p>
        </w:tc>
        <w:tc>
          <w:tcPr>
            <w:tcW w:w="1748" w:type="dxa"/>
          </w:tcPr>
          <w:p w14:paraId="5B03C1B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Cuando falte un dato que no conste en el material; una sola consulta por formulario</w:t>
            </w:r>
          </w:p>
        </w:tc>
        <w:tc>
          <w:tcPr>
            <w:tcW w:w="2325" w:type="dxa"/>
          </w:tcPr>
          <w:p w14:paraId="3A2C98D9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Numeración correlativa para todo el proyecto. La presenta siempre el director. La respuesta llega por escrito y solo al grupo. Lo dicho de palabra no compromete a nadie (NOR-12).</w:t>
            </w:r>
          </w:p>
        </w:tc>
      </w:tr>
      <w:tr w:rsidR="003814FA" w14:paraId="0C190A7A" w14:textId="77777777">
        <w:trPr>
          <w:cantSplit/>
        </w:trPr>
        <w:tc>
          <w:tcPr>
            <w:tcW w:w="2065" w:type="dxa"/>
          </w:tcPr>
          <w:p w14:paraId="38A5CC96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Consulta o petición sobre la consultora: personal y su disponibilidad, tarifas, normas, reserva de gestión y horas extraordinarias</w:t>
            </w:r>
          </w:p>
        </w:tc>
        <w:tc>
          <w:tcPr>
            <w:tcW w:w="2196" w:type="dxa"/>
          </w:tcPr>
          <w:p w14:paraId="4BA671D4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Oficina de Proyectos</w:t>
            </w:r>
          </w:p>
        </w:tc>
        <w:tc>
          <w:tcPr>
            <w:tcW w:w="1304" w:type="dxa"/>
          </w:tcPr>
          <w:p w14:paraId="4B69BBF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Formulario F-CO-01</w:t>
            </w:r>
          </w:p>
        </w:tc>
        <w:tc>
          <w:tcPr>
            <w:tcW w:w="1748" w:type="dxa"/>
          </w:tcPr>
          <w:p w14:paraId="325CC66D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Cuando falte un dato; una sola consulta por formulario</w:t>
            </w:r>
          </w:p>
        </w:tc>
        <w:tc>
          <w:tcPr>
            <w:tcW w:w="2325" w:type="dxa"/>
          </w:tcPr>
          <w:p w14:paraId="2C35195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activos del repositorio no se solicitan (NOR-12). Las horas extraordinarias exigen solicitud de recursos justificada por una solicitud de cambio (NOR-10).</w:t>
            </w:r>
          </w:p>
        </w:tc>
      </w:tr>
      <w:tr w:rsidR="003814FA" w14:paraId="682A300B" w14:textId="77777777">
        <w:trPr>
          <w:cantSplit/>
        </w:trPr>
        <w:tc>
          <w:tcPr>
            <w:tcW w:w="2065" w:type="dxa"/>
          </w:tcPr>
          <w:p w14:paraId="37B399D3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Solicitud de recursos de la ejecución</w:t>
            </w:r>
          </w:p>
        </w:tc>
        <w:tc>
          <w:tcPr>
            <w:tcW w:w="2196" w:type="dxa"/>
          </w:tcPr>
          <w:p w14:paraId="002113A4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Oficina de Proyectos</w:t>
            </w:r>
          </w:p>
        </w:tc>
        <w:tc>
          <w:tcPr>
            <w:tcW w:w="1304" w:type="dxa"/>
          </w:tcPr>
          <w:p w14:paraId="0FFB21D8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Solicitud de recursos firmada por el director</w:t>
            </w:r>
          </w:p>
        </w:tc>
        <w:tc>
          <w:tcPr>
            <w:tcW w:w="1748" w:type="dxa"/>
          </w:tcPr>
          <w:p w14:paraId="304E15D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Durante la planificación, con 10 días naturales de antelación como mínimo a cada incorporación</w:t>
            </w:r>
          </w:p>
        </w:tc>
        <w:tc>
          <w:tcPr>
            <w:tcW w:w="2325" w:type="dxa"/>
          </w:tcPr>
          <w:p w14:paraId="3EA8AE0E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NOR-02. Cada perfil se justifica con el cronograma. La Oficina responde indicando perfil, dedicación y fechas de disponibilidad (NOR-20).</w:t>
            </w:r>
          </w:p>
        </w:tc>
      </w:tr>
      <w:tr w:rsidR="003814FA" w14:paraId="6505E610" w14:textId="77777777">
        <w:trPr>
          <w:cantSplit/>
        </w:trPr>
        <w:tc>
          <w:tcPr>
            <w:tcW w:w="2065" w:type="dxa"/>
          </w:tcPr>
          <w:p w14:paraId="3581F17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Liberación de recursos que dejan de necesitarse</w:t>
            </w:r>
          </w:p>
        </w:tc>
        <w:tc>
          <w:tcPr>
            <w:tcW w:w="2196" w:type="dxa"/>
          </w:tcPr>
          <w:p w14:paraId="5519F39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Oficina de Proyectos</w:t>
            </w:r>
          </w:p>
        </w:tc>
        <w:tc>
          <w:tcPr>
            <w:tcW w:w="1304" w:type="dxa"/>
          </w:tcPr>
          <w:p w14:paraId="5FA1F37E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 (formulario F-CO-01)</w:t>
            </w:r>
          </w:p>
        </w:tc>
        <w:tc>
          <w:tcPr>
            <w:tcW w:w="1748" w:type="dxa"/>
          </w:tcPr>
          <w:p w14:paraId="6306FF3D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Cuando el recurso deje de hacer falta</w:t>
            </w:r>
          </w:p>
        </w:tc>
        <w:tc>
          <w:tcPr>
            <w:tcW w:w="2325" w:type="dxa"/>
          </w:tcPr>
          <w:p w14:paraId="1E7AB88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NOR-23. Surte efecto en la fecha que confirme la Oficina. Volver a disponer de él exige una nueva solicitud de recursos.</w:t>
            </w:r>
          </w:p>
        </w:tc>
      </w:tr>
      <w:tr w:rsidR="003814FA" w14:paraId="312EE627" w14:textId="77777777">
        <w:trPr>
          <w:cantSplit/>
        </w:trPr>
        <w:tc>
          <w:tcPr>
            <w:tcW w:w="2065" w:type="dxa"/>
          </w:tcPr>
          <w:p w14:paraId="2E57D78B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Encargo de la documentación de uso y la formación de las tiendas del piloto</w:t>
            </w:r>
          </w:p>
        </w:tc>
        <w:tc>
          <w:tcPr>
            <w:tcW w:w="2196" w:type="dxa"/>
          </w:tcPr>
          <w:p w14:paraId="7AF4C044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Oficina de Proyectos, que traslada la oferta del departamento de formación</w:t>
            </w:r>
          </w:p>
        </w:tc>
        <w:tc>
          <w:tcPr>
            <w:tcW w:w="1304" w:type="dxa"/>
          </w:tcPr>
          <w:p w14:paraId="1A80E99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 (encargo)</w:t>
            </w:r>
          </w:p>
        </w:tc>
        <w:tc>
          <w:tcPr>
            <w:tcW w:w="1748" w:type="dxa"/>
          </w:tcPr>
          <w:p w14:paraId="5E8D12B3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Tras aprobar el plan el patrocinador y aceptar TuSuper calendario y alcance</w:t>
            </w:r>
          </w:p>
        </w:tc>
        <w:tc>
          <w:tcPr>
            <w:tcW w:w="2325" w:type="dxa"/>
          </w:tcPr>
          <w:p w14:paraId="6513519D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NOR-26 y NOR-07. El proyecto entrega al departamento su documentación y le da acceso a un piloto de la plataforma.</w:t>
            </w:r>
          </w:p>
        </w:tc>
      </w:tr>
      <w:tr w:rsidR="003814FA" w14:paraId="0CD09654" w14:textId="77777777">
        <w:trPr>
          <w:cantSplit/>
        </w:trPr>
        <w:tc>
          <w:tcPr>
            <w:tcW w:w="9638" w:type="dxa"/>
            <w:gridSpan w:val="5"/>
            <w:shd w:val="clear" w:color="auto" w:fill="E3ECEE"/>
          </w:tcPr>
          <w:p w14:paraId="6F403225" w14:textId="77777777" w:rsidR="003814FA" w:rsidRDefault="00000000">
            <w:pPr>
              <w:keepNext/>
              <w:spacing w:before="40" w:after="40"/>
            </w:pPr>
            <w:r>
              <w:rPr>
                <w:b/>
                <w:color w:val="1F4E5A"/>
                <w:sz w:val="19"/>
                <w:szCs w:val="19"/>
              </w:rPr>
              <w:t>2. Con TuSuper y con terceros ligados al cliente</w:t>
            </w:r>
          </w:p>
        </w:tc>
      </w:tr>
      <w:tr w:rsidR="003814FA" w14:paraId="2B0857B4" w14:textId="77777777">
        <w:trPr>
          <w:cantSplit/>
        </w:trPr>
        <w:tc>
          <w:tcPr>
            <w:tcW w:w="2065" w:type="dxa"/>
          </w:tcPr>
          <w:p w14:paraId="3923C2B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Calendario de reuniones, entregas e hitos y alcance detallado con sus criterios de aceptación, para su aceptación</w:t>
            </w:r>
          </w:p>
        </w:tc>
        <w:tc>
          <w:tcPr>
            <w:tcW w:w="2196" w:type="dxa"/>
          </w:tcPr>
          <w:p w14:paraId="2BF2F600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Responsable del contrato por TuSuper (Director de Expansión Digital)</w:t>
            </w:r>
          </w:p>
        </w:tc>
        <w:tc>
          <w:tcPr>
            <w:tcW w:w="1304" w:type="dxa"/>
          </w:tcPr>
          <w:p w14:paraId="22D424F6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 formal entre los responsables del contrato (cláusula 9.1)</w:t>
            </w:r>
          </w:p>
        </w:tc>
        <w:tc>
          <w:tcPr>
            <w:tcW w:w="1748" w:type="dxa"/>
          </w:tcPr>
          <w:p w14:paraId="3F9AA55E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 menos una semana antes de la reunión de cierre en que TuSuper los acepta (cláusula 4.1)</w:t>
            </w:r>
          </w:p>
        </w:tc>
        <w:tc>
          <w:tcPr>
            <w:tcW w:w="2325" w:type="dxa"/>
          </w:tcPr>
          <w:p w14:paraId="2AC6E33D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se aceptan el 06/11/2026, TuSuper debe tenerlos el 30/10/2026 como máximo, con el visto bueno previo del patrocinador (a confirmar con él). Hasta su aceptación no empieza la construcción (cláusula 3.4).</w:t>
            </w:r>
          </w:p>
        </w:tc>
      </w:tr>
      <w:tr w:rsidR="003814FA" w14:paraId="119D9943" w14:textId="77777777">
        <w:trPr>
          <w:cantSplit/>
        </w:trPr>
        <w:tc>
          <w:tcPr>
            <w:tcW w:w="2065" w:type="dxa"/>
          </w:tcPr>
          <w:p w14:paraId="7A19653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Criterios de aceptación que no fija el contrato, para cada requisito</w:t>
            </w:r>
          </w:p>
        </w:tc>
        <w:tc>
          <w:tcPr>
            <w:tcW w:w="2196" w:type="dxa"/>
          </w:tcPr>
          <w:p w14:paraId="3B4DAEA0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Expansión Digital (RF-01 a RF-04). Responsable de tiendas y Jefe de Sistemas de TI, conjuntamente (RF-05 a RF-08)</w:t>
            </w:r>
          </w:p>
        </w:tc>
        <w:tc>
          <w:tcPr>
            <w:tcW w:w="1304" w:type="dxa"/>
          </w:tcPr>
          <w:p w14:paraId="2E310578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Reuniones de trabajo, con constancia escrita de lo acordado</w:t>
            </w:r>
          </w:p>
        </w:tc>
        <w:tc>
          <w:tcPr>
            <w:tcW w:w="1748" w:type="dxa"/>
          </w:tcPr>
          <w:p w14:paraId="29ABA22A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Durante la planificación, antes de enviar el alcance detallado</w:t>
            </w:r>
          </w:p>
        </w:tc>
        <w:tc>
          <w:tcPr>
            <w:tcW w:w="2325" w:type="dxa"/>
          </w:tcPr>
          <w:p w14:paraId="3878E95E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Cláusulas 7.3 y 9.2. Los criterios CA-01 a CA-03 ya los fija el contrato. TuSuper aprueba el resto con el alcance; cambiarlos después exige una reunión de cierre.</w:t>
            </w:r>
          </w:p>
        </w:tc>
      </w:tr>
      <w:tr w:rsidR="003814FA" w14:paraId="5853EDC1" w14:textId="77777777">
        <w:trPr>
          <w:cantSplit/>
        </w:trPr>
        <w:tc>
          <w:tcPr>
            <w:tcW w:w="2065" w:type="dxa"/>
          </w:tcPr>
          <w:p w14:paraId="660D583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Participación en el diseño del panel de pedidos (RF-06) y en la preparación de pedidos por franjas (RF-05)</w:t>
            </w:r>
          </w:p>
        </w:tc>
        <w:tc>
          <w:tcPr>
            <w:tcW w:w="2196" w:type="dxa"/>
          </w:tcPr>
          <w:p w14:paraId="28FDE44A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Responsable de tiendas de TuSuper</w:t>
            </w:r>
          </w:p>
        </w:tc>
        <w:tc>
          <w:tcPr>
            <w:tcW w:w="1304" w:type="dxa"/>
          </w:tcPr>
          <w:p w14:paraId="2F2BA81A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Reuniones de trabajo</w:t>
            </w:r>
          </w:p>
        </w:tc>
        <w:tc>
          <w:tcPr>
            <w:tcW w:w="1748" w:type="dxa"/>
          </w:tcPr>
          <w:p w14:paraId="38DCB048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Durante la especificación y el diseño de RF-05 y RF-06</w:t>
            </w:r>
          </w:p>
        </w:tc>
        <w:tc>
          <w:tcPr>
            <w:tcW w:w="2325" w:type="dxa"/>
          </w:tcPr>
          <w:p w14:paraId="056394E6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pidió en la reunión de inicio (TS-DED-05) y no firmará esas dos aceptaciones mientras su carga de trabajo no se resuelva. Es un contacto de trabajo: no compromete ninguna aceptación (cláusula 9.2).</w:t>
            </w:r>
          </w:p>
        </w:tc>
      </w:tr>
      <w:tr w:rsidR="003814FA" w14:paraId="61031D66" w14:textId="77777777">
        <w:trPr>
          <w:cantSplit/>
        </w:trPr>
        <w:tc>
          <w:tcPr>
            <w:tcW w:w="2065" w:type="dxa"/>
          </w:tcPr>
          <w:p w14:paraId="26D4F9C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Reunión de cierre de periodo comercial: aceptaciones, criterios, cambios y designación de las tiendas del piloto</w:t>
            </w:r>
          </w:p>
        </w:tc>
        <w:tc>
          <w:tcPr>
            <w:tcW w:w="2196" w:type="dxa"/>
          </w:tcPr>
          <w:p w14:paraId="537F1A03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TuSuper y los interlocutores que firman cada requisito (anexo II)</w:t>
            </w:r>
          </w:p>
        </w:tc>
        <w:tc>
          <w:tcPr>
            <w:tcW w:w="1304" w:type="dxa"/>
          </w:tcPr>
          <w:p w14:paraId="4E15D34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Reunión</w:t>
            </w:r>
          </w:p>
        </w:tc>
        <w:tc>
          <w:tcPr>
            <w:tcW w:w="1748" w:type="dxa"/>
          </w:tcPr>
          <w:p w14:paraId="36585EF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por cada cierre de periodo comercial. Fechas pendientes de conocer</w:t>
            </w:r>
          </w:p>
        </w:tc>
        <w:tc>
          <w:tcPr>
            <w:tcW w:w="2325" w:type="dxa"/>
          </w:tcPr>
          <w:p w14:paraId="773FAE00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 la única vía de decisión de TuSuper (cláusula 7.2): fuera de ella no valida ni acepta, y las convocatorias intermedias se devuelven sin tramitar. Nadie delega su firma. Pendiente: pedir al patrocinador el calendario de cierres y el orden de entregas acordado.</w:t>
            </w:r>
          </w:p>
        </w:tc>
      </w:tr>
      <w:tr w:rsidR="003814FA" w14:paraId="365D2033" w14:textId="77777777">
        <w:trPr>
          <w:cantSplit/>
        </w:trPr>
        <w:tc>
          <w:tcPr>
            <w:tcW w:w="2065" w:type="dxa"/>
          </w:tcPr>
          <w:p w14:paraId="4F8BC55E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Revisión de cada sprint: incremento integrado y verificado</w:t>
            </w:r>
          </w:p>
        </w:tc>
        <w:tc>
          <w:tcPr>
            <w:tcW w:w="2196" w:type="dxa"/>
          </w:tcPr>
          <w:p w14:paraId="401F95E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Interlocutores de TuSuper que se acuerden para cada revisión</w:t>
            </w:r>
          </w:p>
        </w:tc>
        <w:tc>
          <w:tcPr>
            <w:tcW w:w="1304" w:type="dxa"/>
          </w:tcPr>
          <w:p w14:paraId="16C6378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Reunión</w:t>
            </w:r>
          </w:p>
        </w:tc>
        <w:tc>
          <w:tcPr>
            <w:tcW w:w="1748" w:type="dxa"/>
          </w:tcPr>
          <w:p w14:paraId="4D4C0403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 final de cada sprint</w:t>
            </w:r>
          </w:p>
        </w:tc>
        <w:tc>
          <w:tcPr>
            <w:tcW w:w="2325" w:type="dxa"/>
          </w:tcPr>
          <w:p w14:paraId="7842D11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NOR-25: el cliente ve lo que se haya acordado con él. No es una aceptación. No pedir validaciones ni decisiones fuera de las reuniones de cierre. Pendiente: confirmar con el patrocinador qué se revisa en cada una.</w:t>
            </w:r>
          </w:p>
        </w:tc>
      </w:tr>
      <w:tr w:rsidR="003814FA" w14:paraId="4BF9E022" w14:textId="77777777">
        <w:trPr>
          <w:cantSplit/>
        </w:trPr>
        <w:tc>
          <w:tcPr>
            <w:tcW w:w="2065" w:type="dxa"/>
          </w:tcPr>
          <w:p w14:paraId="2DA9164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Certificación de obra y cálculo del avance: variación del cronograma e índice de desempeño del cronograma</w:t>
            </w:r>
          </w:p>
        </w:tc>
        <w:tc>
          <w:tcPr>
            <w:tcW w:w="2196" w:type="dxa"/>
          </w:tcPr>
          <w:p w14:paraId="4AC85BCA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Responsable del contrato por TuSuper (Director de Expansión Digital). El patrocinador presenta a certificación lo aceptado</w:t>
            </w:r>
          </w:p>
        </w:tc>
        <w:tc>
          <w:tcPr>
            <w:tcW w:w="1304" w:type="dxa"/>
          </w:tcPr>
          <w:p w14:paraId="03761E7E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</w:t>
            </w:r>
          </w:p>
        </w:tc>
        <w:tc>
          <w:tcPr>
            <w:tcW w:w="1748" w:type="dxa"/>
          </w:tcPr>
          <w:p w14:paraId="657C6D89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 cada certificación de obra, tras la reunión de cierre en que TuSuper acepta lo entregado</w:t>
            </w:r>
          </w:p>
        </w:tc>
        <w:tc>
          <w:tcPr>
            <w:tcW w:w="2325" w:type="dxa"/>
          </w:tcPr>
          <w:p w14:paraId="71830F96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Cláusulas 6.1 y 8. Se mide contra la línea base aceptada. No incluye los costes de Taracea ni el presupuesto (NOR-17). Lo que no tiene acta de aceptación no se certifica.</w:t>
            </w:r>
          </w:p>
        </w:tc>
      </w:tr>
      <w:tr w:rsidR="003814FA" w14:paraId="08F6887D" w14:textId="77777777">
        <w:trPr>
          <w:cantSplit/>
        </w:trPr>
        <w:tc>
          <w:tcPr>
            <w:tcW w:w="2065" w:type="dxa"/>
          </w:tcPr>
          <w:p w14:paraId="4C184EE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Peticiones a TuSuper: acceso a los datos del ERP, franjas con su capacidad y zona de reparto, datos de los repartidores, alta en la pasarela y personal para la formación</w:t>
            </w:r>
          </w:p>
        </w:tc>
        <w:tc>
          <w:tcPr>
            <w:tcW w:w="2196" w:type="dxa"/>
          </w:tcPr>
          <w:p w14:paraId="5B977929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Responsable del contrato por TuSuper (Director de Expansión Digital)</w:t>
            </w:r>
          </w:p>
        </w:tc>
        <w:tc>
          <w:tcPr>
            <w:tcW w:w="1304" w:type="dxa"/>
          </w:tcPr>
          <w:p w14:paraId="5D100F28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 (cláusula 9.1)</w:t>
            </w:r>
          </w:p>
        </w:tc>
        <w:tc>
          <w:tcPr>
            <w:tcW w:w="1748" w:type="dxa"/>
          </w:tcPr>
          <w:p w14:paraId="4C2255A3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 antelación suficiente respecto de la fecha en que el cronograma necesite cada dato</w:t>
            </w:r>
          </w:p>
        </w:tc>
        <w:tc>
          <w:tcPr>
            <w:tcW w:w="2325" w:type="dxa"/>
          </w:tcPr>
          <w:p w14:paraId="5C3C1B7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TuSuper responde en 10 días hábiles (cláusula 10). La designación de las tiendas del piloto es la excepción: la resuelve en una reunión de cierre.</w:t>
            </w:r>
          </w:p>
        </w:tc>
      </w:tr>
      <w:tr w:rsidR="003814FA" w14:paraId="7DF24D78" w14:textId="77777777">
        <w:trPr>
          <w:cantSplit/>
        </w:trPr>
        <w:tc>
          <w:tcPr>
            <w:tcW w:w="2065" w:type="dxa"/>
          </w:tcPr>
          <w:p w14:paraId="74DED83B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Solicitud de carga de datos reales en el entorno de verificación</w:t>
            </w:r>
          </w:p>
        </w:tc>
        <w:tc>
          <w:tcPr>
            <w:tcW w:w="2196" w:type="dxa"/>
          </w:tcPr>
          <w:p w14:paraId="241A51D0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Jefe de Sistemas de TI de TuSuper</w:t>
            </w:r>
          </w:p>
        </w:tc>
        <w:tc>
          <w:tcPr>
            <w:tcW w:w="1304" w:type="dxa"/>
          </w:tcPr>
          <w:p w14:paraId="20C14E23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</w:t>
            </w:r>
          </w:p>
        </w:tc>
        <w:tc>
          <w:tcPr>
            <w:tcW w:w="1748" w:type="dxa"/>
          </w:tcPr>
          <w:p w14:paraId="32DF69A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Cada vez que se necesite una carga nueva</w:t>
            </w:r>
          </w:p>
        </w:tc>
        <w:tc>
          <w:tcPr>
            <w:tcW w:w="2325" w:type="dxa"/>
          </w:tcPr>
          <w:p w14:paraId="3FE637AA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RT-02: la efectúa en 3 días hábiles. Entre cargas los datos quedan congelados. La evidencia de aceptación de RF-06 y RF-08 se obtiene sobre una carga posterior a la primera que lea la plataforma.</w:t>
            </w:r>
          </w:p>
        </w:tc>
      </w:tr>
      <w:tr w:rsidR="003814FA" w14:paraId="6A3F9A3D" w14:textId="77777777">
        <w:trPr>
          <w:cantSplit/>
        </w:trPr>
        <w:tc>
          <w:tcPr>
            <w:tcW w:w="2065" w:type="dxa"/>
          </w:tcPr>
          <w:p w14:paraId="5392F73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Especificación de la interfaz con el ERP, normas de seguridad y acceso a los datos</w:t>
            </w:r>
          </w:p>
        </w:tc>
        <w:tc>
          <w:tcPr>
            <w:tcW w:w="2196" w:type="dxa"/>
          </w:tcPr>
          <w:p w14:paraId="482203B8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Jefe de Sistemas de TI de TuSuper</w:t>
            </w:r>
          </w:p>
        </w:tc>
        <w:tc>
          <w:tcPr>
            <w:tcW w:w="1304" w:type="dxa"/>
          </w:tcPr>
          <w:p w14:paraId="5BF5796B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Reuniones de trabajo; lo acordado se confirma por escrito</w:t>
            </w:r>
          </w:p>
        </w:tc>
        <w:tc>
          <w:tcPr>
            <w:tcW w:w="1748" w:type="dxa"/>
          </w:tcPr>
          <w:p w14:paraId="733FD3F6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Durante el diseño y la construcción de la integración (EP-04)</w:t>
            </w:r>
          </w:p>
        </w:tc>
        <w:tc>
          <w:tcPr>
            <w:tcW w:w="2325" w:type="dxa"/>
          </w:tcPr>
          <w:p w14:paraId="72B3794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Cláusulas 10 y 11 y RT-03. Taracea no modifica el ERP y cumple las normas de seguridad de TuSuper en todo acceso.</w:t>
            </w:r>
          </w:p>
        </w:tc>
      </w:tr>
      <w:tr w:rsidR="003814FA" w14:paraId="4400C8CA" w14:textId="77777777">
        <w:trPr>
          <w:cantSplit/>
        </w:trPr>
        <w:tc>
          <w:tcPr>
            <w:tcW w:w="2065" w:type="dxa"/>
          </w:tcPr>
          <w:p w14:paraId="250CF818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Aviso de que el entorno de preproducción está listo para la auditoría de comercio</w:t>
            </w:r>
          </w:p>
        </w:tc>
        <w:tc>
          <w:tcPr>
            <w:tcW w:w="2196" w:type="dxa"/>
          </w:tcPr>
          <w:p w14:paraId="7D9673B4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Dirección de Expansión Digital de TuSuper</w:t>
            </w:r>
          </w:p>
        </w:tc>
        <w:tc>
          <w:tcPr>
            <w:tcW w:w="1304" w:type="dxa"/>
          </w:tcPr>
          <w:p w14:paraId="0FE1A912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</w:t>
            </w:r>
          </w:p>
        </w:tc>
        <w:tc>
          <w:tcPr>
            <w:tcW w:w="1748" w:type="dxa"/>
          </w:tcPr>
          <w:p w14:paraId="5F1FC193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Cuando la plataforma esté integrada con la pasarela real en preproducción</w:t>
            </w:r>
          </w:p>
        </w:tc>
        <w:tc>
          <w:tcPr>
            <w:tcW w:w="2325" w:type="dxa"/>
          </w:tcPr>
          <w:p w14:paraId="6051FA6B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TS-DED-06: TuSuper solicita la auditoría y el proveedor la resuelve en 15 días hábiles. Sin credenciales de producción no hay cobro real (RF-04.4).</w:t>
            </w:r>
          </w:p>
        </w:tc>
      </w:tr>
      <w:tr w:rsidR="003814FA" w14:paraId="2A4C079E" w14:textId="77777777">
        <w:trPr>
          <w:cantSplit/>
        </w:trPr>
        <w:tc>
          <w:tcPr>
            <w:tcW w:w="2065" w:type="dxa"/>
          </w:tcPr>
          <w:p w14:paraId="6D23D92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Plan del piloto y fecha prevista de entrada en explotación</w:t>
            </w:r>
          </w:p>
        </w:tc>
        <w:tc>
          <w:tcPr>
            <w:tcW w:w="2196" w:type="dxa"/>
          </w:tcPr>
          <w:p w14:paraId="134DA879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Director de Operaciones de TuSuper, a través del patrocinador</w:t>
            </w:r>
          </w:p>
        </w:tc>
        <w:tc>
          <w:tcPr>
            <w:tcW w:w="1304" w:type="dxa"/>
          </w:tcPr>
          <w:p w14:paraId="2544E993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</w:t>
            </w:r>
          </w:p>
        </w:tc>
        <w:tc>
          <w:tcPr>
            <w:tcW w:w="1748" w:type="dxa"/>
          </w:tcPr>
          <w:p w14:paraId="5FC1680B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Antes de iniciar el piloto y cuando se fije la fecha de explotación</w:t>
            </w:r>
          </w:p>
        </w:tc>
        <w:tc>
          <w:tcPr>
            <w:tcW w:w="2325" w:type="dxa"/>
          </w:tcPr>
          <w:p w14:paraId="19C15E5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TS-OPE-12: las tiendas no cambian la reposición hasta cerrar el recuento de Navidad, que es el primer cierre de periodo de 2027; reponen los martes; el refuerzo de personal se contrata una semana antes de la explotación. Pendiente: confirmar este cauce con el patrocinador.</w:t>
            </w:r>
          </w:p>
        </w:tc>
      </w:tr>
      <w:tr w:rsidR="003814FA" w14:paraId="319B2AC9" w14:textId="77777777">
        <w:trPr>
          <w:cantSplit/>
        </w:trPr>
        <w:tc>
          <w:tcPr>
            <w:tcW w:w="2065" w:type="dxa"/>
          </w:tcPr>
          <w:p w14:paraId="41CD0919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Cambios que afectan a TuSuper pero no modifican el contrato</w:t>
            </w:r>
          </w:p>
        </w:tc>
        <w:tc>
          <w:tcPr>
            <w:tcW w:w="2196" w:type="dxa"/>
          </w:tcPr>
          <w:p w14:paraId="71E2CF9B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Responsable del contrato por TuSuper</w:t>
            </w:r>
          </w:p>
        </w:tc>
        <w:tc>
          <w:tcPr>
            <w:tcW w:w="1304" w:type="dxa"/>
          </w:tcPr>
          <w:p w14:paraId="2543711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 (cláusula 9)</w:t>
            </w:r>
          </w:p>
        </w:tc>
        <w:tc>
          <w:tcPr>
            <w:tcW w:w="1748" w:type="dxa"/>
          </w:tcPr>
          <w:p w14:paraId="2757062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Cuando el cambio se apruebe</w:t>
            </w:r>
          </w:p>
        </w:tc>
        <w:tc>
          <w:tcPr>
            <w:tcW w:w="2325" w:type="dxa"/>
          </w:tcPr>
          <w:p w14:paraId="5092FA5A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Cláusula 4.2 y NOR-18. No necesitan su conformidad, solo la comunicación escrita.</w:t>
            </w:r>
          </w:p>
        </w:tc>
      </w:tr>
      <w:tr w:rsidR="003814FA" w14:paraId="3C84D243" w14:textId="77777777">
        <w:trPr>
          <w:cantSplit/>
        </w:trPr>
        <w:tc>
          <w:tcPr>
            <w:tcW w:w="2065" w:type="dxa"/>
          </w:tcPr>
          <w:p w14:paraId="28C51D90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Propuesta de adenda por cambio de alcance, plazo o precio, con análisis de impacto</w:t>
            </w:r>
          </w:p>
        </w:tc>
        <w:tc>
          <w:tcPr>
            <w:tcW w:w="2196" w:type="dxa"/>
          </w:tcPr>
          <w:p w14:paraId="2D0BEE29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Responsable del contrato por TuSuper</w:t>
            </w:r>
          </w:p>
        </w:tc>
        <w:tc>
          <w:tcPr>
            <w:tcW w:w="1304" w:type="dxa"/>
          </w:tcPr>
          <w:p w14:paraId="3DBC745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Adenda escrita, firmada por ambos responsables</w:t>
            </w:r>
          </w:p>
        </w:tc>
        <w:tc>
          <w:tcPr>
            <w:tcW w:w="1748" w:type="dxa"/>
          </w:tcPr>
          <w:p w14:paraId="01C8C29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Cuando un cambio modifique el contrato</w:t>
            </w:r>
          </w:p>
        </w:tc>
        <w:tc>
          <w:tcPr>
            <w:tcW w:w="2325" w:type="dxa"/>
          </w:tcPr>
          <w:p w14:paraId="0DDEEF09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Cláusula 13. Sin la conformidad escrita de TuSuper no produce efecto. Lo que pidan interesados de TuSuper fuera del anexo I no se ejecuta sin adenda.</w:t>
            </w:r>
          </w:p>
        </w:tc>
      </w:tr>
      <w:tr w:rsidR="003814FA" w14:paraId="44DE325F" w14:textId="77777777">
        <w:trPr>
          <w:cantSplit/>
        </w:trPr>
        <w:tc>
          <w:tcPr>
            <w:tcW w:w="2065" w:type="dxa"/>
          </w:tcPr>
          <w:p w14:paraId="4E83225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Petición de conformidad para subcontratar parte del objeto</w:t>
            </w:r>
          </w:p>
        </w:tc>
        <w:tc>
          <w:tcPr>
            <w:tcW w:w="2196" w:type="dxa"/>
          </w:tcPr>
          <w:p w14:paraId="17C940D2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Responsable del contrato por TuSuper</w:t>
            </w:r>
          </w:p>
        </w:tc>
        <w:tc>
          <w:tcPr>
            <w:tcW w:w="1304" w:type="dxa"/>
          </w:tcPr>
          <w:p w14:paraId="1EC86A4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Escrito</w:t>
            </w:r>
          </w:p>
        </w:tc>
        <w:tc>
          <w:tcPr>
            <w:tcW w:w="1748" w:type="dxa"/>
          </w:tcPr>
          <w:p w14:paraId="09A1927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Antes de emitir el pedido al tercero</w:t>
            </w:r>
          </w:p>
        </w:tc>
        <w:tc>
          <w:tcPr>
            <w:tcW w:w="2325" w:type="dxa"/>
          </w:tcPr>
          <w:p w14:paraId="167C97F4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Cláusula 12, por ejemplo si el conector con el ERP lo suministra un proveedor externo. No se emite ningún pedido antes de que el patrocinador apruebe el plan y TuSuper acepte calendario y alcance (NOR-07).</w:t>
            </w:r>
          </w:p>
        </w:tc>
      </w:tr>
      <w:tr w:rsidR="003814FA" w14:paraId="013759E0" w14:textId="77777777">
        <w:trPr>
          <w:cantSplit/>
        </w:trPr>
        <w:tc>
          <w:tcPr>
            <w:tcW w:w="2065" w:type="dxa"/>
          </w:tcPr>
          <w:p w14:paraId="1B3F5256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Disponibilidad y fecha de entrega del conector con el ERP</w:t>
            </w:r>
          </w:p>
        </w:tc>
        <w:tc>
          <w:tcPr>
            <w:tcW w:w="2196" w:type="dxa"/>
          </w:tcPr>
          <w:p w14:paraId="67466F54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Proveedor homologado del conector y, si procede, fabricante del ERP</w:t>
            </w:r>
          </w:p>
        </w:tc>
        <w:tc>
          <w:tcPr>
            <w:tcW w:w="1304" w:type="dxa"/>
          </w:tcPr>
          <w:p w14:paraId="1429CB4D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Según el Plan de Gestión de Adquisiciones</w:t>
            </w:r>
          </w:p>
        </w:tc>
        <w:tc>
          <w:tcPr>
            <w:tcW w:w="1748" w:type="dxa"/>
          </w:tcPr>
          <w:p w14:paraId="2268FE06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Desde el pedido hasta la aceptación; periodicidad que fije el Plan de Gestión de Adquisiciones</w:t>
            </w:r>
          </w:p>
        </w:tc>
        <w:tc>
          <w:tcPr>
            <w:tcW w:w="2325" w:type="dxa"/>
          </w:tcPr>
          <w:p w14:paraId="30E5F6B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Riesgo R-01 y RT-03: solo vale un conector de proveedor homologado. Pendiente: preguntar al patrocinador por qué canal se contacta con el fabricante.</w:t>
            </w:r>
          </w:p>
        </w:tc>
      </w:tr>
      <w:tr w:rsidR="003814FA" w14:paraId="10AE5856" w14:textId="77777777">
        <w:trPr>
          <w:cantSplit/>
        </w:trPr>
        <w:tc>
          <w:tcPr>
            <w:tcW w:w="9638" w:type="dxa"/>
            <w:gridSpan w:val="5"/>
            <w:shd w:val="clear" w:color="auto" w:fill="E3ECEE"/>
          </w:tcPr>
          <w:p w14:paraId="437F961B" w14:textId="77777777" w:rsidR="003814FA" w:rsidRDefault="00000000">
            <w:pPr>
              <w:keepNext/>
              <w:spacing w:before="40" w:after="40"/>
            </w:pPr>
            <w:r>
              <w:rPr>
                <w:b/>
                <w:color w:val="1F4E5A"/>
                <w:sz w:val="19"/>
                <w:szCs w:val="19"/>
              </w:rPr>
              <w:t>3. Dentro del proyecto</w:t>
            </w:r>
          </w:p>
        </w:tc>
      </w:tr>
      <w:tr w:rsidR="003814FA" w14:paraId="36F048D2" w14:textId="77777777">
        <w:trPr>
          <w:cantSplit/>
        </w:trPr>
        <w:tc>
          <w:tcPr>
            <w:tcW w:w="2065" w:type="dxa"/>
          </w:tcPr>
          <w:p w14:paraId="0B7FA7F9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Alcance de los paquetes de trabajo y decisiones de arquitectura y de integración con el ERP</w:t>
            </w:r>
          </w:p>
        </w:tc>
        <w:tc>
          <w:tcPr>
            <w:tcW w:w="2196" w:type="dxa"/>
          </w:tcPr>
          <w:p w14:paraId="3B5BAEE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Equipos de trabajo</w:t>
            </w:r>
          </w:p>
        </w:tc>
        <w:tc>
          <w:tcPr>
            <w:tcW w:w="1304" w:type="dxa"/>
          </w:tcPr>
          <w:p w14:paraId="4752D87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Reunión; decisiones en el Registro de Decisiones</w:t>
            </w:r>
          </w:p>
        </w:tc>
        <w:tc>
          <w:tcPr>
            <w:tcW w:w="1748" w:type="dxa"/>
          </w:tcPr>
          <w:p w14:paraId="5048598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Cuando entra cada equipo y cada vez que haya una decisión</w:t>
            </w:r>
          </w:p>
        </w:tc>
        <w:tc>
          <w:tcPr>
            <w:tcW w:w="2325" w:type="dxa"/>
          </w:tcPr>
          <w:p w14:paraId="029F5E46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director se reserva esas decisiones y delega en los equipos la organización interna de sus paquetes (acta). El plan fija cuándo entra y sale cada equipo (NOR-04).</w:t>
            </w:r>
          </w:p>
        </w:tc>
      </w:tr>
      <w:tr w:rsidR="003814FA" w14:paraId="66152E25" w14:textId="77777777">
        <w:trPr>
          <w:cantSplit/>
        </w:trPr>
        <w:tc>
          <w:tcPr>
            <w:tcW w:w="2065" w:type="dxa"/>
          </w:tcPr>
          <w:p w14:paraId="3B266C4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Parte de desempeño: avance acumulado por código de elemento, riesgos, incidencias, revisiones y retrospectivas</w:t>
            </w:r>
          </w:p>
        </w:tc>
        <w:tc>
          <w:tcPr>
            <w:tcW w:w="2196" w:type="dxa"/>
          </w:tcPr>
          <w:p w14:paraId="4C14649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Director del proyecto (lo emite cada equipo de trabajo)</w:t>
            </w:r>
          </w:p>
        </w:tc>
        <w:tc>
          <w:tcPr>
            <w:tcW w:w="1304" w:type="dxa"/>
          </w:tcPr>
          <w:p w14:paraId="4563C04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Parte escrito</w:t>
            </w:r>
          </w:p>
        </w:tc>
        <w:tc>
          <w:tcPr>
            <w:tcW w:w="1748" w:type="dxa"/>
          </w:tcPr>
          <w:p w14:paraId="1ED56D2B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cada fecha de medición (último día de cada sprint)</w:t>
            </w:r>
          </w:p>
        </w:tc>
        <w:tc>
          <w:tcPr>
            <w:tcW w:w="2325" w:type="dxa"/>
          </w:tcPr>
          <w:p w14:paraId="7CC9D59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NOR-11. No trae horas ni costes. El director traslada el avance a los paquetes con la regla de transposición. Las retrospectivas alimentan las lecciones aprendidas.</w:t>
            </w:r>
          </w:p>
        </w:tc>
      </w:tr>
      <w:tr w:rsidR="003814FA" w14:paraId="76E0964F" w14:textId="77777777">
        <w:trPr>
          <w:cantSplit/>
        </w:trPr>
        <w:tc>
          <w:tcPr>
            <w:tcW w:w="2065" w:type="dxa"/>
          </w:tcPr>
          <w:p w14:paraId="5598252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Registros de incidencias, riesgos, cambios y supuestos actualizados</w:t>
            </w:r>
          </w:p>
        </w:tc>
        <w:tc>
          <w:tcPr>
            <w:tcW w:w="2196" w:type="dxa"/>
          </w:tcPr>
          <w:p w14:paraId="48D6D9C2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Patrocinador (Director de Cuenta de TuSuper en Taracea)</w:t>
            </w:r>
          </w:p>
        </w:tc>
        <w:tc>
          <w:tcPr>
            <w:tcW w:w="1304" w:type="dxa"/>
          </w:tcPr>
          <w:p w14:paraId="756CB9F8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Registros del plan de dirección</w:t>
            </w:r>
          </w:p>
        </w:tc>
        <w:tc>
          <w:tcPr>
            <w:tcW w:w="1748" w:type="dxa"/>
          </w:tcPr>
          <w:p w14:paraId="67275EC5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 cada informe de seguimiento</w:t>
            </w:r>
          </w:p>
        </w:tc>
        <w:tc>
          <w:tcPr>
            <w:tcW w:w="2325" w:type="dxa"/>
          </w:tcPr>
          <w:p w14:paraId="6C6B992F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Registro de Supuestos se revisa durante todo el proyecto: cada fila lleva responsable, fecha de validez y estado.</w:t>
            </w:r>
          </w:p>
        </w:tc>
      </w:tr>
      <w:tr w:rsidR="003814FA" w14:paraId="4884E7D1" w14:textId="77777777">
        <w:trPr>
          <w:cantSplit/>
        </w:trPr>
        <w:tc>
          <w:tcPr>
            <w:tcW w:w="2065" w:type="dxa"/>
          </w:tcPr>
          <w:p w14:paraId="20F346D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Actas y decisiones de las reuniones</w:t>
            </w:r>
          </w:p>
        </w:tc>
        <w:tc>
          <w:tcPr>
            <w:tcW w:w="2196" w:type="dxa"/>
          </w:tcPr>
          <w:p w14:paraId="2FF08BFB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Miembros del grupo</w:t>
            </w:r>
          </w:p>
        </w:tc>
        <w:tc>
          <w:tcPr>
            <w:tcW w:w="1304" w:type="dxa"/>
          </w:tcPr>
          <w:p w14:paraId="3A36DDAC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Cuaderno de bitácora y Registro de Decisiones</w:t>
            </w:r>
          </w:p>
        </w:tc>
        <w:tc>
          <w:tcPr>
            <w:tcW w:w="1748" w:type="dxa"/>
          </w:tcPr>
          <w:p w14:paraId="65E2DFE1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Cuando se celebra cada reunión</w:t>
            </w:r>
          </w:p>
        </w:tc>
        <w:tc>
          <w:tcPr>
            <w:tcW w:w="2325" w:type="dxa"/>
          </w:tcPr>
          <w:p w14:paraId="4BB3B71E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Acta de media página como máximo: asistentes, orden del día, decisiones con su identificador, tareas con responsable y fecha, y punto siguiente.</w:t>
            </w:r>
          </w:p>
        </w:tc>
      </w:tr>
      <w:tr w:rsidR="003814FA" w14:paraId="23BF6F19" w14:textId="77777777">
        <w:trPr>
          <w:cantSplit/>
        </w:trPr>
        <w:tc>
          <w:tcPr>
            <w:tcW w:w="2065" w:type="dxa"/>
          </w:tcPr>
          <w:p w14:paraId="2DBE28AD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Traspaso del producto, informe de cierre y lecciones aprendidas</w:t>
            </w:r>
          </w:p>
        </w:tc>
        <w:tc>
          <w:tcPr>
            <w:tcW w:w="2196" w:type="dxa"/>
          </w:tcPr>
          <w:p w14:paraId="732B2FF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Servicio de mantenimiento de Taracea. Patrocinador (Director de Cuenta de TuSuper en Taracea)</w:t>
            </w:r>
          </w:p>
        </w:tc>
        <w:tc>
          <w:tcPr>
            <w:tcW w:w="1304" w:type="dxa"/>
          </w:tcPr>
          <w:p w14:paraId="5ADBFCA2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Documentos de traspaso e informe de cierre</w:t>
            </w:r>
          </w:p>
        </w:tc>
        <w:tc>
          <w:tcPr>
            <w:tcW w:w="1748" w:type="dxa"/>
          </w:tcPr>
          <w:p w14:paraId="4477ADE4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Antes de la aprobación del cierre por el patrocinador</w:t>
            </w:r>
          </w:p>
        </w:tc>
        <w:tc>
          <w:tcPr>
            <w:tcW w:w="2325" w:type="dxa"/>
          </w:tcPr>
          <w:p w14:paraId="3E56D1E7" w14:textId="77777777" w:rsidR="003814FA" w:rsidRDefault="00000000">
            <w:pPr>
              <w:spacing w:before="4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NOR-19. Desde el cierre, mantenimiento presta la garantía de seis meses: corrige los defectos que comunique TuSuper en 20 días naturales. El patrocinador sigue siendo el interlocutor con el cliente.</w:t>
            </w:r>
          </w:p>
        </w:tc>
      </w:tr>
    </w:tbl>
    <w:p w14:paraId="0215E64E" w14:textId="77777777" w:rsidR="00F52BFC" w:rsidRDefault="00F52BFC" w:rsidP="003A35C9">
      <w:pPr>
        <w:spacing w:after="0" w:line="20" w:lineRule="exact"/>
        <w:rPr>
          <w:sz w:val="2"/>
          <w:szCs w:val="2"/>
        </w:rPr>
      </w:pPr>
    </w:p>
    <w:sectPr w:rsidR="00F52BFC" w:rsidSect="00217C94">
      <w:headerReference w:type="default" r:id="rId6"/>
      <w:footerReference w:type="default" r:id="rId7"/>
      <w:pgSz w:w="11906" w:h="16838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09F4B" w14:textId="77777777" w:rsidR="00E856F0" w:rsidRDefault="00E856F0" w:rsidP="00837F2F">
      <w:pPr>
        <w:spacing w:after="0" w:line="240" w:lineRule="auto"/>
      </w:pPr>
      <w:r>
        <w:separator/>
      </w:r>
    </w:p>
  </w:endnote>
  <w:endnote w:type="continuationSeparator" w:id="0">
    <w:p w14:paraId="2193825D" w14:textId="77777777" w:rsidR="00E856F0" w:rsidRDefault="00E856F0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4535"/>
      <w:gridCol w:w="5103"/>
    </w:tblGrid>
    <w:tr w:rsidR="003814FA" w14:paraId="02606830" w14:textId="77777777">
      <w:tc>
        <w:tcPr>
          <w:tcW w:w="4534" w:type="dxa"/>
          <w:tcMar>
            <w:top w:w="60" w:type="dxa"/>
            <w:left w:w="0" w:type="dxa"/>
            <w:bottom w:w="0" w:type="dxa"/>
            <w:right w:w="0" w:type="dxa"/>
          </w:tcMar>
        </w:tcPr>
        <w:p w14:paraId="79DBF69E" w14:textId="77777777" w:rsidR="003814FA" w:rsidRDefault="003814FA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0690F700" w14:textId="77777777" w:rsidR="003814FA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Plan de gestión de comunicaciones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47899ADB" w14:textId="77777777" w:rsidR="003814FA" w:rsidRDefault="003814FA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ADC5" w14:textId="77777777" w:rsidR="00E856F0" w:rsidRDefault="00E856F0" w:rsidP="00837F2F">
      <w:pPr>
        <w:spacing w:after="0" w:line="240" w:lineRule="auto"/>
      </w:pPr>
      <w:r>
        <w:separator/>
      </w:r>
    </w:p>
  </w:footnote>
  <w:footnote w:type="continuationSeparator" w:id="0">
    <w:p w14:paraId="1A63621D" w14:textId="77777777" w:rsidR="00E856F0" w:rsidRDefault="00E856F0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36A10" w14:textId="77777777" w:rsidR="003814FA" w:rsidRDefault="00000000">
    <w:pPr>
      <w:tabs>
        <w:tab w:val="right" w:pos="9638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Plan de gestión de comunicaciones</w:t>
    </w:r>
  </w:p>
  <w:p w14:paraId="24B8BFDB" w14:textId="77777777" w:rsidR="003814FA" w:rsidRDefault="00000000">
    <w:pPr>
      <w:pBdr>
        <w:bottom w:val="single" w:sz="8" w:space="4" w:color="1F4E5A"/>
      </w:pBdr>
      <w:tabs>
        <w:tab w:val="right" w:pos="9638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512B0"/>
    <w:rsid w:val="000B2649"/>
    <w:rsid w:val="000E6CC1"/>
    <w:rsid w:val="000F1312"/>
    <w:rsid w:val="00131E1D"/>
    <w:rsid w:val="00162139"/>
    <w:rsid w:val="00186231"/>
    <w:rsid w:val="001D06F7"/>
    <w:rsid w:val="001E62E9"/>
    <w:rsid w:val="00217C94"/>
    <w:rsid w:val="00221D32"/>
    <w:rsid w:val="002766BC"/>
    <w:rsid w:val="00276778"/>
    <w:rsid w:val="0028298D"/>
    <w:rsid w:val="002D3729"/>
    <w:rsid w:val="002F6413"/>
    <w:rsid w:val="00353FC9"/>
    <w:rsid w:val="003814FA"/>
    <w:rsid w:val="00394A5E"/>
    <w:rsid w:val="00397FBE"/>
    <w:rsid w:val="003A35C9"/>
    <w:rsid w:val="003D218D"/>
    <w:rsid w:val="0041517B"/>
    <w:rsid w:val="004954F8"/>
    <w:rsid w:val="004D078B"/>
    <w:rsid w:val="004F5F61"/>
    <w:rsid w:val="0051331B"/>
    <w:rsid w:val="0055087B"/>
    <w:rsid w:val="0059454E"/>
    <w:rsid w:val="005B04AB"/>
    <w:rsid w:val="005B5B44"/>
    <w:rsid w:val="005C6798"/>
    <w:rsid w:val="0061151F"/>
    <w:rsid w:val="00622EC9"/>
    <w:rsid w:val="006305C7"/>
    <w:rsid w:val="006836B6"/>
    <w:rsid w:val="006B191B"/>
    <w:rsid w:val="006B2A51"/>
    <w:rsid w:val="006D4279"/>
    <w:rsid w:val="00760317"/>
    <w:rsid w:val="0079596E"/>
    <w:rsid w:val="00796E26"/>
    <w:rsid w:val="007B2225"/>
    <w:rsid w:val="007C620A"/>
    <w:rsid w:val="007D1CA4"/>
    <w:rsid w:val="00837F2F"/>
    <w:rsid w:val="00891B24"/>
    <w:rsid w:val="008958E4"/>
    <w:rsid w:val="008A040E"/>
    <w:rsid w:val="008D0127"/>
    <w:rsid w:val="008E6843"/>
    <w:rsid w:val="00924D38"/>
    <w:rsid w:val="00924DFE"/>
    <w:rsid w:val="00943C52"/>
    <w:rsid w:val="0095084F"/>
    <w:rsid w:val="0095401D"/>
    <w:rsid w:val="009933BE"/>
    <w:rsid w:val="0099587A"/>
    <w:rsid w:val="009B57BF"/>
    <w:rsid w:val="009D27C9"/>
    <w:rsid w:val="00A163E7"/>
    <w:rsid w:val="00A4242D"/>
    <w:rsid w:val="00A95442"/>
    <w:rsid w:val="00B242BD"/>
    <w:rsid w:val="00B43969"/>
    <w:rsid w:val="00B95FB6"/>
    <w:rsid w:val="00C11E08"/>
    <w:rsid w:val="00C7001A"/>
    <w:rsid w:val="00C8782E"/>
    <w:rsid w:val="00C96423"/>
    <w:rsid w:val="00CC1D15"/>
    <w:rsid w:val="00D12D98"/>
    <w:rsid w:val="00D7082F"/>
    <w:rsid w:val="00DD4BAB"/>
    <w:rsid w:val="00DF09F4"/>
    <w:rsid w:val="00E36E24"/>
    <w:rsid w:val="00E856F0"/>
    <w:rsid w:val="00EA4A2A"/>
    <w:rsid w:val="00EE2892"/>
    <w:rsid w:val="00EF6258"/>
    <w:rsid w:val="00F207AD"/>
    <w:rsid w:val="00F277C4"/>
    <w:rsid w:val="00F303DB"/>
    <w:rsid w:val="00F308A2"/>
    <w:rsid w:val="00F428DA"/>
    <w:rsid w:val="00F52BFC"/>
    <w:rsid w:val="00F64777"/>
    <w:rsid w:val="00F76F0A"/>
    <w:rsid w:val="00F82AFB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2DC3D"/>
  <w15:docId w15:val="{487ED66F-E9E3-482C-A302-3BC9A3C4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  <w:rPr>
      <w:color w:val="1A1A1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221D32"/>
    <w:pPr>
      <w:spacing w:before="240" w:after="240" w:line="240" w:lineRule="auto"/>
      <w:jc w:val="center"/>
    </w:pPr>
    <w:rPr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1982</Words>
  <Characters>10901</Characters>
  <Application>Microsoft Office Word</Application>
  <DocSecurity>0</DocSecurity>
  <Lines>90</Lines>
  <Paragraphs>25</Paragraphs>
  <ScaleCrop>false</ScaleCrop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comunicaciones · plantilla v1.2</dc:title>
  <dc:subject>Plantilla de proyecto de Taracea</dc:subject>
  <dc:creator>Oficina de Proyectos · Taracea</dc:creator>
  <cp:keywords>plantilla</cp:keywords>
  <dc:description/>
  <cp:lastModifiedBy>Daniel</cp:lastModifiedBy>
  <cp:revision>3</cp:revision>
  <dcterms:created xsi:type="dcterms:W3CDTF">2026-10-01T21:35:00Z</dcterms:created>
  <dcterms:modified xsi:type="dcterms:W3CDTF">2026-10-02T09:09:00Z</dcterms:modified>
  <cp:category>Plantilla de la consultora</cp:category>
  <cp:contentStatus/>
  <dc:language>es-ES</dc:language>
</cp:coreProperties>
</file>