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7"/>
        <w:gridCol w:w="4677"/>
        <w:gridCol w:w="2607"/>
        <w:gridCol w:w="4679"/>
      </w:tblGrid>
      <w:tr w:rsidR="00A0170F" w14:paraId="55EB95F5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1F07FF36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Proyecto</w:t>
            </w:r>
          </w:p>
        </w:tc>
        <w:tc>
          <w:tcPr>
            <w:tcW w:w="4677" w:type="dxa"/>
            <w:vAlign w:val="center"/>
          </w:tcPr>
          <w:p w14:paraId="10D67B5C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9"/>
              </w:rPr>
              <w:t>TuSuper</w:t>
            </w:r>
            <w:proofErr w:type="spellEnd"/>
            <w:r>
              <w:rPr>
                <w:sz w:val="19"/>
              </w:rPr>
              <w:t xml:space="preserve"> en línea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0F472981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Código del proyecto</w:t>
            </w:r>
          </w:p>
        </w:tc>
        <w:tc>
          <w:tcPr>
            <w:tcW w:w="4679" w:type="dxa"/>
            <w:vAlign w:val="center"/>
          </w:tcPr>
          <w:p w14:paraId="380FEC5E" w14:textId="77777777" w:rsidR="00A0170F" w:rsidRDefault="00000000">
            <w:pPr>
              <w:spacing w:after="0" w:line="240" w:lineRule="auto"/>
            </w:pPr>
            <w:r>
              <w:rPr>
                <w:sz w:val="19"/>
              </w:rPr>
              <w:t>TSL-2627</w:t>
            </w:r>
          </w:p>
        </w:tc>
      </w:tr>
      <w:tr w:rsidR="00A0170F" w14:paraId="785D23CE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49E4C09B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Grupo</w:t>
            </w:r>
          </w:p>
        </w:tc>
        <w:tc>
          <w:tcPr>
            <w:tcW w:w="4677" w:type="dxa"/>
            <w:vAlign w:val="center"/>
          </w:tcPr>
          <w:p w14:paraId="67BDC3A9" w14:textId="77777777" w:rsidR="00A0170F" w:rsidRDefault="00000000">
            <w:pPr>
              <w:spacing w:after="0" w:line="240" w:lineRule="auto"/>
            </w:pPr>
            <w:r>
              <w:t>PGPI-208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760823ED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Documento y versión</w:t>
            </w:r>
          </w:p>
        </w:tc>
        <w:tc>
          <w:tcPr>
            <w:tcW w:w="4679" w:type="dxa"/>
            <w:vAlign w:val="center"/>
          </w:tcPr>
          <w:p w14:paraId="31572CC4" w14:textId="77777777" w:rsidR="00A0170F" w:rsidRDefault="00000000">
            <w:pPr>
              <w:spacing w:after="0" w:line="240" w:lineRule="auto"/>
            </w:pPr>
            <w:r>
              <w:t>Registro de supuestos · v1.4</w:t>
            </w:r>
          </w:p>
        </w:tc>
      </w:tr>
      <w:tr w:rsidR="00A0170F" w14:paraId="0B3407B6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2833966A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Fecha de elaboración</w:t>
            </w:r>
          </w:p>
        </w:tc>
        <w:tc>
          <w:tcPr>
            <w:tcW w:w="4677" w:type="dxa"/>
            <w:vAlign w:val="center"/>
          </w:tcPr>
          <w:p w14:paraId="5E1E2EA8" w14:textId="77777777" w:rsidR="00A0170F" w:rsidRDefault="00000000">
            <w:pPr>
              <w:spacing w:after="0" w:line="240" w:lineRule="auto"/>
            </w:pPr>
            <w:r>
              <w:t>29/10/2026</w:t>
            </w:r>
          </w:p>
        </w:tc>
        <w:tc>
          <w:tcPr>
            <w:tcW w:w="2607" w:type="dxa"/>
            <w:shd w:val="clear" w:color="auto" w:fill="F2F2F2"/>
            <w:vAlign w:val="center"/>
          </w:tcPr>
          <w:p w14:paraId="46F0CE2E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Aprobado por</w:t>
            </w:r>
          </w:p>
        </w:tc>
        <w:tc>
          <w:tcPr>
            <w:tcW w:w="4679" w:type="dxa"/>
            <w:vAlign w:val="center"/>
          </w:tcPr>
          <w:p w14:paraId="1F228AD0" w14:textId="77777777" w:rsidR="00A0170F" w:rsidRDefault="00000000">
            <w:pPr>
              <w:spacing w:after="0" w:line="240" w:lineRule="auto"/>
            </w:pPr>
            <w:r>
              <w:rPr>
                <w:sz w:val="19"/>
              </w:rPr>
              <w:t>Director del proyecto</w:t>
            </w:r>
          </w:p>
        </w:tc>
      </w:tr>
      <w:tr w:rsidR="00A0170F" w14:paraId="27C6F2D8" w14:textId="77777777">
        <w:trPr>
          <w:cantSplit/>
          <w:trHeight w:val="425"/>
        </w:trPr>
        <w:tc>
          <w:tcPr>
            <w:tcW w:w="2607" w:type="dxa"/>
            <w:shd w:val="clear" w:color="auto" w:fill="F2F2F2"/>
            <w:vAlign w:val="center"/>
          </w:tcPr>
          <w:p w14:paraId="661882CB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smallCaps/>
                <w:color w:val="1F4E5A"/>
                <w:spacing w:val="6"/>
                <w:sz w:val="18"/>
                <w:szCs w:val="18"/>
              </w:rPr>
              <w:t>Elaborado por</w:t>
            </w:r>
          </w:p>
        </w:tc>
        <w:tc>
          <w:tcPr>
            <w:tcW w:w="11963" w:type="dxa"/>
            <w:gridSpan w:val="3"/>
            <w:vAlign w:val="center"/>
          </w:tcPr>
          <w:p w14:paraId="555E8FFE" w14:textId="77777777" w:rsidR="00A0170F" w:rsidRDefault="00000000">
            <w:pPr>
              <w:spacing w:after="0" w:line="240" w:lineRule="auto"/>
            </w:pPr>
            <w:r>
              <w:t>Daniel Salado Hidalgo (director de proyecto)</w:t>
            </w:r>
            <w:r>
              <w:br/>
              <w:t>Carlos Ruiz-Mateos Valdivieso (experto)</w:t>
            </w:r>
            <w:r>
              <w:br/>
              <w:t>Carlos Vázquez Palomero (experto)</w:t>
            </w:r>
            <w:r>
              <w:br/>
              <w:t>Emilio Metro Álvarez (experto)</w:t>
            </w:r>
            <w:r>
              <w:br/>
              <w:t>Francisco José Pérez Jiménez (experto)</w:t>
            </w:r>
          </w:p>
        </w:tc>
      </w:tr>
    </w:tbl>
    <w:p w14:paraId="165F0DB5" w14:textId="77777777" w:rsidR="00A0170F" w:rsidRDefault="00A0170F">
      <w:pPr>
        <w:spacing w:after="0"/>
        <w:rPr>
          <w:sz w:val="12"/>
          <w:szCs w:val="12"/>
        </w:rPr>
      </w:pPr>
    </w:p>
    <w:p w14:paraId="579D85EF" w14:textId="77777777" w:rsidR="00A0170F" w:rsidRDefault="00000000">
      <w:pPr>
        <w:keepNext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t>HISTÓRICO DE MODIFICACIONES DEL DOCUMENTO</w:t>
      </w: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1587"/>
        <w:gridCol w:w="3118"/>
        <w:gridCol w:w="8618"/>
      </w:tblGrid>
      <w:tr w:rsidR="00A0170F" w14:paraId="36BE277C" w14:textId="77777777">
        <w:trPr>
          <w:cantSplit/>
          <w:tblHeader/>
        </w:trPr>
        <w:tc>
          <w:tcPr>
            <w:tcW w:w="1247" w:type="dxa"/>
            <w:shd w:val="clear" w:color="auto" w:fill="DCE6E8"/>
          </w:tcPr>
          <w:p w14:paraId="51280FF8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Versión</w:t>
            </w:r>
          </w:p>
        </w:tc>
        <w:tc>
          <w:tcPr>
            <w:tcW w:w="1587" w:type="dxa"/>
            <w:shd w:val="clear" w:color="auto" w:fill="DCE6E8"/>
          </w:tcPr>
          <w:p w14:paraId="08F97763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Fecha</w:t>
            </w:r>
          </w:p>
        </w:tc>
        <w:tc>
          <w:tcPr>
            <w:tcW w:w="3118" w:type="dxa"/>
            <w:shd w:val="clear" w:color="auto" w:fill="DCE6E8"/>
          </w:tcPr>
          <w:p w14:paraId="6565BFB8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Realizada por</w:t>
            </w:r>
          </w:p>
        </w:tc>
        <w:tc>
          <w:tcPr>
            <w:tcW w:w="8618" w:type="dxa"/>
            <w:shd w:val="clear" w:color="auto" w:fill="DCE6E8"/>
          </w:tcPr>
          <w:p w14:paraId="0B78DCE0" w14:textId="77777777" w:rsidR="00A0170F" w:rsidRDefault="00000000">
            <w:pPr>
              <w:spacing w:after="0" w:line="240" w:lineRule="auto"/>
              <w:rPr>
                <w:sz w:val="19"/>
                <w:szCs w:val="19"/>
              </w:rPr>
            </w:pPr>
            <w:r>
              <w:rPr>
                <w:b/>
                <w:color w:val="1F4E5A"/>
                <w:sz w:val="19"/>
                <w:szCs w:val="19"/>
              </w:rPr>
              <w:t>Breve descripción de los cambios</w:t>
            </w:r>
          </w:p>
        </w:tc>
      </w:tr>
      <w:tr w:rsidR="00A0170F" w14:paraId="6B8C9B84" w14:textId="77777777">
        <w:trPr>
          <w:cantSplit/>
          <w:trHeight w:val="340"/>
        </w:trPr>
        <w:tc>
          <w:tcPr>
            <w:tcW w:w="1247" w:type="dxa"/>
            <w:vAlign w:val="center"/>
          </w:tcPr>
          <w:p w14:paraId="37FD9D09" w14:textId="77777777" w:rsidR="00A0170F" w:rsidRDefault="00000000">
            <w:pPr>
              <w:spacing w:after="0" w:line="240" w:lineRule="auto"/>
            </w:pPr>
            <w:r>
              <w:rPr>
                <w:sz w:val="19"/>
              </w:rPr>
              <w:t>v1.0</w:t>
            </w:r>
          </w:p>
        </w:tc>
        <w:tc>
          <w:tcPr>
            <w:tcW w:w="1587" w:type="dxa"/>
            <w:vAlign w:val="center"/>
          </w:tcPr>
          <w:p w14:paraId="177E25B5" w14:textId="77777777" w:rsidR="00A0170F" w:rsidRDefault="00000000">
            <w:pPr>
              <w:spacing w:after="0" w:line="240" w:lineRule="auto"/>
            </w:pPr>
            <w:r>
              <w:rPr>
                <w:sz w:val="19"/>
              </w:rPr>
              <w:t>01/10/2026</w:t>
            </w:r>
          </w:p>
        </w:tc>
        <w:tc>
          <w:tcPr>
            <w:tcW w:w="3118" w:type="dxa"/>
            <w:vAlign w:val="center"/>
          </w:tcPr>
          <w:p w14:paraId="5D795683" w14:textId="4748D17C" w:rsidR="00A0170F" w:rsidRDefault="00000000">
            <w:pPr>
              <w:spacing w:after="0" w:line="240" w:lineRule="auto"/>
            </w:pPr>
            <w:r>
              <w:t>CRV</w:t>
            </w:r>
          </w:p>
        </w:tc>
        <w:tc>
          <w:tcPr>
            <w:tcW w:w="8618" w:type="dxa"/>
            <w:vAlign w:val="center"/>
          </w:tcPr>
          <w:p w14:paraId="12F8BD8E" w14:textId="77777777" w:rsidR="00A0170F" w:rsidRDefault="00000000">
            <w:pPr>
              <w:spacing w:after="0" w:line="240" w:lineRule="auto"/>
            </w:pPr>
            <w:r>
              <w:t>Primera versión del Registro de supuestos y restricciones, actualizada con el Plan de dirección del proyecto v1.0, el Acta de constitución, las normas internas y los calendarios laborales 2026-2027.</w:t>
            </w:r>
          </w:p>
        </w:tc>
      </w:tr>
      <w:tr w:rsidR="00A0170F" w14:paraId="0C61CC7D" w14:textId="77777777">
        <w:trPr>
          <w:cantSplit/>
          <w:trHeight w:val="340"/>
        </w:trPr>
        <w:tc>
          <w:tcPr>
            <w:tcW w:w="1247" w:type="dxa"/>
            <w:vAlign w:val="center"/>
          </w:tcPr>
          <w:p w14:paraId="0C371A3B" w14:textId="77777777" w:rsidR="00A0170F" w:rsidRDefault="00000000">
            <w:pPr>
              <w:spacing w:after="0" w:line="240" w:lineRule="auto"/>
            </w:pPr>
            <w:r>
              <w:t>v1.1</w:t>
            </w:r>
          </w:p>
        </w:tc>
        <w:tc>
          <w:tcPr>
            <w:tcW w:w="1587" w:type="dxa"/>
            <w:vAlign w:val="center"/>
          </w:tcPr>
          <w:p w14:paraId="38F605E7" w14:textId="77777777" w:rsidR="00A0170F" w:rsidRDefault="00000000">
            <w:pPr>
              <w:spacing w:after="0" w:line="240" w:lineRule="auto"/>
            </w:pPr>
            <w:r>
              <w:t>04/10/2026</w:t>
            </w:r>
          </w:p>
        </w:tc>
        <w:tc>
          <w:tcPr>
            <w:tcW w:w="3118" w:type="dxa"/>
            <w:vAlign w:val="center"/>
          </w:tcPr>
          <w:p w14:paraId="514D38CC" w14:textId="1B5281C3" w:rsidR="00A0170F" w:rsidRDefault="00000000">
            <w:pPr>
              <w:spacing w:after="0" w:line="240" w:lineRule="auto"/>
            </w:pPr>
            <w:r>
              <w:t>CRV</w:t>
            </w:r>
          </w:p>
        </w:tc>
        <w:tc>
          <w:tcPr>
            <w:tcW w:w="8618" w:type="dxa"/>
            <w:vAlign w:val="center"/>
          </w:tcPr>
          <w:p w14:paraId="1A88C7B3" w14:textId="77777777" w:rsidR="00A0170F" w:rsidRDefault="00000000">
            <w:pPr>
              <w:spacing w:after="0" w:line="240" w:lineRule="auto"/>
            </w:pPr>
            <w:r>
              <w:t>Revisión con Plan v1.1, Contrato TS-CTR-0112, correspondencia C-01/C-02/C-03 y NOR-01/10/26; actualización S-01, S-08, S-10 y S-11; altas S-12 a S-17.</w:t>
            </w:r>
          </w:p>
        </w:tc>
      </w:tr>
      <w:tr w:rsidR="00A0170F" w14:paraId="5DB022B3" w14:textId="77777777">
        <w:trPr>
          <w:cantSplit/>
          <w:trHeight w:val="340"/>
        </w:trPr>
        <w:tc>
          <w:tcPr>
            <w:tcW w:w="1247" w:type="dxa"/>
            <w:vAlign w:val="center"/>
          </w:tcPr>
          <w:p w14:paraId="1EEE7C34" w14:textId="77777777" w:rsidR="00A0170F" w:rsidRDefault="00000000">
            <w:pPr>
              <w:spacing w:after="0" w:line="240" w:lineRule="auto"/>
            </w:pPr>
            <w:r>
              <w:t>v1.2</w:t>
            </w:r>
          </w:p>
        </w:tc>
        <w:tc>
          <w:tcPr>
            <w:tcW w:w="1587" w:type="dxa"/>
            <w:vAlign w:val="center"/>
          </w:tcPr>
          <w:p w14:paraId="3E1F917C" w14:textId="77777777" w:rsidR="00A0170F" w:rsidRDefault="00000000">
            <w:pPr>
              <w:spacing w:after="0" w:line="240" w:lineRule="auto"/>
            </w:pPr>
            <w:r>
              <w:t>24/10/2026</w:t>
            </w:r>
          </w:p>
        </w:tc>
        <w:tc>
          <w:tcPr>
            <w:tcW w:w="3118" w:type="dxa"/>
            <w:vAlign w:val="center"/>
          </w:tcPr>
          <w:p w14:paraId="5C1D1D88" w14:textId="77777777" w:rsidR="00A0170F" w:rsidRDefault="00000000">
            <w:pPr>
              <w:spacing w:after="0" w:line="240" w:lineRule="auto"/>
            </w:pPr>
            <w:r>
              <w:t>CVP</w:t>
            </w:r>
          </w:p>
        </w:tc>
        <w:tc>
          <w:tcPr>
            <w:tcW w:w="8618" w:type="dxa"/>
            <w:vAlign w:val="center"/>
          </w:tcPr>
          <w:p w14:paraId="6402E24A" w14:textId="77777777" w:rsidR="00A0170F" w:rsidRDefault="00000000">
            <w:pPr>
              <w:spacing w:after="0" w:line="240" w:lineRule="auto"/>
            </w:pPr>
            <w:r>
              <w:t>Añadidos supuestos S-17 a S-23 tras la elaboración de la lista de actividades</w:t>
            </w:r>
          </w:p>
        </w:tc>
      </w:tr>
      <w:tr w:rsidR="00A0170F" w14:paraId="23C76056" w14:textId="77777777">
        <w:trPr>
          <w:cantSplit/>
          <w:trHeight w:val="340"/>
        </w:trPr>
        <w:tc>
          <w:tcPr>
            <w:tcW w:w="1247" w:type="dxa"/>
            <w:vAlign w:val="center"/>
          </w:tcPr>
          <w:p w14:paraId="4930037F" w14:textId="77777777" w:rsidR="00A0170F" w:rsidRDefault="00000000">
            <w:pPr>
              <w:spacing w:after="0" w:line="240" w:lineRule="auto"/>
            </w:pPr>
            <w:r>
              <w:t>v1.3</w:t>
            </w:r>
          </w:p>
        </w:tc>
        <w:tc>
          <w:tcPr>
            <w:tcW w:w="1587" w:type="dxa"/>
            <w:vAlign w:val="center"/>
          </w:tcPr>
          <w:p w14:paraId="5202EA24" w14:textId="77777777" w:rsidR="00A0170F" w:rsidRDefault="00000000">
            <w:pPr>
              <w:spacing w:after="0" w:line="240" w:lineRule="auto"/>
            </w:pPr>
            <w:r>
              <w:t>29/10/2026</w:t>
            </w:r>
          </w:p>
        </w:tc>
        <w:tc>
          <w:tcPr>
            <w:tcW w:w="3118" w:type="dxa"/>
            <w:vAlign w:val="center"/>
          </w:tcPr>
          <w:p w14:paraId="54DD3A19" w14:textId="77777777" w:rsidR="00A0170F" w:rsidRDefault="00000000">
            <w:pPr>
              <w:spacing w:after="0" w:line="240" w:lineRule="auto"/>
            </w:pPr>
            <w:r>
              <w:t>EMA</w:t>
            </w:r>
          </w:p>
        </w:tc>
        <w:tc>
          <w:tcPr>
            <w:tcW w:w="8618" w:type="dxa"/>
            <w:vAlign w:val="center"/>
          </w:tcPr>
          <w:p w14:paraId="460AB4D0" w14:textId="77777777" w:rsidR="00A0170F" w:rsidRDefault="00000000">
            <w:pPr>
              <w:spacing w:after="0" w:line="240" w:lineRule="auto"/>
            </w:pPr>
            <w:r>
              <w:t xml:space="preserve">Revisión completa con el calendario del proyecto (CAL-01), el calendario de reuniones (CAL-02), la carta de asignación, las ofertas de </w:t>
            </w:r>
            <w:proofErr w:type="spellStart"/>
            <w:r>
              <w:t>Conectia</w:t>
            </w:r>
            <w:proofErr w:type="spellEnd"/>
            <w:r>
              <w:t xml:space="preserve"> y de formación, el contrato y la correspondencia. Corregidas fechas y comentarios de S-01 a S-03, S-08 a S-10, S-13 y S-17 a S-22 (el plan v1.1 usaba una ejecución desde el 21/10 con cuatro fases y nueve </w:t>
            </w:r>
            <w:proofErr w:type="spellStart"/>
            <w:r>
              <w:t>sprints</w:t>
            </w:r>
            <w:proofErr w:type="spellEnd"/>
            <w:r>
              <w:t xml:space="preserve">; el calendario vigente da ejecución del 09/11/2026 al 05/02/2027, tres fases y seis </w:t>
            </w:r>
            <w:proofErr w:type="spellStart"/>
            <w:r>
              <w:t>sprints</w:t>
            </w:r>
            <w:proofErr w:type="spellEnd"/>
            <w:r>
              <w:t>). S-04 a S-07, S-11, S-12, S-14 a S-16 y S-23 pasan a cerradas: son datos del encargo y no restricciones del acta (las filas no se borran). Altas S-24 a S-35. Aclaración: S-17 se dio de alta en v1.2; el histórico de v1.1 lo cita por error. Cabecera: fecha y papel de F. J. Pérez corregidos.</w:t>
            </w:r>
          </w:p>
        </w:tc>
      </w:tr>
      <w:tr w:rsidR="00A0170F" w14:paraId="010C8DD6" w14:textId="77777777">
        <w:trPr>
          <w:cantSplit/>
          <w:trHeight w:val="340"/>
        </w:trPr>
        <w:tc>
          <w:tcPr>
            <w:tcW w:w="1247" w:type="dxa"/>
            <w:vAlign w:val="center"/>
          </w:tcPr>
          <w:p w14:paraId="32C795BD" w14:textId="77777777" w:rsidR="00A0170F" w:rsidRDefault="00000000">
            <w:pPr>
              <w:spacing w:after="0" w:line="240" w:lineRule="auto"/>
            </w:pPr>
            <w:r>
              <w:t>v1.4</w:t>
            </w:r>
          </w:p>
        </w:tc>
        <w:tc>
          <w:tcPr>
            <w:tcW w:w="1587" w:type="dxa"/>
            <w:vAlign w:val="center"/>
          </w:tcPr>
          <w:p w14:paraId="2DC84CFA" w14:textId="77777777" w:rsidR="00A0170F" w:rsidRDefault="00000000">
            <w:pPr>
              <w:spacing w:after="0" w:line="240" w:lineRule="auto"/>
            </w:pPr>
            <w:r>
              <w:t>29/10/2026</w:t>
            </w:r>
          </w:p>
        </w:tc>
        <w:tc>
          <w:tcPr>
            <w:tcW w:w="3118" w:type="dxa"/>
            <w:vAlign w:val="center"/>
          </w:tcPr>
          <w:p w14:paraId="783DDA13" w14:textId="092E4DCC" w:rsidR="00A0170F" w:rsidRDefault="003D133F">
            <w:pPr>
              <w:spacing w:after="0" w:line="240" w:lineRule="auto"/>
            </w:pPr>
            <w:r>
              <w:t>CRV</w:t>
            </w:r>
          </w:p>
        </w:tc>
        <w:tc>
          <w:tcPr>
            <w:tcW w:w="8618" w:type="dxa"/>
            <w:vAlign w:val="center"/>
          </w:tcPr>
          <w:p w14:paraId="77E40123" w14:textId="77777777" w:rsidR="00A0170F" w:rsidRDefault="00000000">
            <w:pPr>
              <w:spacing w:after="0" w:line="240" w:lineRule="auto"/>
            </w:pPr>
            <w:r>
              <w:t xml:space="preserve">Corrección de vencimientos y comentarios de S-03, S-04, S-05, S-17, S-19 a S-22, S-24, S-27, S-29 a S-32, S-34 y S-35. Se distinguen las fechas de control de las obligaciones posteriores al cierre y las previsiones de documentos fechados después del 29/10 (CAL-02 de 30/10 y carta de asignación de 04/11); no se alteran los </w:t>
            </w:r>
            <w:proofErr w:type="spellStart"/>
            <w:r>
              <w:t>IDs</w:t>
            </w:r>
            <w:proofErr w:type="spellEnd"/>
            <w:r>
              <w:t>, tipos ni estados.</w:t>
            </w:r>
          </w:p>
        </w:tc>
      </w:tr>
    </w:tbl>
    <w:p w14:paraId="59A9F06E" w14:textId="77777777" w:rsidR="00A0170F" w:rsidRDefault="00A0170F">
      <w:pPr>
        <w:spacing w:after="0"/>
        <w:rPr>
          <w:sz w:val="12"/>
          <w:szCs w:val="12"/>
        </w:rPr>
      </w:pPr>
    </w:p>
    <w:p w14:paraId="677993D0" w14:textId="77777777" w:rsidR="00A0170F" w:rsidRDefault="00A0170F">
      <w:pPr>
        <w:spacing w:after="0"/>
        <w:rPr>
          <w:sz w:val="12"/>
          <w:szCs w:val="12"/>
        </w:rPr>
      </w:pPr>
    </w:p>
    <w:p w14:paraId="3E286E6D" w14:textId="77777777" w:rsidR="00A0170F" w:rsidRDefault="00000000">
      <w:pPr>
        <w:keepNext/>
        <w:pageBreakBefore/>
        <w:shd w:val="clear" w:color="auto" w:fill="DCE6E8"/>
        <w:spacing w:after="0"/>
        <w:outlineLvl w:val="1"/>
        <w:rPr>
          <w:b/>
          <w:color w:val="1F4E5A"/>
        </w:rPr>
      </w:pPr>
      <w:r>
        <w:rPr>
          <w:b/>
          <w:color w:val="1F4E5A"/>
        </w:rPr>
        <w:lastRenderedPageBreak/>
        <w:t>SUPUESTOS Y RESTRICCIONES</w:t>
      </w:r>
    </w:p>
    <w:p w14:paraId="30211999" w14:textId="77777777" w:rsidR="00A0170F" w:rsidRDefault="00A0170F">
      <w:pPr>
        <w:spacing w:after="0"/>
        <w:rPr>
          <w:sz w:val="12"/>
          <w:szCs w:val="12"/>
        </w:rPr>
      </w:pPr>
    </w:p>
    <w:tbl>
      <w:tblPr>
        <w:tblStyle w:val="Tablaconcuadrcula"/>
        <w:tblW w:w="1457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737"/>
        <w:gridCol w:w="1247"/>
        <w:gridCol w:w="4535"/>
        <w:gridCol w:w="1927"/>
        <w:gridCol w:w="1587"/>
        <w:gridCol w:w="1360"/>
        <w:gridCol w:w="3177"/>
      </w:tblGrid>
      <w:tr w:rsidR="00A0170F" w14:paraId="702E26EA" w14:textId="77777777">
        <w:trPr>
          <w:cantSplit/>
          <w:tblHeader/>
        </w:trPr>
        <w:tc>
          <w:tcPr>
            <w:tcW w:w="737" w:type="dxa"/>
            <w:shd w:val="clear" w:color="auto" w:fill="DCE6E8"/>
            <w:vAlign w:val="center"/>
          </w:tcPr>
          <w:p w14:paraId="00DFDFCC" w14:textId="77777777" w:rsidR="00A0170F" w:rsidRDefault="00000000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6"/>
                <w:szCs w:val="19"/>
              </w:rPr>
              <w:t>ID</w:t>
            </w:r>
          </w:p>
        </w:tc>
        <w:tc>
          <w:tcPr>
            <w:tcW w:w="1247" w:type="dxa"/>
            <w:shd w:val="clear" w:color="auto" w:fill="DCE6E8"/>
            <w:vAlign w:val="center"/>
          </w:tcPr>
          <w:p w14:paraId="27994717" w14:textId="77777777" w:rsidR="00A0170F" w:rsidRDefault="00000000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6"/>
                <w:szCs w:val="19"/>
              </w:rPr>
              <w:t>TIPO</w:t>
            </w:r>
          </w:p>
        </w:tc>
        <w:tc>
          <w:tcPr>
            <w:tcW w:w="4535" w:type="dxa"/>
            <w:shd w:val="clear" w:color="auto" w:fill="DCE6E8"/>
            <w:vAlign w:val="center"/>
          </w:tcPr>
          <w:p w14:paraId="3E48F6C1" w14:textId="77777777" w:rsidR="00A0170F" w:rsidRDefault="00000000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6"/>
                <w:szCs w:val="19"/>
              </w:rPr>
              <w:t>DESCRIPCIÓN</w:t>
            </w:r>
          </w:p>
        </w:tc>
        <w:tc>
          <w:tcPr>
            <w:tcW w:w="1927" w:type="dxa"/>
            <w:shd w:val="clear" w:color="auto" w:fill="DCE6E8"/>
            <w:vAlign w:val="center"/>
          </w:tcPr>
          <w:p w14:paraId="102F0E57" w14:textId="77777777" w:rsidR="00A0170F" w:rsidRDefault="00000000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6"/>
                <w:szCs w:val="19"/>
              </w:rPr>
              <w:t>RESPONSABLE</w:t>
            </w:r>
          </w:p>
        </w:tc>
        <w:tc>
          <w:tcPr>
            <w:tcW w:w="1587" w:type="dxa"/>
            <w:shd w:val="clear" w:color="auto" w:fill="DCE6E8"/>
            <w:vAlign w:val="center"/>
          </w:tcPr>
          <w:p w14:paraId="7845CEA8" w14:textId="77777777" w:rsidR="00A0170F" w:rsidRDefault="00000000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6"/>
                <w:szCs w:val="19"/>
              </w:rPr>
              <w:t>VENCIMIENTO</w:t>
            </w:r>
          </w:p>
        </w:tc>
        <w:tc>
          <w:tcPr>
            <w:tcW w:w="1360" w:type="dxa"/>
            <w:shd w:val="clear" w:color="auto" w:fill="DCE6E8"/>
            <w:vAlign w:val="center"/>
          </w:tcPr>
          <w:p w14:paraId="291605EF" w14:textId="77777777" w:rsidR="00A0170F" w:rsidRDefault="00000000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6"/>
                <w:szCs w:val="19"/>
              </w:rPr>
              <w:t>ESTADO</w:t>
            </w:r>
          </w:p>
        </w:tc>
        <w:tc>
          <w:tcPr>
            <w:tcW w:w="3177" w:type="dxa"/>
            <w:shd w:val="clear" w:color="auto" w:fill="DCE6E8"/>
            <w:vAlign w:val="center"/>
          </w:tcPr>
          <w:p w14:paraId="4CEE61E3" w14:textId="77777777" w:rsidR="00A0170F" w:rsidRDefault="00000000">
            <w:pPr>
              <w:spacing w:after="0" w:line="240" w:lineRule="auto"/>
              <w:jc w:val="center"/>
              <w:rPr>
                <w:sz w:val="19"/>
                <w:szCs w:val="19"/>
              </w:rPr>
            </w:pPr>
            <w:r>
              <w:rPr>
                <w:b/>
                <w:color w:val="1F4E5A"/>
                <w:sz w:val="16"/>
                <w:szCs w:val="19"/>
              </w:rPr>
              <w:t>COMENTARIOS</w:t>
            </w:r>
          </w:p>
        </w:tc>
      </w:tr>
      <w:tr w:rsidR="00A0170F" w14:paraId="0D85A34D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3597DCF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S-01</w:t>
            </w:r>
          </w:p>
        </w:tc>
        <w:tc>
          <w:tcPr>
            <w:tcW w:w="1247" w:type="dxa"/>
            <w:vAlign w:val="center"/>
          </w:tcPr>
          <w:p w14:paraId="1E04B03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34EA236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La plataforma debe entrar en explotación en las 32 tiendas con margen suficiente para estabilizarla antes de la campaña de Semana Santa, que empieza el lunes 15/03/2027; la fecha de entrada en explotación no admite desplazamiento.</w:t>
            </w:r>
          </w:p>
        </w:tc>
        <w:tc>
          <w:tcPr>
            <w:tcW w:w="1927" w:type="dxa"/>
            <w:vAlign w:val="center"/>
          </w:tcPr>
          <w:p w14:paraId="155DCB7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4A5356E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17</w:t>
            </w:r>
          </w:p>
        </w:tc>
        <w:tc>
          <w:tcPr>
            <w:tcW w:w="1360" w:type="dxa"/>
            <w:vAlign w:val="center"/>
          </w:tcPr>
          <w:p w14:paraId="7A3A422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Vigente</w:t>
            </w:r>
          </w:p>
        </w:tc>
        <w:tc>
          <w:tcPr>
            <w:tcW w:w="3177" w:type="dxa"/>
            <w:vAlign w:val="center"/>
          </w:tcPr>
          <w:p w14:paraId="280972C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Acta (restricciones de alto nivel) y contrato, cl. 3.2 y 3.3. El calendario del proyecto (CAL-01) fija la entrada en explotación el 05/02/2027 (semana 17), 38 días antes del límite. Obliga a mantener ese margen y a tramitar como solicitud de cambio al patrocinador cualquier modificación que lo ponga en riesgo. Penalización (cl. 14): 0,5 % del precio por día natural de retraso imputable a Taracea, contado desde la fecha del calendario aceptado por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(05/02/2027): 750 €/día, máximo 15.000 €. Último cierre comercial previo al límite: 05/03/2027.</w:t>
            </w:r>
          </w:p>
        </w:tc>
      </w:tr>
      <w:tr w:rsidR="00A0170F" w14:paraId="585A0336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5AD6745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S-02</w:t>
            </w:r>
          </w:p>
        </w:tc>
        <w:tc>
          <w:tcPr>
            <w:tcW w:w="1247" w:type="dxa"/>
            <w:vAlign w:val="center"/>
          </w:tcPr>
          <w:p w14:paraId="703B519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2EB5784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El contrato con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es a precio cerrado (150.000 €, IVA no incluido).</w:t>
            </w:r>
          </w:p>
        </w:tc>
        <w:tc>
          <w:tcPr>
            <w:tcW w:w="1927" w:type="dxa"/>
            <w:vAlign w:val="center"/>
          </w:tcPr>
          <w:p w14:paraId="02D409A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1B82CE3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18</w:t>
            </w:r>
          </w:p>
        </w:tc>
        <w:tc>
          <w:tcPr>
            <w:tcW w:w="1360" w:type="dxa"/>
            <w:vAlign w:val="center"/>
          </w:tcPr>
          <w:p w14:paraId="042DF49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Vigente</w:t>
            </w:r>
          </w:p>
        </w:tc>
        <w:tc>
          <w:tcPr>
            <w:tcW w:w="3177" w:type="dxa"/>
            <w:vAlign w:val="center"/>
          </w:tcPr>
          <w:p w14:paraId="720C2E5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Acta y contrato, cl. 5. Obliga a planificar y controlar sin superar la línea base de costes autorizada por el acta: 120.000 €, con la reserva de contingencia dentro. Los 6.000 € de reserva de gestión solo pasan a la línea base con una solicitud de cambio aprobada por la Oficina de Proyectos. Los 24.000 € entre el precio y el presupuesto (126.000 €) son margen de la consultora y no están a disposición del proyecto (NOR-17, LV-06). Cambiar el precio exige adenda (cl. 13).</w:t>
            </w:r>
          </w:p>
        </w:tc>
      </w:tr>
      <w:tr w:rsidR="00A0170F" w14:paraId="5DB0C60F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03A1F8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S-03</w:t>
            </w:r>
          </w:p>
        </w:tc>
        <w:tc>
          <w:tcPr>
            <w:tcW w:w="1247" w:type="dxa"/>
            <w:vAlign w:val="center"/>
          </w:tcPr>
          <w:p w14:paraId="20D89A5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30A5F81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El ERP heredado de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no puede modificarse.</w:t>
            </w:r>
          </w:p>
        </w:tc>
        <w:tc>
          <w:tcPr>
            <w:tcW w:w="1927" w:type="dxa"/>
            <w:vAlign w:val="center"/>
          </w:tcPr>
          <w:p w14:paraId="6A2A4C5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Francisco José Pérez Jiménez · experto</w:t>
            </w:r>
          </w:p>
        </w:tc>
        <w:tc>
          <w:tcPr>
            <w:tcW w:w="1587" w:type="dxa"/>
            <w:vAlign w:val="center"/>
          </w:tcPr>
          <w:p w14:paraId="73BF66D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05/08/2027</w:t>
            </w:r>
          </w:p>
        </w:tc>
        <w:tc>
          <w:tcPr>
            <w:tcW w:w="1360" w:type="dxa"/>
            <w:vAlign w:val="center"/>
          </w:tcPr>
          <w:p w14:paraId="10DA348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Vigente</w:t>
            </w:r>
          </w:p>
        </w:tc>
        <w:tc>
          <w:tcPr>
            <w:tcW w:w="3177" w:type="dxa"/>
            <w:vAlign w:val="center"/>
          </w:tcPr>
          <w:p w14:paraId="1E1D1B6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Acta y contrato, cl. 11. La plataforma solo se comunica con el ERP mediante un conector de proveedor homologado (RT-03); ningún componente accede a sus bases de datos (TC-OP-PIL). La prohibición rige durante la ejecución (cierre: 12/02/2027) y continúa durante la garantía, hasta el 05/08/2027 (contrato, cl. 15). La revisión al cierre del proyecto no extingue esta obligación.</w:t>
            </w:r>
          </w:p>
        </w:tc>
      </w:tr>
      <w:tr w:rsidR="00A0170F" w14:paraId="57AD2549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61AB1B84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S-04</w:t>
            </w:r>
          </w:p>
        </w:tc>
        <w:tc>
          <w:tcPr>
            <w:tcW w:w="1247" w:type="dxa"/>
            <w:vAlign w:val="center"/>
          </w:tcPr>
          <w:p w14:paraId="7C4B90A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79F89674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Las solicitudes de personal para la ejecución deben presentarse a la Oficina de Proyectos con un mínimo de diez días naturales de antelación a cada incorporación solicitada.</w:t>
            </w:r>
          </w:p>
        </w:tc>
        <w:tc>
          <w:tcPr>
            <w:tcW w:w="1927" w:type="dxa"/>
            <w:vAlign w:val="center"/>
          </w:tcPr>
          <w:p w14:paraId="50B0C6D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28CA0DB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  <w:vAlign w:val="center"/>
          </w:tcPr>
          <w:p w14:paraId="6A7BE70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  <w:vAlign w:val="center"/>
          </w:tcPr>
          <w:p w14:paraId="2E5A424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 en v1.3: condición de NOR-02, no restricción del acta (fila conservada). La ejecución empieza el 09/11/2026 (semana 6); el límite para solicitar personal era el 30/10. Según CAL-01 §7, la solicitud se presentó el 26/10/2026. La Guía sitúa el trabajo de recursos el 28/10, pero no fija esa fecha como límite de presentación. La v1.2 indicaba erróneamente el 11/10.</w:t>
            </w:r>
          </w:p>
        </w:tc>
      </w:tr>
      <w:tr w:rsidR="00A0170F" w14:paraId="0F5069A5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287C41A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S-05</w:t>
            </w:r>
          </w:p>
        </w:tc>
        <w:tc>
          <w:tcPr>
            <w:tcW w:w="1247" w:type="dxa"/>
            <w:vAlign w:val="center"/>
          </w:tcPr>
          <w:p w14:paraId="41EF7F3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1BF0D2E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Cada equipo de trabajo de la consultora debe constituirse con entre tres y cinco miembros y no puede superar cinco miembros simultáneamente.</w:t>
            </w:r>
          </w:p>
        </w:tc>
        <w:tc>
          <w:tcPr>
            <w:tcW w:w="1927" w:type="dxa"/>
            <w:vAlign w:val="center"/>
          </w:tcPr>
          <w:p w14:paraId="00D8956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Ruiz-Mateos Valdivieso · experto</w:t>
            </w:r>
          </w:p>
        </w:tc>
        <w:tc>
          <w:tcPr>
            <w:tcW w:w="1587" w:type="dxa"/>
            <w:vAlign w:val="center"/>
          </w:tcPr>
          <w:p w14:paraId="0FE973C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  <w:vAlign w:val="center"/>
          </w:tcPr>
          <w:p w14:paraId="0A0C6D5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  <w:vAlign w:val="center"/>
          </w:tcPr>
          <w:p w14:paraId="19CAACB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 en v1.3: condición de NOR-03 y NOR-04, no restricción del acta (fila conservada). Se planifican dos equipos de cinco, uno para cada línea de aceptación (RF-01 a RF-04 y RF-05 a RF-08), sin holgura. La carta de asignación de diez personas está fechada el 04/11/2026: a fecha de este registro (29/10) se trata como previsión de dotación, no como concesión ya notificada. La ejecución prevista comprende las semanas 6 a 17, en dos fases.</w:t>
            </w:r>
          </w:p>
        </w:tc>
      </w:tr>
      <w:tr w:rsidR="00A0170F" w14:paraId="122437F4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AF19E8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S-06</w:t>
            </w:r>
          </w:p>
        </w:tc>
        <w:tc>
          <w:tcPr>
            <w:tcW w:w="1247" w:type="dxa"/>
            <w:vAlign w:val="center"/>
          </w:tcPr>
          <w:p w14:paraId="425B1FA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3CDA4F3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La consultora no trabaja del 24 de diciembre al 1 de enero, ambos inclusive; esos días no cuentan como tiempo de trabajo del proyecto.</w:t>
            </w:r>
          </w:p>
        </w:tc>
        <w:tc>
          <w:tcPr>
            <w:tcW w:w="1927" w:type="dxa"/>
            <w:vAlign w:val="center"/>
          </w:tcPr>
          <w:p w14:paraId="1E1E487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Ruiz-Mateos Valdivieso · experto</w:t>
            </w:r>
          </w:p>
        </w:tc>
        <w:tc>
          <w:tcPr>
            <w:tcW w:w="1587" w:type="dxa"/>
            <w:vAlign w:val="center"/>
          </w:tcPr>
          <w:p w14:paraId="0ACF331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  <w:vAlign w:val="center"/>
          </w:tcPr>
          <w:p w14:paraId="49E7806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  <w:vAlign w:val="center"/>
          </w:tcPr>
          <w:p w14:paraId="5135A5B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 en v1.3: dato del encargo, no restricción del acta, y por tanto no se registra (las filas no se borran). Fuente: NOR-20 y calendarios laborales 2026 y 2027. Cierre del 24/12/2026 al 01/01/2027, sin horas extra; festivos nacionales del 08/12/2026 y del 06/01/2027 (el 01/11 y el 06/12 caen en domingo y no se trasladan). La semana del 28/12 no cuenta como semana del proyecto: la semana 12 empieza el 21/12 y la 13, el 04/01. El sprint 3 tiene 9 días de trabajo y el 4, 7.</w:t>
            </w:r>
          </w:p>
        </w:tc>
      </w:tr>
      <w:tr w:rsidR="00A0170F" w14:paraId="293E308F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2833B8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S-07</w:t>
            </w:r>
          </w:p>
        </w:tc>
        <w:tc>
          <w:tcPr>
            <w:tcW w:w="1247" w:type="dxa"/>
            <w:vAlign w:val="center"/>
          </w:tcPr>
          <w:p w14:paraId="4F8F39C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44A866A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La ejecución se organiza en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 xml:space="preserve"> de dos semanas de proyecto, consecutivos, y ningún sprint puede cruzar un hito de certificación.</w:t>
            </w:r>
          </w:p>
        </w:tc>
        <w:tc>
          <w:tcPr>
            <w:tcW w:w="1927" w:type="dxa"/>
            <w:vAlign w:val="center"/>
          </w:tcPr>
          <w:p w14:paraId="0B77DD7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Emilio Metro Álvarez · experto</w:t>
            </w:r>
          </w:p>
        </w:tc>
        <w:tc>
          <w:tcPr>
            <w:tcW w:w="1587" w:type="dxa"/>
            <w:vAlign w:val="center"/>
          </w:tcPr>
          <w:p w14:paraId="1077867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  <w:vAlign w:val="center"/>
          </w:tcPr>
          <w:p w14:paraId="546EE04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  <w:vAlign w:val="center"/>
          </w:tcPr>
          <w:p w14:paraId="3C9E8AC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Cerrada en v1.3: dato del encargo, no restricción del acta, y por tanto no se registra (las filas no se borran). Fuente: NOR-25 y CAL-01 §5. Son 6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 xml:space="preserve"> de dos semanas, del 09/11/2026 (semana 6) al 05/02/2027 (semana 17), y ninguno cruza un hito de certificación (fase 2: semanas 6 a 13; fase 3: semanas 14 a 17). (La v1.2 decía nueve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 xml:space="preserve"> hasta el 09/03/2027: erróneo.)</w:t>
            </w:r>
          </w:p>
        </w:tc>
      </w:tr>
      <w:tr w:rsidR="00A0170F" w14:paraId="012556FA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51D9AFF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S-08</w:t>
            </w:r>
          </w:p>
        </w:tc>
        <w:tc>
          <w:tcPr>
            <w:tcW w:w="1247" w:type="dxa"/>
            <w:vAlign w:val="center"/>
          </w:tcPr>
          <w:p w14:paraId="27419F8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1B90F7D9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 entregará el conector con el ERP el 09/12/2026 (30 días naturales desde el pedido en firme del 09/11/2026) y este superará las pruebas de integración en el entorno de verificación el 18/12/2026 sin ciclos de corrección.</w:t>
            </w:r>
          </w:p>
        </w:tc>
        <w:tc>
          <w:tcPr>
            <w:tcW w:w="1927" w:type="dxa"/>
            <w:vAlign w:val="center"/>
          </w:tcPr>
          <w:p w14:paraId="23810D7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Vázquez Palomero · experto</w:t>
            </w:r>
          </w:p>
        </w:tc>
        <w:tc>
          <w:tcPr>
            <w:tcW w:w="1587" w:type="dxa"/>
            <w:vAlign w:val="center"/>
          </w:tcPr>
          <w:p w14:paraId="28EE223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11</w:t>
            </w:r>
          </w:p>
        </w:tc>
        <w:tc>
          <w:tcPr>
            <w:tcW w:w="1360" w:type="dxa"/>
            <w:vAlign w:val="center"/>
          </w:tcPr>
          <w:p w14:paraId="52A444B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02EE0AE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Compromiso de entrega y oferta en firme de </w:t>
            </w: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, único proveedor homologado para la versión del ERP de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(Arquitectura §5.2; RT-03). El pedido no puede emitirse antes de que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acepte el calendario y el alcance (NOR-07): 09/11/2026 más 30 días naturales da el 09/12/2026. </w:t>
            </w: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 no reserva capacidad hasta el pedido y cada día de retraso de este desplaza la entrega otro día. Penalización por retraso: 1.800 € sobre el segundo pago. La capa de adaptación se construye antes con respuestas de prueba (DA-03). Si resulta falso: revisar cronograma (carga inicial del 10/12, integración y piloto), costes y riesgo R-01 del acta (LV-07, LV-08).</w:t>
            </w:r>
          </w:p>
        </w:tc>
      </w:tr>
      <w:tr w:rsidR="00A0170F" w14:paraId="254085C3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0866F7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S-09</w:t>
            </w:r>
          </w:p>
        </w:tc>
        <w:tc>
          <w:tcPr>
            <w:tcW w:w="1247" w:type="dxa"/>
            <w:vAlign w:val="center"/>
          </w:tcPr>
          <w:p w14:paraId="107007D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34EA80D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El ERP responderá como describa la especificación de la interfaz acordada con el </w:t>
            </w:r>
            <w:proofErr w:type="gramStart"/>
            <w:r>
              <w:rPr>
                <w:sz w:val="16"/>
              </w:rPr>
              <w:t>Jefe</w:t>
            </w:r>
            <w:proofErr w:type="gramEnd"/>
            <w:r>
              <w:rPr>
                <w:sz w:val="16"/>
              </w:rPr>
              <w:t xml:space="preserve"> de Sistemas de TI, sin comportamientos no documentados que obliguen a rehacer la capa de adaptación.</w:t>
            </w:r>
          </w:p>
        </w:tc>
        <w:tc>
          <w:tcPr>
            <w:tcW w:w="1927" w:type="dxa"/>
            <w:vAlign w:val="center"/>
          </w:tcPr>
          <w:p w14:paraId="235E403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Vázquez Palomero · experto</w:t>
            </w:r>
          </w:p>
        </w:tc>
        <w:tc>
          <w:tcPr>
            <w:tcW w:w="1587" w:type="dxa"/>
            <w:vAlign w:val="center"/>
          </w:tcPr>
          <w:p w14:paraId="71D21DD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11</w:t>
            </w:r>
          </w:p>
        </w:tc>
        <w:tc>
          <w:tcPr>
            <w:tcW w:w="1360" w:type="dxa"/>
            <w:vAlign w:val="center"/>
          </w:tcPr>
          <w:p w14:paraId="24CF091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359B636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Riesgo R-03 del acta (ERP poco documentado). Se comprueba con la primera carga de datos reales (10/12/2026) y con las pruebas de integración del conector (18/12/2026). Los datos históricos (TC-OP-HIS §2) indican que los requisitos que dependen de un sistema ajeno consumieron siempre el extremo alto de su intervalo. Si resulta falso: revisar arquitectura, estimaciones, cronograma y Registro de Riesgos.</w:t>
            </w:r>
          </w:p>
        </w:tc>
      </w:tr>
      <w:tr w:rsidR="00A0170F" w14:paraId="60079F23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3758578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S-10</w:t>
            </w:r>
          </w:p>
        </w:tc>
        <w:tc>
          <w:tcPr>
            <w:tcW w:w="1247" w:type="dxa"/>
            <w:vAlign w:val="center"/>
          </w:tcPr>
          <w:p w14:paraId="532330D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08154435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designará las tres tiendas del piloto el 04/12/2026, y estas cursarán pedidos durante dos ciclos completos de reposición (del martes 12/01 al lunes 25/01/2027) sin una incidencia que impida cursar pedidos.</w:t>
            </w:r>
          </w:p>
        </w:tc>
        <w:tc>
          <w:tcPr>
            <w:tcW w:w="1927" w:type="dxa"/>
            <w:vAlign w:val="center"/>
          </w:tcPr>
          <w:p w14:paraId="32E65D2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Emilio Metro Álvarez · experto</w:t>
            </w:r>
          </w:p>
        </w:tc>
        <w:tc>
          <w:tcPr>
            <w:tcW w:w="1587" w:type="dxa"/>
            <w:vAlign w:val="center"/>
          </w:tcPr>
          <w:p w14:paraId="4A9067F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9 y semana 16</w:t>
            </w:r>
          </w:p>
        </w:tc>
        <w:tc>
          <w:tcPr>
            <w:tcW w:w="1360" w:type="dxa"/>
            <w:vAlign w:val="center"/>
          </w:tcPr>
          <w:p w14:paraId="20F1AE4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72B68B3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Contrato cl. 7.2 y 10 (la designación se resuelve en una reunión de cierre) y CA-03 (dos ciclos completos de reposición sin incidencia que impida cursar pedidos). C-02: las tiendas no alteran su reposición hasta cerrar el recuento de Navidad, el 08/01/2027 (primer cierre de 2027), y reponen los martes. La fase 3 empieza el 11/01/2027, no el 16/12. Si resulta falso: el piloto se desplaza y con él la aceptación de RF-02 y RF-04 y la entrada en explotación del 05/02; el único cierre posterior previo al límite contractual es el del 05/03/2027.</w:t>
            </w:r>
          </w:p>
        </w:tc>
      </w:tr>
      <w:tr w:rsidR="00A0170F" w14:paraId="2BC135CB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F70D9C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S-11</w:t>
            </w:r>
          </w:p>
        </w:tc>
        <w:tc>
          <w:tcPr>
            <w:tcW w:w="1247" w:type="dxa"/>
            <w:vAlign w:val="center"/>
          </w:tcPr>
          <w:p w14:paraId="475EAB5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  <w:vAlign w:val="center"/>
          </w:tcPr>
          <w:p w14:paraId="15E0D7F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Las tiendas no pueden modificar procedimientos de reposición hasta cerrar el recuento de Navidad en el primer cierre comercial de 2027.</w:t>
            </w:r>
          </w:p>
        </w:tc>
        <w:tc>
          <w:tcPr>
            <w:tcW w:w="1927" w:type="dxa"/>
            <w:vAlign w:val="center"/>
          </w:tcPr>
          <w:p w14:paraId="6DCAF08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1D797EC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  <w:vAlign w:val="center"/>
          </w:tcPr>
          <w:p w14:paraId="590139C9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  <w:vAlign w:val="center"/>
          </w:tcPr>
          <w:p w14:paraId="1F12B54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 en v1.3: dato del encargo, no restricción del acta, y por tanto no se registra (las filas no se borran). Fuente: C-02 (</w:t>
            </w:r>
            <w:proofErr w:type="gramStart"/>
            <w:r>
              <w:rPr>
                <w:sz w:val="16"/>
              </w:rPr>
              <w:t>Director</w:t>
            </w:r>
            <w:proofErr w:type="gramEnd"/>
            <w:r>
              <w:rPr>
                <w:sz w:val="16"/>
              </w:rPr>
              <w:t xml:space="preserve"> de Operaciones). El primer cierre comercial de 2027 es el viernes 08/01/2027 (primer viernes hábil: el 01/01 es festivo; CAL-01 §4), no el 15/01. Desde ese día las tiendas pueden ensayar. La incertidumbre real está en S-10 y S-30.</w:t>
            </w:r>
          </w:p>
        </w:tc>
      </w:tr>
      <w:tr w:rsidR="00A0170F" w14:paraId="362D9AE7" w14:textId="77777777">
        <w:trPr>
          <w:cantSplit/>
        </w:trPr>
        <w:tc>
          <w:tcPr>
            <w:tcW w:w="737" w:type="dxa"/>
          </w:tcPr>
          <w:p w14:paraId="2E396DC9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S-12</w:t>
            </w:r>
          </w:p>
        </w:tc>
        <w:tc>
          <w:tcPr>
            <w:tcW w:w="1247" w:type="dxa"/>
          </w:tcPr>
          <w:p w14:paraId="6C3584F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</w:tcPr>
          <w:p w14:paraId="5C3B0CD6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solo resuelve decisiones, criterios, cambios, aceptaciones y designación de las tiendas piloto en reuniones de cierre de periodo comercial.</w:t>
            </w:r>
          </w:p>
        </w:tc>
        <w:tc>
          <w:tcPr>
            <w:tcW w:w="1927" w:type="dxa"/>
          </w:tcPr>
          <w:p w14:paraId="6068599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</w:tcPr>
          <w:p w14:paraId="1E40D1C4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</w:tcPr>
          <w:p w14:paraId="37BC079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</w:tcPr>
          <w:p w14:paraId="437D3A2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 en v1.3: dato del encargo, no restricción del acta, y por tanto no se registra (las filas no se borran). Fuente: contrato cl. 7.2 y C-01. Cierres: 06/11, 04/12/2026, 08/01 y 05/02/2027 (CAL-01 §4); el 05/03/2027 es el último previo al límite del 15/03. La incertidumbre sobre las revisiones intermedias está en S-19.</w:t>
            </w:r>
          </w:p>
        </w:tc>
      </w:tr>
      <w:tr w:rsidR="00A0170F" w14:paraId="1C507E0F" w14:textId="77777777">
        <w:trPr>
          <w:cantSplit/>
          <w:trHeight w:val="880"/>
        </w:trPr>
        <w:tc>
          <w:tcPr>
            <w:tcW w:w="737" w:type="dxa"/>
          </w:tcPr>
          <w:p w14:paraId="0E9C5F7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S-13</w:t>
            </w:r>
          </w:p>
        </w:tc>
        <w:tc>
          <w:tcPr>
            <w:tcW w:w="1247" w:type="dxa"/>
          </w:tcPr>
          <w:p w14:paraId="20083AD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</w:tcPr>
          <w:p w14:paraId="76C7252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El </w:t>
            </w:r>
            <w:proofErr w:type="gramStart"/>
            <w:r>
              <w:rPr>
                <w:sz w:val="16"/>
              </w:rPr>
              <w:t>Responsable</w:t>
            </w:r>
            <w:proofErr w:type="gramEnd"/>
            <w:r>
              <w:rPr>
                <w:sz w:val="16"/>
              </w:rPr>
              <w:t xml:space="preserve"> de tiendas participará en el diseño del panel de gestión de pedidos (RF-06) y de la preparación por franjas (RF-05) en las sesiones de diseño de los </w:t>
            </w:r>
            <w:proofErr w:type="spellStart"/>
            <w:r>
              <w:rPr>
                <w:sz w:val="16"/>
              </w:rPr>
              <w:t>sprints</w:t>
            </w:r>
            <w:proofErr w:type="spellEnd"/>
            <w:r>
              <w:rPr>
                <w:sz w:val="16"/>
              </w:rPr>
              <w:t xml:space="preserve"> 1 y 2.</w:t>
            </w:r>
          </w:p>
        </w:tc>
        <w:tc>
          <w:tcPr>
            <w:tcW w:w="1927" w:type="dxa"/>
          </w:tcPr>
          <w:p w14:paraId="50E9F09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Francisco José Pérez Jiménez · experto</w:t>
            </w:r>
          </w:p>
        </w:tc>
        <w:tc>
          <w:tcPr>
            <w:tcW w:w="1587" w:type="dxa"/>
          </w:tcPr>
          <w:p w14:paraId="39C0729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7 (RF-06) y semana 9 (RF-05)</w:t>
            </w:r>
          </w:p>
        </w:tc>
        <w:tc>
          <w:tcPr>
            <w:tcW w:w="1360" w:type="dxa"/>
          </w:tcPr>
          <w:p w14:paraId="26F9674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</w:tcPr>
          <w:p w14:paraId="48FC90E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C-01: pide intervenir en el diseño del panel. Contrato cl. 9.2: el contacto de trabajo con el </w:t>
            </w:r>
            <w:proofErr w:type="gramStart"/>
            <w:r>
              <w:rPr>
                <w:sz w:val="16"/>
              </w:rPr>
              <w:t>Responsable</w:t>
            </w:r>
            <w:proofErr w:type="gramEnd"/>
            <w:r>
              <w:rPr>
                <w:sz w:val="16"/>
              </w:rPr>
              <w:t xml:space="preserve"> de tiendas no necesita el cauce formal mientras no comprometa una aceptación, pero C-01 dice que entre cierres no atiende convocatorias de validación, de aceptación o de decisión. RF-06 queda especificado y diseñado el 20/11/2026 y RF-05, el 04/12/2026 (CAL-01 §5). No consta que su participación se haya solicitado por escrito: se pide al patrocinador (consulta </w:t>
            </w:r>
            <w:proofErr w:type="spellStart"/>
            <w:r>
              <w:rPr>
                <w:sz w:val="16"/>
              </w:rPr>
              <w:t>nº</w:t>
            </w:r>
            <w:proofErr w:type="spellEnd"/>
            <w:r>
              <w:rPr>
                <w:sz w:val="16"/>
              </w:rPr>
              <w:t xml:space="preserve"> por asignar). Si resulta falso: revisar las actividades de diseño de RF-05 y RF-06 y su aceptación (firma conjunta, anexo II).</w:t>
            </w:r>
          </w:p>
        </w:tc>
      </w:tr>
      <w:tr w:rsidR="00A0170F" w14:paraId="08190F8E" w14:textId="77777777">
        <w:trPr>
          <w:cantSplit/>
        </w:trPr>
        <w:tc>
          <w:tcPr>
            <w:tcW w:w="737" w:type="dxa"/>
          </w:tcPr>
          <w:p w14:paraId="5700D47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S-14</w:t>
            </w:r>
          </w:p>
        </w:tc>
        <w:tc>
          <w:tcPr>
            <w:tcW w:w="1247" w:type="dxa"/>
          </w:tcPr>
          <w:p w14:paraId="55E4FE2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</w:tcPr>
          <w:p w14:paraId="4CF7EFB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Las horas extraordinarias requieren autorización; cada integrante de equipo puede realizar como máximo el 25 % de su dedicación semanal al proyecto en horas extra. Director y expertos de planificación no pueden imputarlas.</w:t>
            </w:r>
          </w:p>
        </w:tc>
        <w:tc>
          <w:tcPr>
            <w:tcW w:w="1927" w:type="dxa"/>
          </w:tcPr>
          <w:p w14:paraId="5EB44AD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</w:tcPr>
          <w:p w14:paraId="45A83AF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</w:tcPr>
          <w:p w14:paraId="61EB61F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</w:tcPr>
          <w:p w14:paraId="1E1AE03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 en v1.3: dato del encargo, no restricción del acta, y por tanto no se registra (las filas no se borran). Fuente: NOR-10 y carta de asignación. Las horas extra requieren solicitud de recursos justificada por solicitud de cambio, con cargo a la reserva de gestión; máximo el 25 % de la dedicación semanal de cada miembro de equipo; el director y los expertos no pueden imputarlas; tampoco se hacen del 24/12 al 01/01 (NOR-20).</w:t>
            </w:r>
          </w:p>
        </w:tc>
      </w:tr>
      <w:tr w:rsidR="00A0170F" w14:paraId="775F0C18" w14:textId="77777777">
        <w:trPr>
          <w:cantSplit/>
        </w:trPr>
        <w:tc>
          <w:tcPr>
            <w:tcW w:w="737" w:type="dxa"/>
          </w:tcPr>
          <w:p w14:paraId="44765F1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S-15</w:t>
            </w:r>
          </w:p>
        </w:tc>
        <w:tc>
          <w:tcPr>
            <w:tcW w:w="1247" w:type="dxa"/>
          </w:tcPr>
          <w:p w14:paraId="0C2A475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</w:tcPr>
          <w:p w14:paraId="4D000D4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La documentación de uso y formación la realiza el Departamento de Formación de Taracea mediante un encargo de adquisición que se emite una vez aprobado el plan y aceptado por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el calendario y alcance.</w:t>
            </w:r>
          </w:p>
        </w:tc>
        <w:tc>
          <w:tcPr>
            <w:tcW w:w="1927" w:type="dxa"/>
          </w:tcPr>
          <w:p w14:paraId="160B395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Ruiz-Mateos Valdivieso · experto</w:t>
            </w:r>
          </w:p>
        </w:tc>
        <w:tc>
          <w:tcPr>
            <w:tcW w:w="1587" w:type="dxa"/>
          </w:tcPr>
          <w:p w14:paraId="47A457F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</w:tcPr>
          <w:p w14:paraId="06CF548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</w:tcPr>
          <w:p w14:paraId="5AEAA8E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Cerrada en v1.3: dato del encargo, no restricción del acta, y por tanto no se registra (las filas no se borran). Fuente: NOR-26, NOR-07 y oferta TSL-2627-DF-OFE-01. Encargo el 06/11/2026, tras la aceptación de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>; 3.000 € que se imputan al aceptar el encargo, al terminar la sesión del 11/01/2027; la documentación se entrega con 10 días hábiles completos de antelación (último día posible 15/12; planificado 11/12). La incertidumbre real está en S-22.</w:t>
            </w:r>
          </w:p>
        </w:tc>
      </w:tr>
      <w:tr w:rsidR="00A0170F" w14:paraId="5F78D8EB" w14:textId="77777777">
        <w:trPr>
          <w:cantSplit/>
        </w:trPr>
        <w:tc>
          <w:tcPr>
            <w:tcW w:w="737" w:type="dxa"/>
          </w:tcPr>
          <w:p w14:paraId="145FF4E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S-16</w:t>
            </w:r>
          </w:p>
        </w:tc>
        <w:tc>
          <w:tcPr>
            <w:tcW w:w="1247" w:type="dxa"/>
          </w:tcPr>
          <w:p w14:paraId="4043D37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</w:tcPr>
          <w:p w14:paraId="0514F60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La auditoría de comercio de la pasarela de pago se resuelve en quince días hábiles desde su solicitud por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>, una vez Taracea comunique que la preproducción integrada con la pasarela real está lista.</w:t>
            </w:r>
          </w:p>
        </w:tc>
        <w:tc>
          <w:tcPr>
            <w:tcW w:w="1927" w:type="dxa"/>
          </w:tcPr>
          <w:p w14:paraId="102FCE1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Francisco José Pérez Jiménez · experto</w:t>
            </w:r>
          </w:p>
        </w:tc>
        <w:tc>
          <w:tcPr>
            <w:tcW w:w="1587" w:type="dxa"/>
          </w:tcPr>
          <w:p w14:paraId="1502879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</w:tcPr>
          <w:p w14:paraId="1D17DAD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</w:tcPr>
          <w:p w14:paraId="3733F63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Cerrada en v1.3: dato del encargo, no restricción del acta, y por tanto no se registra (las filas no se borran). Fuente: C-03. La auditoría se resuelve en 15 días hábiles (lunes a viernes salvo festivos nacionales; sin parar en Navidad) sobre la preproducción de Taracea con la pasarela real: solicitada el 18/12/2026, las credenciales llegan el 13/01/2027. La incertidumbre real está en S-27.</w:t>
            </w:r>
          </w:p>
        </w:tc>
      </w:tr>
      <w:tr w:rsidR="00A0170F" w14:paraId="1E3B0F95" w14:textId="77777777">
        <w:trPr>
          <w:cantSplit/>
        </w:trPr>
        <w:tc>
          <w:tcPr>
            <w:tcW w:w="737" w:type="dxa"/>
          </w:tcPr>
          <w:p w14:paraId="3A2699C5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lastRenderedPageBreak/>
              <w:t>S-17</w:t>
            </w:r>
          </w:p>
        </w:tc>
        <w:tc>
          <w:tcPr>
            <w:tcW w:w="1247" w:type="dxa"/>
          </w:tcPr>
          <w:p w14:paraId="75E5F1B4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</w:tcPr>
          <w:p w14:paraId="1176901D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Los entornos de desarrollo, de integración continua y de preproducción de Taracea estarán configurados y operativos cuando empiece el trabajo que los necesita (desarrollo e integración continua: 09/11/2026; preproducción: 04/12/2026).</w:t>
            </w:r>
          </w:p>
        </w:tc>
        <w:tc>
          <w:tcPr>
            <w:tcW w:w="1927" w:type="dxa"/>
          </w:tcPr>
          <w:p w14:paraId="0C83569F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Carlos Vázquez Palomero · experto</w:t>
            </w:r>
          </w:p>
        </w:tc>
        <w:tc>
          <w:tcPr>
            <w:tcW w:w="1587" w:type="dxa"/>
          </w:tcPr>
          <w:p w14:paraId="259EBA13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09/11 y 04/12/2026</w:t>
            </w:r>
          </w:p>
        </w:tc>
        <w:tc>
          <w:tcPr>
            <w:tcW w:w="1360" w:type="dxa"/>
          </w:tcPr>
          <w:p w14:paraId="55553A1A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</w:tcPr>
          <w:p w14:paraId="41A2D10F" w14:textId="77777777" w:rsidR="00A0170F" w:rsidRDefault="00000000">
            <w:pPr>
              <w:spacing w:after="0" w:line="240" w:lineRule="auto"/>
              <w:rPr>
                <w:sz w:val="16"/>
              </w:rPr>
            </w:pPr>
            <w:r w:rsidRPr="003D133F">
              <w:rPr>
                <w:sz w:val="16"/>
                <w:lang w:val="en-GB"/>
              </w:rPr>
              <w:t xml:space="preserve">ACT-38, ACT-41 y ACT-44 </w:t>
            </w:r>
            <w:proofErr w:type="gramStart"/>
            <w:r w:rsidRPr="003D133F">
              <w:rPr>
                <w:sz w:val="16"/>
                <w:lang w:val="en-GB"/>
              </w:rPr>
              <w:t>a</w:t>
            </w:r>
            <w:proofErr w:type="gramEnd"/>
            <w:r w:rsidRPr="003D133F">
              <w:rPr>
                <w:sz w:val="16"/>
                <w:lang w:val="en-GB"/>
              </w:rPr>
              <w:t xml:space="preserve"> ACT-46. </w:t>
            </w:r>
            <w:r>
              <w:rPr>
                <w:sz w:val="16"/>
              </w:rPr>
              <w:t xml:space="preserve">Desarrollo e integración continua deben funcionar el 09/11 y preproducción el 04/12 (CAL-01 §6.3). Arquitectura §6 asigna el montaje al técnico del proyecto; TC-OP-CFG §9 y TC-OP-REC §7 indican que la Oficina entrega los entornos configurados. Se consulta por escrito, pero la respuesta prevista para el 11/11 llega después del primer hito: comprobar disponibilidad o alternativa antes del 09/11. El entorno de verificación es de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(S-18). Si falla: revisar dependencias, costes y pruebas.</w:t>
            </w:r>
          </w:p>
        </w:tc>
      </w:tr>
      <w:tr w:rsidR="00A0170F" w14:paraId="313177E5" w14:textId="77777777">
        <w:trPr>
          <w:cantSplit/>
        </w:trPr>
        <w:tc>
          <w:tcPr>
            <w:tcW w:w="737" w:type="dxa"/>
          </w:tcPr>
          <w:p w14:paraId="5AD18684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S-18</w:t>
            </w:r>
          </w:p>
        </w:tc>
        <w:tc>
          <w:tcPr>
            <w:tcW w:w="1247" w:type="dxa"/>
          </w:tcPr>
          <w:p w14:paraId="3322696B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</w:tcPr>
          <w:p w14:paraId="4A330430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Las tres cargas de datos reales del ERP en el entorno de verificación (10/12/2026, 23/12/2026 y 27/01/2027) bastarán: ninguna saldrá incompleta ni con una estructura distinta de la especificación de la interfaz, de modo que no haga falta una recarga correctiva.</w:t>
            </w:r>
          </w:p>
        </w:tc>
        <w:tc>
          <w:tcPr>
            <w:tcW w:w="1927" w:type="dxa"/>
          </w:tcPr>
          <w:p w14:paraId="223488DF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Francisco José Pérez Jiménez · experto</w:t>
            </w:r>
          </w:p>
        </w:tc>
        <w:tc>
          <w:tcPr>
            <w:tcW w:w="1587" w:type="dxa"/>
          </w:tcPr>
          <w:p w14:paraId="547387E9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Semana 16</w:t>
            </w:r>
          </w:p>
        </w:tc>
        <w:tc>
          <w:tcPr>
            <w:tcW w:w="1360" w:type="dxa"/>
          </w:tcPr>
          <w:p w14:paraId="6F31D89F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</w:tcPr>
          <w:p w14:paraId="665049F0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 xml:space="preserve">Contrato cl. 10 y RT-02: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carga en los tres días hábiles siguientes a cada petición escrita (04/12, 18/12 y 22/01), aunque Taracea no trabaje, y los datos quedan congelados entre cargas. La evidencia de RF-06 y RF-08 (CA-02) exige una carga posterior a la primera que lea la plataforma. Las franjas, las zonas de reparto y los datos de los repartidores llegan como tarde el 23/11/2026, cuando empieza el diseño de RF-05. El acceso remoto al entorno de verificación llega como tarde el 23/11/2026; sus condiciones de seguridad las fija Sistemas de TI de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y no constan (LV-10). Relacionado con ACT-41, ACT-42, ACT-43 y ACT-49. Si resulta falso: se retrasa la verificación de RF-06, RF-08 y RF-02 y su aceptación (LV-11).</w:t>
            </w:r>
          </w:p>
        </w:tc>
      </w:tr>
      <w:tr w:rsidR="00A0170F" w14:paraId="441C8372" w14:textId="77777777">
        <w:trPr>
          <w:cantSplit/>
        </w:trPr>
        <w:tc>
          <w:tcPr>
            <w:tcW w:w="737" w:type="dxa"/>
          </w:tcPr>
          <w:p w14:paraId="51D161C2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S-19</w:t>
            </w:r>
          </w:p>
        </w:tc>
        <w:tc>
          <w:tcPr>
            <w:tcW w:w="1247" w:type="dxa"/>
          </w:tcPr>
          <w:p w14:paraId="68A039F3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</w:tcPr>
          <w:p w14:paraId="65DBFD63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 xml:space="preserve">Los interlocutores de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que firman la aceptación asistirán a las revisiones de sprint del 20/11/2026, 18/12/2026 y 22/01/2027, que no son reuniones de cierre y no tienen valor de aceptación.</w:t>
            </w:r>
          </w:p>
        </w:tc>
        <w:tc>
          <w:tcPr>
            <w:tcW w:w="1927" w:type="dxa"/>
          </w:tcPr>
          <w:p w14:paraId="43949E33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</w:tcPr>
          <w:p w14:paraId="3785DF32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11/11/2026</w:t>
            </w:r>
          </w:p>
        </w:tc>
        <w:tc>
          <w:tcPr>
            <w:tcW w:w="1360" w:type="dxa"/>
          </w:tcPr>
          <w:p w14:paraId="25D064BF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</w:tcPr>
          <w:p w14:paraId="46B5B639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CAL-01 §5 y NOR-11 prevén revisiones de los incrementos para alcanzar el estado V. C-01 y contrato cl. 7.2 impiden validaciones, aceptaciones y decisiones fuera de los cierres comerciales. Debe confirmarse por escrito con el patrocinador que las revisiones del 20/11, 18/12 y 22/01 son sesiones de trabajo sin valor de aceptación y que sus firmantes asistirán (consulta prevista, respuesta el 11/11). No se da por confirmada esa interpretación. Si resulta falso: revisar el estado V, las pruebas y las certificaciones previstas (LV-02).</w:t>
            </w:r>
          </w:p>
        </w:tc>
      </w:tr>
      <w:tr w:rsidR="00A0170F" w14:paraId="4D25C40B" w14:textId="77777777">
        <w:trPr>
          <w:cantSplit/>
        </w:trPr>
        <w:tc>
          <w:tcPr>
            <w:tcW w:w="737" w:type="dxa"/>
          </w:tcPr>
          <w:p w14:paraId="14EB84FB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lastRenderedPageBreak/>
              <w:t>S-20</w:t>
            </w:r>
          </w:p>
        </w:tc>
        <w:tc>
          <w:tcPr>
            <w:tcW w:w="1247" w:type="dxa"/>
          </w:tcPr>
          <w:p w14:paraId="2A595F7C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</w:tcPr>
          <w:p w14:paraId="41B0EAC5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 xml:space="preserve">Correo y SMS estarán disponibles para RF-01.3 en el sprint 2; las notificaciones móviles, para RF-07 en el sprint 5. Los proveedores que traten datos personales estarán autorizados por escrito por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927" w:type="dxa"/>
          </w:tcPr>
          <w:p w14:paraId="3B2B4F6C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Carlos Vázquez Palomero · experto</w:t>
            </w:r>
          </w:p>
        </w:tc>
        <w:tc>
          <w:tcPr>
            <w:tcW w:w="1587" w:type="dxa"/>
          </w:tcPr>
          <w:p w14:paraId="0792C37F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Semanas 9 y 14</w:t>
            </w:r>
          </w:p>
        </w:tc>
        <w:tc>
          <w:tcPr>
            <w:tcW w:w="1360" w:type="dxa"/>
          </w:tcPr>
          <w:p w14:paraId="246289C6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</w:tcPr>
          <w:p w14:paraId="734C31F7" w14:textId="77777777" w:rsidR="00A0170F" w:rsidRDefault="00000000">
            <w:pPr>
              <w:spacing w:after="0" w:line="240" w:lineRule="auto"/>
              <w:rPr>
                <w:sz w:val="16"/>
              </w:rPr>
            </w:pPr>
            <w:r w:rsidRPr="003D133F">
              <w:rPr>
                <w:sz w:val="16"/>
                <w:lang w:val="en-GB"/>
              </w:rPr>
              <w:t xml:space="preserve">ACT-32 </w:t>
            </w:r>
            <w:proofErr w:type="gramStart"/>
            <w:r w:rsidRPr="003D133F">
              <w:rPr>
                <w:sz w:val="16"/>
                <w:lang w:val="en-GB"/>
              </w:rPr>
              <w:t>a</w:t>
            </w:r>
            <w:proofErr w:type="gramEnd"/>
            <w:r w:rsidRPr="003D133F">
              <w:rPr>
                <w:sz w:val="16"/>
                <w:lang w:val="en-GB"/>
              </w:rPr>
              <w:t xml:space="preserve"> ACT-34 (SMTP, APNs y FCM). </w:t>
            </w:r>
            <w:r>
              <w:rPr>
                <w:sz w:val="16"/>
              </w:rPr>
              <w:t xml:space="preserve">RF-01.3 precisa correo y SMS antes que RF-07, que incorpora notificaciones en Android </w:t>
            </w:r>
            <w:proofErr w:type="gramStart"/>
            <w:r>
              <w:rPr>
                <w:sz w:val="16"/>
              </w:rPr>
              <w:t>e</w:t>
            </w:r>
            <w:proofErr w:type="gramEnd"/>
            <w:r>
              <w:rPr>
                <w:sz w:val="16"/>
              </w:rPr>
              <w:t xml:space="preserve"> iOS. La autorización de proveedores que traten datos reales se prevé para el 04/12 (S-28); hasta entonces no cabe darla por obtenida. RF-07 necesita además las cuentas de S-29. Verificar los servicios al comenzar cada sprint afectado. Si falla: reprogramar pruebas y aceptación de RF-01 o RF-07.</w:t>
            </w:r>
          </w:p>
        </w:tc>
      </w:tr>
      <w:tr w:rsidR="00A0170F" w14:paraId="1A4A16DE" w14:textId="77777777">
        <w:trPr>
          <w:cantSplit/>
        </w:trPr>
        <w:tc>
          <w:tcPr>
            <w:tcW w:w="737" w:type="dxa"/>
          </w:tcPr>
          <w:p w14:paraId="3CDEC8D1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S-21</w:t>
            </w:r>
          </w:p>
        </w:tc>
        <w:tc>
          <w:tcPr>
            <w:tcW w:w="1247" w:type="dxa"/>
          </w:tcPr>
          <w:p w14:paraId="49CAC634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</w:tcPr>
          <w:p w14:paraId="03228F49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El entorno de preproducción permitirá simular 2.000 compradores simultáneos con respuesta inferior a dos segundos en el 95 % de las peticiones, sin ampliaciones de infraestructura fuera de la línea base de costes.</w:t>
            </w:r>
          </w:p>
        </w:tc>
        <w:tc>
          <w:tcPr>
            <w:tcW w:w="1927" w:type="dxa"/>
          </w:tcPr>
          <w:p w14:paraId="5FDFA78E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Francisco José Pérez Jiménez · experto</w:t>
            </w:r>
          </w:p>
        </w:tc>
        <w:tc>
          <w:tcPr>
            <w:tcW w:w="1587" w:type="dxa"/>
          </w:tcPr>
          <w:p w14:paraId="222BC9BB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Semana 17</w:t>
            </w:r>
          </w:p>
        </w:tc>
        <w:tc>
          <w:tcPr>
            <w:tcW w:w="1360" w:type="dxa"/>
          </w:tcPr>
          <w:p w14:paraId="04E6DEEF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</w:tcPr>
          <w:p w14:paraId="28031BB1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ACT-38, ACT-44 y ACT-47. RNF-01 (contrato, anexo I §2): las pruebas de carga en preproducción deben superarse antes de explotar la plataforma el 05/02. Se recomienda un ensayo preliminar en semana 16 si el incremento lo permite. La disponibilidad del entorno depende de S-17. Si falla: revisar capacidad, costes y cronograma, con autorización de cambios cuando proceda.</w:t>
            </w:r>
          </w:p>
        </w:tc>
      </w:tr>
      <w:tr w:rsidR="00A0170F" w14:paraId="7869F391" w14:textId="77777777">
        <w:trPr>
          <w:cantSplit/>
        </w:trPr>
        <w:tc>
          <w:tcPr>
            <w:tcW w:w="737" w:type="dxa"/>
          </w:tcPr>
          <w:p w14:paraId="275BF3A7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S-22</w:t>
            </w:r>
          </w:p>
        </w:tc>
        <w:tc>
          <w:tcPr>
            <w:tcW w:w="1247" w:type="dxa"/>
          </w:tcPr>
          <w:p w14:paraId="0D9F1F91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</w:tcPr>
          <w:p w14:paraId="2C8AC59C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Todo el personal de las tres tiendas del piloto podrá asistir a la sesión de formación del 11/01/2027 y al menos el 90 % superará la prueba práctica.</w:t>
            </w:r>
          </w:p>
        </w:tc>
        <w:tc>
          <w:tcPr>
            <w:tcW w:w="1927" w:type="dxa"/>
          </w:tcPr>
          <w:p w14:paraId="62CBB388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Emilio Metro Álvarez · experto</w:t>
            </w:r>
          </w:p>
        </w:tc>
        <w:tc>
          <w:tcPr>
            <w:tcW w:w="1587" w:type="dxa"/>
          </w:tcPr>
          <w:p w14:paraId="3BB35BA6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Semana 14</w:t>
            </w:r>
          </w:p>
        </w:tc>
        <w:tc>
          <w:tcPr>
            <w:tcW w:w="1360" w:type="dxa"/>
          </w:tcPr>
          <w:p w14:paraId="6ACFB0B7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</w:tcPr>
          <w:p w14:paraId="3CBB4C46" w14:textId="77777777" w:rsidR="00A0170F" w:rsidRDefault="00000000">
            <w:pPr>
              <w:spacing w:after="0" w:line="240" w:lineRule="auto"/>
              <w:rPr>
                <w:sz w:val="16"/>
              </w:rPr>
            </w:pPr>
            <w:r w:rsidRPr="003D133F">
              <w:rPr>
                <w:sz w:val="16"/>
                <w:lang w:val="en-GB"/>
              </w:rPr>
              <w:t xml:space="preserve">ACT-48, ACT-50 y ACT-57 </w:t>
            </w:r>
            <w:proofErr w:type="gramStart"/>
            <w:r w:rsidRPr="003D133F">
              <w:rPr>
                <w:sz w:val="16"/>
                <w:lang w:val="en-GB"/>
              </w:rPr>
              <w:t>a</w:t>
            </w:r>
            <w:proofErr w:type="gramEnd"/>
            <w:r w:rsidRPr="003D133F">
              <w:rPr>
                <w:sz w:val="16"/>
                <w:lang w:val="en-GB"/>
              </w:rPr>
              <w:t xml:space="preserve"> ACT-60. </w:t>
            </w:r>
            <w:r>
              <w:rPr>
                <w:sz w:val="16"/>
              </w:rPr>
              <w:t>Contrato cl. 10: diez días hábiles desde la petición del 04/12 vencen el 21/12/2026, no el 18/12 (el 08/12 es festivo). CAL-01/02 prevén al personal en la sesión del 11/01. Oferta DF-OFE-01: cada tienda acredita asistencia de todo su personal y el 90 % de los asistentes debe aprobar la prueba práctica. Ambos criterios se comprueban el 11/01. Si falla: replanificar formación y piloto (S-10).</w:t>
            </w:r>
          </w:p>
        </w:tc>
      </w:tr>
      <w:tr w:rsidR="00A0170F" w14:paraId="53891251" w14:textId="77777777">
        <w:trPr>
          <w:cantSplit/>
        </w:trPr>
        <w:tc>
          <w:tcPr>
            <w:tcW w:w="737" w:type="dxa"/>
          </w:tcPr>
          <w:p w14:paraId="13B1EF39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S-23</w:t>
            </w:r>
          </w:p>
        </w:tc>
        <w:tc>
          <w:tcPr>
            <w:tcW w:w="1247" w:type="dxa"/>
          </w:tcPr>
          <w:p w14:paraId="2C3326C3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Restricción</w:t>
            </w:r>
          </w:p>
        </w:tc>
        <w:tc>
          <w:tcPr>
            <w:tcW w:w="4535" w:type="dxa"/>
          </w:tcPr>
          <w:p w14:paraId="4162E480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La plataforma deberá cumplir los requisitos de seguridad y protección de datos aplicables y superar las verificaciones previstas antes de habilitar las operaciones reales que dependan de su aprobación.</w:t>
            </w:r>
          </w:p>
        </w:tc>
        <w:tc>
          <w:tcPr>
            <w:tcW w:w="1927" w:type="dxa"/>
          </w:tcPr>
          <w:p w14:paraId="09E4DE4A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Francisco José Pérez Jiménez · experto</w:t>
            </w:r>
          </w:p>
        </w:tc>
        <w:tc>
          <w:tcPr>
            <w:tcW w:w="1587" w:type="dxa"/>
          </w:tcPr>
          <w:p w14:paraId="2C3083EB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—</w:t>
            </w:r>
          </w:p>
        </w:tc>
        <w:tc>
          <w:tcPr>
            <w:tcW w:w="1360" w:type="dxa"/>
          </w:tcPr>
          <w:p w14:paraId="5C418957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Cerrada</w:t>
            </w:r>
          </w:p>
        </w:tc>
        <w:tc>
          <w:tcPr>
            <w:tcW w:w="3177" w:type="dxa"/>
          </w:tcPr>
          <w:p w14:paraId="593EA692" w14:textId="77777777" w:rsidR="00A0170F" w:rsidRDefault="00000000">
            <w:pPr>
              <w:spacing w:after="0" w:line="240" w:lineRule="auto"/>
              <w:rPr>
                <w:sz w:val="16"/>
              </w:rPr>
            </w:pPr>
            <w:r>
              <w:rPr>
                <w:sz w:val="16"/>
              </w:rPr>
              <w:t>Cerrada en v1.3: dato del encargo, no restricción del acta, y por tanto no se registra (las filas no se borran). Fuente: contrato, anexo I §2 (RNF-03 y RNF-04): es un requisito de calidad de la plataforma, no una restricción del proyecto. Las pruebas de seguridad de RF-01 a RF-06 antes del piloto constan en el enunciado del alcance. La condición sobre datos reales de compradores pasa a S-28.</w:t>
            </w:r>
          </w:p>
        </w:tc>
      </w:tr>
      <w:tr w:rsidR="00A0170F" w14:paraId="69A94C74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4C90A11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S-24</w:t>
            </w:r>
          </w:p>
        </w:tc>
        <w:tc>
          <w:tcPr>
            <w:tcW w:w="1247" w:type="dxa"/>
            <w:vAlign w:val="center"/>
          </w:tcPr>
          <w:p w14:paraId="6381C0C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03CCA98C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aceptará el calendario y el alcance detallado en la reunión de cierre del 06/11/2026 sin condicionar la aceptación a cambios del alcance, de los criterios de aceptación o de los pesos.</w:t>
            </w:r>
          </w:p>
        </w:tc>
        <w:tc>
          <w:tcPr>
            <w:tcW w:w="1927" w:type="dxa"/>
            <w:vAlign w:val="center"/>
          </w:tcPr>
          <w:p w14:paraId="5D9115E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2201578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5</w:t>
            </w:r>
          </w:p>
        </w:tc>
        <w:tc>
          <w:tcPr>
            <w:tcW w:w="1360" w:type="dxa"/>
            <w:vAlign w:val="center"/>
          </w:tcPr>
          <w:p w14:paraId="288749A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6922732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Contrato cl. 3.4, 4.1 y 6.1: la construcción requiere la aceptación del calendario y alcance el 06/11 (certificación sin obra de 15.000 €). El envío está previsto para el 30/10, al menos una semana antes. Sin aceptación tampoco se cursan el pedido a </w:t>
            </w: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 (NOR-07) ni el encargo de formación (NOR-26). La carta de personal fechada el 04/11 es posterior a la elaboración del registro: su disponibilidad prevista del 09/11 al 05/02 no debe darse por confirmada a 29/10. Si falla la aceptación: analizar impacto en ejecución, adquisiciones y fecha del 05/02, y elevar el cambio al patrocinador.</w:t>
            </w:r>
          </w:p>
        </w:tc>
      </w:tr>
      <w:tr w:rsidR="00A0170F" w14:paraId="66D7B827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EE6E67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S-25</w:t>
            </w:r>
          </w:p>
        </w:tc>
        <w:tc>
          <w:tcPr>
            <w:tcW w:w="1247" w:type="dxa"/>
            <w:vAlign w:val="center"/>
          </w:tcPr>
          <w:p w14:paraId="1B2350E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34E344D9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La oferta en firme de </w:t>
            </w: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 (18.000 €: 7.200 € al pedido y 10.800 € a la aceptación; entrega a 30 días naturales) seguirá vigente cuando se emita el pedido el 09/11/2026.</w:t>
            </w:r>
          </w:p>
        </w:tc>
        <w:tc>
          <w:tcPr>
            <w:tcW w:w="1927" w:type="dxa"/>
            <w:vAlign w:val="center"/>
          </w:tcPr>
          <w:p w14:paraId="0DD502A4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Vázquez Palomero · experto</w:t>
            </w:r>
          </w:p>
        </w:tc>
        <w:tc>
          <w:tcPr>
            <w:tcW w:w="1587" w:type="dxa"/>
            <w:vAlign w:val="center"/>
          </w:tcPr>
          <w:p w14:paraId="3FD2FDD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6</w:t>
            </w:r>
          </w:p>
        </w:tc>
        <w:tc>
          <w:tcPr>
            <w:tcW w:w="1360" w:type="dxa"/>
            <w:vAlign w:val="center"/>
          </w:tcPr>
          <w:p w14:paraId="1C60AD5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43E5ED9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La oferta y la carta de compromiso de </w:t>
            </w: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 no indican plazo de validez. Se consulta a la Oficina de Proyectos, destinataria de la oferta (consulta </w:t>
            </w:r>
            <w:proofErr w:type="spellStart"/>
            <w:r>
              <w:rPr>
                <w:sz w:val="16"/>
              </w:rPr>
              <w:t>nº</w:t>
            </w:r>
            <w:proofErr w:type="spellEnd"/>
            <w:r>
              <w:rPr>
                <w:sz w:val="16"/>
              </w:rPr>
              <w:t xml:space="preserve"> por asignar). Si resulta falso: cambian el precio o el plazo de entrega; el cambio de coste lo decide la Oficina (reserva de gestión) y hay que revisar el cronograma de integración.</w:t>
            </w:r>
          </w:p>
        </w:tc>
      </w:tr>
      <w:tr w:rsidR="00A0170F" w14:paraId="30E80A24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7CC0A042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S-26</w:t>
            </w:r>
          </w:p>
        </w:tc>
        <w:tc>
          <w:tcPr>
            <w:tcW w:w="1247" w:type="dxa"/>
            <w:vAlign w:val="center"/>
          </w:tcPr>
          <w:p w14:paraId="04D0F9F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60133C0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La especificación de la interfaz con el ERP estará acordada con el </w:t>
            </w:r>
            <w:proofErr w:type="gramStart"/>
            <w:r>
              <w:rPr>
                <w:sz w:val="16"/>
              </w:rPr>
              <w:t>Jefe</w:t>
            </w:r>
            <w:proofErr w:type="gramEnd"/>
            <w:r>
              <w:rPr>
                <w:sz w:val="16"/>
              </w:rPr>
              <w:t xml:space="preserve"> de Sistemas de TI de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al emitir el pedido a </w:t>
            </w: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 (09/11/2026) y no cambiará después.</w:t>
            </w:r>
          </w:p>
        </w:tc>
        <w:tc>
          <w:tcPr>
            <w:tcW w:w="1927" w:type="dxa"/>
            <w:vAlign w:val="center"/>
          </w:tcPr>
          <w:p w14:paraId="5CF369B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Vázquez Palomero · experto</w:t>
            </w:r>
          </w:p>
        </w:tc>
        <w:tc>
          <w:tcPr>
            <w:tcW w:w="1587" w:type="dxa"/>
            <w:vAlign w:val="center"/>
          </w:tcPr>
          <w:p w14:paraId="012C0ED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6</w:t>
            </w:r>
          </w:p>
        </w:tc>
        <w:tc>
          <w:tcPr>
            <w:tcW w:w="1360" w:type="dxa"/>
            <w:vAlign w:val="center"/>
          </w:tcPr>
          <w:p w14:paraId="1241204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677FE7A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Entregable ENT-02 y Arquitectura §5.1: la especificación la hace Taracea y se acuerda con el </w:t>
            </w:r>
            <w:proofErr w:type="gramStart"/>
            <w:r>
              <w:rPr>
                <w:sz w:val="16"/>
              </w:rPr>
              <w:t>Jefe</w:t>
            </w:r>
            <w:proofErr w:type="gramEnd"/>
            <w:r>
              <w:rPr>
                <w:sz w:val="16"/>
              </w:rPr>
              <w:t xml:space="preserve"> de Sistemas de TI. </w:t>
            </w:r>
            <w:proofErr w:type="spellStart"/>
            <w:r>
              <w:rPr>
                <w:sz w:val="16"/>
              </w:rPr>
              <w:t>Conectia</w:t>
            </w:r>
            <w:proofErr w:type="spellEnd"/>
            <w:r>
              <w:rPr>
                <w:sz w:val="16"/>
              </w:rPr>
              <w:t xml:space="preserve"> configura el conector conforme a ella y, una vez recibida, no admite cambios sin renegociar plazo y precio. El contacto de trabajo con el </w:t>
            </w:r>
            <w:proofErr w:type="gramStart"/>
            <w:r>
              <w:rPr>
                <w:sz w:val="16"/>
              </w:rPr>
              <w:t>Jefe</w:t>
            </w:r>
            <w:proofErr w:type="gramEnd"/>
            <w:r>
              <w:rPr>
                <w:sz w:val="16"/>
              </w:rPr>
              <w:t xml:space="preserve"> de Sistemas de TI no necesita el cauce formal (contrato cl. 9.2). Si resulta falso: el conector se retrasa o se encarece, con impacto en el piloto y en el riesgo R-01 del acta (LV-09, LV-10).</w:t>
            </w:r>
          </w:p>
        </w:tc>
      </w:tr>
      <w:tr w:rsidR="00A0170F" w14:paraId="36B7D9FD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50D9D5E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S-27</w:t>
            </w:r>
          </w:p>
        </w:tc>
        <w:tc>
          <w:tcPr>
            <w:tcW w:w="1247" w:type="dxa"/>
            <w:vAlign w:val="center"/>
          </w:tcPr>
          <w:p w14:paraId="4FEFDC0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3FD9D675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solicitará la auditoría de comercio de la pasarela el 18/12/2026, el mismo día en que Taracea le comunique que preproducción está lista, y la superará a la primera.</w:t>
            </w:r>
          </w:p>
        </w:tc>
        <w:tc>
          <w:tcPr>
            <w:tcW w:w="1927" w:type="dxa"/>
            <w:vAlign w:val="center"/>
          </w:tcPr>
          <w:p w14:paraId="23052A6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Francisco José Pérez Jiménez · experto</w:t>
            </w:r>
          </w:p>
        </w:tc>
        <w:tc>
          <w:tcPr>
            <w:tcW w:w="1587" w:type="dxa"/>
            <w:vAlign w:val="center"/>
          </w:tcPr>
          <w:p w14:paraId="1837D05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11/11/2026</w:t>
            </w:r>
          </w:p>
        </w:tc>
        <w:tc>
          <w:tcPr>
            <w:tcW w:w="1360" w:type="dxa"/>
            <w:vAlign w:val="center"/>
          </w:tcPr>
          <w:p w14:paraId="303F575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0905987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C-03: auditoría de quince días hábiles, sin interrupción navideña, sobre preproducción integrada con la pasarela real. Si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la solicita el 18/12, las credenciales llegarían el 13/01/2027. Si emplea los diez días hábiles de respuesta desde el 18/12 (contrato cl. 10), solicitaría el 05/01 y las credenciales podrían llegar el 27/01, después del piloto del 12 al 25/01. Se consulta al patrocinador (respuesta prevista 11/11). Un retraso compromete las pruebas y la aceptación de RF-04 el 05/02, pero no implica automáticamente pasar al cierre del 05/03: debe evaluarse el margen real y, en su caso, tramitar el cambio.</w:t>
            </w:r>
          </w:p>
        </w:tc>
      </w:tr>
      <w:tr w:rsidR="00A0170F" w14:paraId="35C1734E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46328BF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S-28</w:t>
            </w:r>
          </w:p>
        </w:tc>
        <w:tc>
          <w:tcPr>
            <w:tcW w:w="1247" w:type="dxa"/>
            <w:vAlign w:val="center"/>
          </w:tcPr>
          <w:p w14:paraId="1C2F458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5C8B8052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firmará el contrato de encargo del tratamiento de datos y autorizará por escrito a los proveedores que tratarán datos de compradores (nube, correo, SMS) en la reunión de cierre del 04/12/2026.</w:t>
            </w:r>
          </w:p>
        </w:tc>
        <w:tc>
          <w:tcPr>
            <w:tcW w:w="1927" w:type="dxa"/>
            <w:vAlign w:val="center"/>
          </w:tcPr>
          <w:p w14:paraId="6EC6A4A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55A86759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9</w:t>
            </w:r>
          </w:p>
        </w:tc>
        <w:tc>
          <w:tcPr>
            <w:tcW w:w="1360" w:type="dxa"/>
            <w:vAlign w:val="center"/>
          </w:tcPr>
          <w:p w14:paraId="3891ADC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47C3989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RGPD, art. 28; enunciado del alcance y CAL-01 §6.6: la plataforma no trata datos reales de compradores hasta entonces. El departamento jurídico entrega el contrato el 04/11/2026 y el director lo envía a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por medio del patrocinador el 09/11.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solo resuelve en reuniones de cierre (cl. 7.2). Si resulta falso en el cierre del 04/12 y en el del 08/01/2027: el piloto del 12/01 no puede tratar datos reales y se desplaza.</w:t>
            </w:r>
          </w:p>
        </w:tc>
      </w:tr>
      <w:tr w:rsidR="00A0170F" w14:paraId="6712EC58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597155B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S-29</w:t>
            </w:r>
          </w:p>
        </w:tc>
        <w:tc>
          <w:tcPr>
            <w:tcW w:w="1247" w:type="dxa"/>
            <w:vAlign w:val="center"/>
          </w:tcPr>
          <w:p w14:paraId="6BF3552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7115BD89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abrirá a su nombre las cuentas de desarrollador de las tiendas de aplicaciones de Android </w:t>
            </w:r>
            <w:proofErr w:type="gramStart"/>
            <w:r>
              <w:rPr>
                <w:sz w:val="16"/>
              </w:rPr>
              <w:t>e</w:t>
            </w:r>
            <w:proofErr w:type="gramEnd"/>
            <w:r>
              <w:rPr>
                <w:sz w:val="16"/>
              </w:rPr>
              <w:t xml:space="preserve"> iOS el 21/12/2026 y las tiendas aprobarán la publicación de la aplicación antes del 08/01/2027.</w:t>
            </w:r>
          </w:p>
        </w:tc>
        <w:tc>
          <w:tcPr>
            <w:tcW w:w="1927" w:type="dxa"/>
            <w:vAlign w:val="center"/>
          </w:tcPr>
          <w:p w14:paraId="6A1515F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Vázquez Palomero · experto</w:t>
            </w:r>
          </w:p>
        </w:tc>
        <w:tc>
          <w:tcPr>
            <w:tcW w:w="1587" w:type="dxa"/>
            <w:vAlign w:val="center"/>
          </w:tcPr>
          <w:p w14:paraId="45F9C0C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Semanas 12 y 13</w:t>
            </w:r>
          </w:p>
        </w:tc>
        <w:tc>
          <w:tcPr>
            <w:tcW w:w="1360" w:type="dxa"/>
            <w:vAlign w:val="center"/>
          </w:tcPr>
          <w:p w14:paraId="1964CC9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4B0A595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CAL-01 §6.6 y enunciado: petición el 04/12; diez días hábiles llevan al 21/12 (semana 12) para abrir las cuentas. La publicación se prevé para el 07/01 (semana 13), antes de instalar el piloto el 08/01. El plazo de revisión de Android </w:t>
            </w:r>
            <w:proofErr w:type="gramStart"/>
            <w:r>
              <w:rPr>
                <w:sz w:val="16"/>
              </w:rPr>
              <w:t>e</w:t>
            </w:r>
            <w:proofErr w:type="gramEnd"/>
            <w:r>
              <w:rPr>
                <w:sz w:val="16"/>
              </w:rPr>
              <w:t xml:space="preserve"> iOS no está documentado; debe comprobarse por separado. Si falla: se afecta la aplicación móvil y sus notificaciones (S-20).</w:t>
            </w:r>
          </w:p>
        </w:tc>
      </w:tr>
      <w:tr w:rsidR="00A0170F" w14:paraId="0D09C036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5C01E893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S-30</w:t>
            </w:r>
          </w:p>
        </w:tc>
        <w:tc>
          <w:tcPr>
            <w:tcW w:w="1247" w:type="dxa"/>
            <w:vAlign w:val="center"/>
          </w:tcPr>
          <w:p w14:paraId="50442BD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62539CA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El </w:t>
            </w:r>
            <w:proofErr w:type="gramStart"/>
            <w:r>
              <w:rPr>
                <w:sz w:val="16"/>
              </w:rPr>
              <w:t>Responsable</w:t>
            </w:r>
            <w:proofErr w:type="gramEnd"/>
            <w:r>
              <w:rPr>
                <w:sz w:val="16"/>
              </w:rPr>
              <w:t xml:space="preserve"> de tiendas dará por resuelto el trabajo adicional de las tiendas (preparación por franjas y uso del panel) y firmará con el </w:t>
            </w:r>
            <w:proofErr w:type="gramStart"/>
            <w:r>
              <w:rPr>
                <w:sz w:val="16"/>
              </w:rPr>
              <w:t>Jefe</w:t>
            </w:r>
            <w:proofErr w:type="gramEnd"/>
            <w:r>
              <w:rPr>
                <w:sz w:val="16"/>
              </w:rPr>
              <w:t xml:space="preserve"> de Sistemas de TI la aceptación de RF-05 y RF-06 en el cierre del 08/01/2027.</w:t>
            </w:r>
          </w:p>
        </w:tc>
        <w:tc>
          <w:tcPr>
            <w:tcW w:w="1927" w:type="dxa"/>
            <w:vAlign w:val="center"/>
          </w:tcPr>
          <w:p w14:paraId="3CAE2EB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Emilio Metro Álvarez · experto</w:t>
            </w:r>
          </w:p>
        </w:tc>
        <w:tc>
          <w:tcPr>
            <w:tcW w:w="1587" w:type="dxa"/>
            <w:vAlign w:val="center"/>
          </w:tcPr>
          <w:p w14:paraId="014370E9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13</w:t>
            </w:r>
          </w:p>
        </w:tc>
        <w:tc>
          <w:tcPr>
            <w:tcW w:w="1360" w:type="dxa"/>
            <w:vAlign w:val="center"/>
          </w:tcPr>
          <w:p w14:paraId="134F5E3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66DED12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C-01: el </w:t>
            </w:r>
            <w:proofErr w:type="gramStart"/>
            <w:r>
              <w:rPr>
                <w:sz w:val="16"/>
              </w:rPr>
              <w:t>Responsable</w:t>
            </w:r>
            <w:proofErr w:type="gramEnd"/>
            <w:r>
              <w:rPr>
                <w:sz w:val="16"/>
              </w:rPr>
              <w:t xml:space="preserve"> de tiendas no firma sin resolver el trabajo añadido por RF-05 y RF-06. Según C-02, las tiendas solo pueden ensayar desde el 08/01, el mismo día del cierre y de la aceptación prevista (firma conjunta, anexo II). Preparar conformidad con el diseño antes de esa fecha, sin presumir ensayos previos. Si falla: revisar las certificaciones (36.450 €) y la fase 3; no se trasladan automáticamente al 05/02.</w:t>
            </w:r>
          </w:p>
        </w:tc>
      </w:tr>
      <w:tr w:rsidR="00A0170F" w14:paraId="3D057661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4A1F91E9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S-31</w:t>
            </w:r>
          </w:p>
        </w:tc>
        <w:tc>
          <w:tcPr>
            <w:tcW w:w="1247" w:type="dxa"/>
            <w:vAlign w:val="center"/>
          </w:tcPr>
          <w:p w14:paraId="382D7D9F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44391EC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El personal concedido estará disponible con las dedicaciones asignadas del 09/11/2026 al 05/02/2027, salvo el cierre del 24/12 al 01/01: no habrá retenciones por otros proyectos ni bajas prolongadas.</w:t>
            </w:r>
          </w:p>
        </w:tc>
        <w:tc>
          <w:tcPr>
            <w:tcW w:w="1927" w:type="dxa"/>
            <w:vAlign w:val="center"/>
          </w:tcPr>
          <w:p w14:paraId="5E5E358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Carlos Ruiz-Mateos Valdivieso · experto</w:t>
            </w:r>
          </w:p>
        </w:tc>
        <w:tc>
          <w:tcPr>
            <w:tcW w:w="1587" w:type="dxa"/>
            <w:vAlign w:val="center"/>
          </w:tcPr>
          <w:p w14:paraId="5F3813DE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17</w:t>
            </w:r>
          </w:p>
        </w:tc>
        <w:tc>
          <w:tcPr>
            <w:tcW w:w="1360" w:type="dxa"/>
            <w:vAlign w:val="center"/>
          </w:tcPr>
          <w:p w14:paraId="055F22B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2DC36BA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La carta de asignación enumera diez personas, varias a tiempo parcial, del 09/11 al 05/02; está fechada el 04/11, después de este registro, por lo que su concesión no puede darse por comunicada el 29/10. Verificarla el 04/11 y vigilar disponibilidad hasta semana 17. La liberación requiere nueva solicitud para recuperar al recurso (NOR-23). Si falla: analizar retrasos y refuerzos u horas extra con el cambio aprobado (NOR-10/18).</w:t>
            </w:r>
          </w:p>
        </w:tc>
      </w:tr>
      <w:tr w:rsidR="00A0170F" w14:paraId="1843CA81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59B2E2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lastRenderedPageBreak/>
              <w:t>S-32</w:t>
            </w:r>
          </w:p>
        </w:tc>
        <w:tc>
          <w:tcPr>
            <w:tcW w:w="1247" w:type="dxa"/>
            <w:vAlign w:val="center"/>
          </w:tcPr>
          <w:p w14:paraId="7D452EA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621BC33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Las tarifas definitivas de 2027 coincidirán con la estimación del catálogo (tarifas de 2026 más un 3 %), con la que se presupuestan las horas de 2027 (semanas 13 a 17).</w:t>
            </w:r>
          </w:p>
        </w:tc>
        <w:tc>
          <w:tcPr>
            <w:tcW w:w="1927" w:type="dxa"/>
            <w:vAlign w:val="center"/>
          </w:tcPr>
          <w:p w14:paraId="5E1DDDB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3ACEA3A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11/11/2026</w:t>
            </w:r>
          </w:p>
        </w:tc>
        <w:tc>
          <w:tcPr>
            <w:tcW w:w="1360" w:type="dxa"/>
            <w:vAlign w:val="center"/>
          </w:tcPr>
          <w:p w14:paraId="2469C53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08BEBC2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Catálogo de tarifas 2027 provisional y TC-OP-COS §2: el 3 % adicional es una estimación, no la tarifa definitiva. Se usa para el presupuesto hasta que la Oficina publique la edición final. El 11/11 es la respuesta esperada a la consulta, no una fecha acreditada de publicación. Mantener el supuesto abierto y verificarlo al publicarse las tarifas. Si difieren: actualizar costes y gestionar desviaciones o cambios.</w:t>
            </w:r>
          </w:p>
        </w:tc>
      </w:tr>
      <w:tr w:rsidR="00A0170F" w14:paraId="2B9A440B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7BBC772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S-33</w:t>
            </w:r>
          </w:p>
        </w:tc>
        <w:tc>
          <w:tcPr>
            <w:tcW w:w="1247" w:type="dxa"/>
            <w:vAlign w:val="center"/>
          </w:tcPr>
          <w:p w14:paraId="0833E72B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4A38018F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no reabrirá los criterios de aceptación acordados en los talleres de requisitos ni pedirá funciones fuera del anexo I durante las reuniones de aceptación.</w:t>
            </w:r>
          </w:p>
        </w:tc>
        <w:tc>
          <w:tcPr>
            <w:tcW w:w="1927" w:type="dxa"/>
            <w:vAlign w:val="center"/>
          </w:tcPr>
          <w:p w14:paraId="61A0B9D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6E0666B6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17</w:t>
            </w:r>
          </w:p>
        </w:tc>
        <w:tc>
          <w:tcPr>
            <w:tcW w:w="1360" w:type="dxa"/>
            <w:vAlign w:val="center"/>
          </w:tcPr>
          <w:p w14:paraId="069F4CC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28504CA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Enunciado del alcance: los criterios que no fija el contrato se acordaron con cada interlocutor y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los aprueba con el alcance detallado el 06/11. Modificarlos después es un cambio que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resuelve en una reunión de cierre (cl. 7.3), y lo que no está en el anexo I no se ejecuta sin adenda (cl. 13.2). Si resulta falso (LV-01, LV-03, LV-04): solicitud de cambio con análisis de impacto y retraso de la certificación.</w:t>
            </w:r>
          </w:p>
        </w:tc>
      </w:tr>
      <w:tr w:rsidR="00A0170F" w14:paraId="3359DCF4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58312081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S-34</w:t>
            </w:r>
          </w:p>
        </w:tc>
        <w:tc>
          <w:tcPr>
            <w:tcW w:w="1247" w:type="dxa"/>
            <w:vAlign w:val="center"/>
          </w:tcPr>
          <w:p w14:paraId="6FB8CBC7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1F6E861C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resolverá antes de la explotación las obligaciones legales excluidas del alcance, aportando los textos exigidos y acordando por adenda las nuevas funcionalidades de cumplimiento que requiera la plataforma.</w:t>
            </w:r>
          </w:p>
        </w:tc>
        <w:tc>
          <w:tcPr>
            <w:tcW w:w="1927" w:type="dxa"/>
            <w:vAlign w:val="center"/>
          </w:tcPr>
          <w:p w14:paraId="6E1B9A8A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Daniel Salado Hidalgo · director de proyecto</w:t>
            </w:r>
          </w:p>
        </w:tc>
        <w:tc>
          <w:tcPr>
            <w:tcW w:w="1587" w:type="dxa"/>
            <w:vAlign w:val="center"/>
          </w:tcPr>
          <w:p w14:paraId="34048D14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Semanas 5 y 17</w:t>
            </w:r>
          </w:p>
        </w:tc>
        <w:tc>
          <w:tcPr>
            <w:tcW w:w="1360" w:type="dxa"/>
            <w:vAlign w:val="center"/>
          </w:tcPr>
          <w:p w14:paraId="2DA5164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3155603D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Enunciado del alcance (exclusiones legales) y contrato cl. 1 y 13. El 06/11 se aceptan alcance y exclusiones, pero ello no acredita cumplimiento legal. Antes del 05/02 debe verificarse cómo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resuelve cada obligación. Aportar textos no sustituye funciones técnicas (p. ej., consentimiento de cookies); si requieren desarrollo fuera del anexo I, solo se ejecutan tras adenda con precio y alcance aprobados.</w:t>
            </w:r>
          </w:p>
        </w:tc>
      </w:tr>
      <w:tr w:rsidR="00A0170F" w14:paraId="65CAD141" w14:textId="77777777">
        <w:trPr>
          <w:cantSplit/>
          <w:trHeight w:val="567"/>
        </w:trPr>
        <w:tc>
          <w:tcPr>
            <w:tcW w:w="737" w:type="dxa"/>
            <w:vAlign w:val="center"/>
          </w:tcPr>
          <w:p w14:paraId="197E397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S-35</w:t>
            </w:r>
          </w:p>
        </w:tc>
        <w:tc>
          <w:tcPr>
            <w:tcW w:w="1247" w:type="dxa"/>
            <w:vAlign w:val="center"/>
          </w:tcPr>
          <w:p w14:paraId="1A701068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Supuesto</w:t>
            </w:r>
          </w:p>
        </w:tc>
        <w:tc>
          <w:tcPr>
            <w:tcW w:w="4535" w:type="dxa"/>
            <w:vAlign w:val="center"/>
          </w:tcPr>
          <w:p w14:paraId="58322EC3" w14:textId="77777777" w:rsidR="00A0170F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formará, con la documentación entregada el 11/01/2027, al personal de las tiendas que no participan en el piloto, incluido el refuerzo de campaña, antes de la entrada en explotación del 05/02/2027.</w:t>
            </w:r>
          </w:p>
        </w:tc>
        <w:tc>
          <w:tcPr>
            <w:tcW w:w="1927" w:type="dxa"/>
            <w:vAlign w:val="center"/>
          </w:tcPr>
          <w:p w14:paraId="1838C589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Emilio Metro Álvarez · experto</w:t>
            </w:r>
          </w:p>
        </w:tc>
        <w:tc>
          <w:tcPr>
            <w:tcW w:w="1587" w:type="dxa"/>
            <w:vAlign w:val="center"/>
          </w:tcPr>
          <w:p w14:paraId="54FED250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Semana 17</w:t>
            </w:r>
          </w:p>
        </w:tc>
        <w:tc>
          <w:tcPr>
            <w:tcW w:w="1360" w:type="dxa"/>
            <w:vAlign w:val="center"/>
          </w:tcPr>
          <w:p w14:paraId="4ED73415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>Abierto</w:t>
            </w:r>
          </w:p>
        </w:tc>
        <w:tc>
          <w:tcPr>
            <w:tcW w:w="3177" w:type="dxa"/>
            <w:vAlign w:val="center"/>
          </w:tcPr>
          <w:p w14:paraId="30F5EE7C" w14:textId="77777777" w:rsidR="00A0170F" w:rsidRDefault="00000000">
            <w:pPr>
              <w:spacing w:after="0" w:line="240" w:lineRule="auto"/>
            </w:pPr>
            <w:r>
              <w:rPr>
                <w:sz w:val="16"/>
              </w:rPr>
              <w:t xml:space="preserve">Contrato cl. 1 y acta: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forma al resto de tiendas con el material recibido el 11/01. C-02 prevé contratar el refuerzo de campaña una semana antes del 05/02, por lo que el margen formativo es escaso. Esta formación queda fuera del trabajo de Taracea, pero afecta al arranque y a la estabilización. Si falla: advertir al patrocinador y a </w:t>
            </w:r>
            <w:proofErr w:type="spellStart"/>
            <w:r>
              <w:rPr>
                <w:sz w:val="16"/>
              </w:rPr>
              <w:t>TuSuper</w:t>
            </w:r>
            <w:proofErr w:type="spellEnd"/>
            <w:r>
              <w:rPr>
                <w:sz w:val="16"/>
              </w:rPr>
              <w:t xml:space="preserve"> del riesgo de personal sin preparación operativa.</w:t>
            </w:r>
          </w:p>
        </w:tc>
      </w:tr>
    </w:tbl>
    <w:p w14:paraId="30CA8C05" w14:textId="77777777" w:rsidR="00A0170F" w:rsidRDefault="00A0170F">
      <w:pPr>
        <w:spacing w:after="0"/>
        <w:rPr>
          <w:sz w:val="12"/>
          <w:szCs w:val="12"/>
        </w:rPr>
      </w:pPr>
    </w:p>
    <w:sectPr w:rsidR="00A0170F">
      <w:headerReference w:type="default" r:id="rId6"/>
      <w:footerReference w:type="default" r:id="rId7"/>
      <w:pgSz w:w="16838" w:h="11906" w:orient="landscape"/>
      <w:pgMar w:top="1134" w:right="1134" w:bottom="1134" w:left="1134" w:header="39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88A4E" w14:textId="77777777" w:rsidR="006E6DF5" w:rsidRDefault="006E6DF5">
      <w:pPr>
        <w:spacing w:line="240" w:lineRule="auto"/>
      </w:pPr>
      <w:r>
        <w:separator/>
      </w:r>
    </w:p>
  </w:endnote>
  <w:endnote w:type="continuationSeparator" w:id="0">
    <w:p w14:paraId="4CD7F343" w14:textId="77777777" w:rsidR="006E6DF5" w:rsidRDefault="006E6DF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70" w:type="dxa"/>
      <w:tblBorders>
        <w:top w:val="single" w:sz="6" w:space="0" w:color="1F4E5A"/>
      </w:tblBorders>
      <w:tblLayout w:type="fixed"/>
      <w:tblLook w:val="04A0" w:firstRow="1" w:lastRow="0" w:firstColumn="1" w:lastColumn="0" w:noHBand="0" w:noVBand="1"/>
      <w:tblCaption w:val="Pie de página"/>
    </w:tblPr>
    <w:tblGrid>
      <w:gridCol w:w="9467"/>
      <w:gridCol w:w="5103"/>
    </w:tblGrid>
    <w:tr w:rsidR="00A0170F" w14:paraId="317164F7" w14:textId="77777777">
      <w:tc>
        <w:tcPr>
          <w:tcW w:w="9466" w:type="dxa"/>
          <w:tcMar>
            <w:top w:w="60" w:type="dxa"/>
            <w:left w:w="0" w:type="dxa"/>
            <w:bottom w:w="0" w:type="dxa"/>
            <w:right w:w="0" w:type="dxa"/>
          </w:tcMar>
        </w:tcPr>
        <w:p w14:paraId="2502D0B4" w14:textId="77777777" w:rsidR="00A0170F" w:rsidRDefault="00A0170F">
          <w:pPr>
            <w:spacing w:after="0" w:line="240" w:lineRule="auto"/>
          </w:pPr>
        </w:p>
      </w:tc>
      <w:tc>
        <w:tcPr>
          <w:tcW w:w="5102" w:type="dxa"/>
          <w:tcMar>
            <w:top w:w="60" w:type="dxa"/>
            <w:left w:w="0" w:type="dxa"/>
            <w:bottom w:w="0" w:type="dxa"/>
            <w:right w:w="0" w:type="dxa"/>
          </w:tcMar>
        </w:tcPr>
        <w:p w14:paraId="780D4DDF" w14:textId="77777777" w:rsidR="00A0170F" w:rsidRDefault="00000000">
          <w:pPr>
            <w:spacing w:after="0" w:line="240" w:lineRule="auto"/>
            <w:jc w:val="right"/>
          </w:pPr>
          <w:r>
            <w:rPr>
              <w:color w:val="595959"/>
              <w:sz w:val="16"/>
            </w:rPr>
            <w:t xml:space="preserve">Registro de supuestos · Página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PAGE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  <w:r>
            <w:rPr>
              <w:color w:val="595959"/>
              <w:sz w:val="16"/>
            </w:rPr>
            <w:t xml:space="preserve"> de </w:t>
          </w:r>
          <w:r>
            <w:rPr>
              <w:color w:val="595959"/>
              <w:sz w:val="16"/>
            </w:rPr>
            <w:fldChar w:fldCharType="begin"/>
          </w:r>
          <w:r>
            <w:rPr>
              <w:color w:val="595959"/>
              <w:sz w:val="16"/>
            </w:rPr>
            <w:instrText xml:space="preserve"> NUMPAGES \* MERGEFORMAT </w:instrText>
          </w:r>
          <w:r>
            <w:rPr>
              <w:color w:val="595959"/>
              <w:sz w:val="16"/>
            </w:rPr>
            <w:fldChar w:fldCharType="separate"/>
          </w:r>
          <w:r>
            <w:rPr>
              <w:color w:val="595959"/>
              <w:sz w:val="16"/>
            </w:rPr>
            <w:t>1</w:t>
          </w:r>
          <w:r>
            <w:rPr>
              <w:color w:val="595959"/>
              <w:sz w:val="16"/>
            </w:rPr>
            <w:fldChar w:fldCharType="end"/>
          </w:r>
        </w:p>
      </w:tc>
    </w:tr>
  </w:tbl>
  <w:p w14:paraId="663B226F" w14:textId="77777777" w:rsidR="00A0170F" w:rsidRDefault="00A0170F">
    <w:pPr>
      <w:spacing w:after="0" w:line="20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B64F4" w14:textId="77777777" w:rsidR="006E6DF5" w:rsidRDefault="006E6DF5">
      <w:pPr>
        <w:spacing w:after="0"/>
      </w:pPr>
      <w:r>
        <w:separator/>
      </w:r>
    </w:p>
  </w:footnote>
  <w:footnote w:type="continuationSeparator" w:id="0">
    <w:p w14:paraId="54F0F042" w14:textId="77777777" w:rsidR="006E6DF5" w:rsidRDefault="006E6DF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FD809" w14:textId="77777777" w:rsidR="00A0170F" w:rsidRDefault="00000000">
    <w:pPr>
      <w:tabs>
        <w:tab w:val="right" w:pos="14570"/>
      </w:tabs>
      <w:spacing w:after="0" w:line="240" w:lineRule="auto"/>
    </w:pPr>
    <w:r>
      <w:rPr>
        <w:b/>
        <w:smallCaps/>
        <w:color w:val="1F4E5A"/>
        <w:spacing w:val="40"/>
        <w:sz w:val="28"/>
      </w:rPr>
      <w:t>taracea</w:t>
    </w:r>
    <w:r>
      <w:rPr>
        <w:sz w:val="28"/>
      </w:rPr>
      <w:tab/>
    </w:r>
    <w:r>
      <w:rPr>
        <w:rFonts w:ascii="Calibri Light" w:eastAsia="Calibri Light" w:hAnsi="Calibri Light" w:cs="Calibri Light"/>
        <w:color w:val="1F4E5A"/>
        <w:sz w:val="26"/>
      </w:rPr>
      <w:t>Registro de supuestos</w:t>
    </w:r>
  </w:p>
  <w:p w14:paraId="605FA929" w14:textId="77777777" w:rsidR="00A0170F" w:rsidRDefault="00000000">
    <w:pPr>
      <w:pBdr>
        <w:bottom w:val="single" w:sz="8" w:space="4" w:color="1F4E5A"/>
      </w:pBdr>
      <w:tabs>
        <w:tab w:val="right" w:pos="14570"/>
      </w:tabs>
      <w:spacing w:after="0" w:line="240" w:lineRule="auto"/>
    </w:pPr>
    <w:r>
      <w:rPr>
        <w:color w:val="7F7F7F"/>
        <w:spacing w:val="6"/>
        <w:sz w:val="16"/>
      </w:rPr>
      <w:t>consultoría tecnológica</w:t>
    </w:r>
    <w:r>
      <w:rPr>
        <w:sz w:val="16"/>
      </w:rPr>
      <w:tab/>
    </w:r>
    <w:r>
      <w:rPr>
        <w:color w:val="595959"/>
        <w:sz w:val="17"/>
      </w:rPr>
      <w:t>Uso interno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C94"/>
    <w:rsid w:val="00037805"/>
    <w:rsid w:val="000507F1"/>
    <w:rsid w:val="000512B0"/>
    <w:rsid w:val="000710CD"/>
    <w:rsid w:val="000972D3"/>
    <w:rsid w:val="000C58ED"/>
    <w:rsid w:val="000E6155"/>
    <w:rsid w:val="001025F0"/>
    <w:rsid w:val="00105DAE"/>
    <w:rsid w:val="001114F6"/>
    <w:rsid w:val="00131E1D"/>
    <w:rsid w:val="00162139"/>
    <w:rsid w:val="001A5F11"/>
    <w:rsid w:val="001E2CEF"/>
    <w:rsid w:val="001F0678"/>
    <w:rsid w:val="001F24E4"/>
    <w:rsid w:val="00204A21"/>
    <w:rsid w:val="002064D6"/>
    <w:rsid w:val="00217C94"/>
    <w:rsid w:val="00247239"/>
    <w:rsid w:val="0028298D"/>
    <w:rsid w:val="00296934"/>
    <w:rsid w:val="002A49F5"/>
    <w:rsid w:val="002F0289"/>
    <w:rsid w:val="00355532"/>
    <w:rsid w:val="003622AC"/>
    <w:rsid w:val="00387B0B"/>
    <w:rsid w:val="003D133F"/>
    <w:rsid w:val="003D218D"/>
    <w:rsid w:val="003E16E9"/>
    <w:rsid w:val="003E2E72"/>
    <w:rsid w:val="00456964"/>
    <w:rsid w:val="00476230"/>
    <w:rsid w:val="004C18F6"/>
    <w:rsid w:val="004D078B"/>
    <w:rsid w:val="0051331B"/>
    <w:rsid w:val="0053487A"/>
    <w:rsid w:val="0055087B"/>
    <w:rsid w:val="00552E36"/>
    <w:rsid w:val="005910C2"/>
    <w:rsid w:val="005C6798"/>
    <w:rsid w:val="00615B65"/>
    <w:rsid w:val="0064503C"/>
    <w:rsid w:val="00651AA9"/>
    <w:rsid w:val="00677BEA"/>
    <w:rsid w:val="006913BA"/>
    <w:rsid w:val="006B191B"/>
    <w:rsid w:val="006B2A51"/>
    <w:rsid w:val="006E6DF5"/>
    <w:rsid w:val="00726E96"/>
    <w:rsid w:val="00763B75"/>
    <w:rsid w:val="00775792"/>
    <w:rsid w:val="0079596E"/>
    <w:rsid w:val="00796E26"/>
    <w:rsid w:val="00796EAD"/>
    <w:rsid w:val="007C620A"/>
    <w:rsid w:val="00837F2F"/>
    <w:rsid w:val="00890C7F"/>
    <w:rsid w:val="00891B24"/>
    <w:rsid w:val="00893ED0"/>
    <w:rsid w:val="008958E4"/>
    <w:rsid w:val="008B708A"/>
    <w:rsid w:val="00921038"/>
    <w:rsid w:val="00924DFE"/>
    <w:rsid w:val="0094087A"/>
    <w:rsid w:val="0095094F"/>
    <w:rsid w:val="0095401D"/>
    <w:rsid w:val="0095413E"/>
    <w:rsid w:val="00960CEE"/>
    <w:rsid w:val="00961F6F"/>
    <w:rsid w:val="0099587A"/>
    <w:rsid w:val="009B57BF"/>
    <w:rsid w:val="009C1455"/>
    <w:rsid w:val="00A0170F"/>
    <w:rsid w:val="00A27105"/>
    <w:rsid w:val="00A45DF9"/>
    <w:rsid w:val="00A76241"/>
    <w:rsid w:val="00A95442"/>
    <w:rsid w:val="00AA2C51"/>
    <w:rsid w:val="00AC7789"/>
    <w:rsid w:val="00AD5DD1"/>
    <w:rsid w:val="00B43B6C"/>
    <w:rsid w:val="00B57964"/>
    <w:rsid w:val="00B95FB6"/>
    <w:rsid w:val="00BD4FA7"/>
    <w:rsid w:val="00BE3CDA"/>
    <w:rsid w:val="00BF037F"/>
    <w:rsid w:val="00C414D1"/>
    <w:rsid w:val="00C441A8"/>
    <w:rsid w:val="00C479B5"/>
    <w:rsid w:val="00C769CD"/>
    <w:rsid w:val="00CB54FD"/>
    <w:rsid w:val="00CE7226"/>
    <w:rsid w:val="00CF46C3"/>
    <w:rsid w:val="00CF6965"/>
    <w:rsid w:val="00CF78D0"/>
    <w:rsid w:val="00D22DE6"/>
    <w:rsid w:val="00D244D3"/>
    <w:rsid w:val="00D51CAC"/>
    <w:rsid w:val="00D734B6"/>
    <w:rsid w:val="00DA27AF"/>
    <w:rsid w:val="00DE7D9A"/>
    <w:rsid w:val="00DF09F4"/>
    <w:rsid w:val="00E247D6"/>
    <w:rsid w:val="00E474E7"/>
    <w:rsid w:val="00E566F8"/>
    <w:rsid w:val="00EA25E4"/>
    <w:rsid w:val="00EA4A2A"/>
    <w:rsid w:val="00EB5833"/>
    <w:rsid w:val="00EC568E"/>
    <w:rsid w:val="00EE202B"/>
    <w:rsid w:val="00EF1A26"/>
    <w:rsid w:val="00F10776"/>
    <w:rsid w:val="00F13071"/>
    <w:rsid w:val="00F24360"/>
    <w:rsid w:val="00F56FF8"/>
    <w:rsid w:val="00F76F0A"/>
    <w:rsid w:val="00F848A6"/>
    <w:rsid w:val="00F90956"/>
    <w:rsid w:val="00F96C66"/>
    <w:rsid w:val="00FA446F"/>
    <w:rsid w:val="00FA7A18"/>
    <w:rsid w:val="7C35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BE04E"/>
  <w15:docId w15:val="{BA0CAC93-54BB-4C3F-A054-C50E7FE8B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color w:val="1A1A1A"/>
      <w:sz w:val="21"/>
      <w:szCs w:val="21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afterAutospacing="1" w:line="240" w:lineRule="auto"/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afterAutospacing="1" w:line="240" w:lineRule="auto"/>
    </w:p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Calibri" w:eastAsia="Calibri" w:hAnsi="Calibri" w:cs="Calibri"/>
      <w:sz w:val="16"/>
      <w:szCs w:val="16"/>
    </w:rPr>
  </w:style>
  <w:style w:type="paragraph" w:customStyle="1" w:styleId="GanttheadCoverSheet">
    <w:name w:val="Gantthead Cover Sheet"/>
    <w:basedOn w:val="Normal"/>
    <w:pPr>
      <w:spacing w:before="240" w:after="240" w:line="240" w:lineRule="auto"/>
      <w:jc w:val="center"/>
    </w:pPr>
    <w:rPr>
      <w:b/>
      <w:bCs/>
      <w:sz w:val="44"/>
      <w:szCs w:val="44"/>
    </w:rPr>
  </w:style>
  <w:style w:type="paragraph" w:styleId="Sinespaciado">
    <w:name w:val="No Spacing"/>
    <w:uiPriority w:val="1"/>
    <w:qFormat/>
    <w:rPr>
      <w:sz w:val="21"/>
      <w:szCs w:val="21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F4E5A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4053</Words>
  <Characters>23104</Characters>
  <Application>Microsoft Office Word</Application>
  <DocSecurity>0</DocSecurity>
  <Lines>192</Lines>
  <Paragraphs>54</Paragraphs>
  <ScaleCrop>false</ScaleCrop>
  <Company/>
  <LinksUpToDate>false</LinksUpToDate>
  <CharactersWithSpaces>27103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supuestos · plantilla v4</dc:title>
  <dc:subject>Plantilla de proyecto de Taracea</dc:subject>
  <dc:creator>Oficina de Proyectos · Taracea</dc:creator>
  <cp:keywords>plantilla</cp:keywords>
  <cp:lastModifiedBy>Carlos Ruiz-Mateos Valdivieso</cp:lastModifiedBy>
  <cp:revision>4</cp:revision>
  <dcterms:created xsi:type="dcterms:W3CDTF">2026-10-24T10:19:00Z</dcterms:created>
  <dcterms:modified xsi:type="dcterms:W3CDTF">2026-10-29T11:03:00Z</dcterms:modified>
  <cp:category>Plantilla de la consultora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3082-12.2.0.23206</vt:lpwstr>
  </property>
  <property fmtid="{D5CDD505-2E9C-101B-9397-08002B2CF9AE}" pid="3" name="ICV">
    <vt:lpwstr>F4E0A40A59154852935295B24A21008D_12</vt:lpwstr>
  </property>
</Properties>
</file>