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4677"/>
        <w:gridCol w:w="2607"/>
        <w:gridCol w:w="4679"/>
      </w:tblGrid>
      <w:tr w14:paraId="287479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2FFEACFA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7028B61D">
            <w:pPr>
              <w:spacing w:before="0" w:after="0" w:line="240" w:lineRule="auto"/>
            </w:pPr>
            <w:r>
              <w:rPr>
                <w:sz w:val="18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7659907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4CE00733">
            <w:pPr>
              <w:spacing w:before="0" w:after="0" w:line="240" w:lineRule="auto"/>
            </w:pPr>
            <w:r>
              <w:rPr>
                <w:sz w:val="18"/>
              </w:rPr>
              <w:t>TSL-2627</w:t>
            </w:r>
          </w:p>
        </w:tc>
      </w:tr>
      <w:tr w14:paraId="7F9874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3840580E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23311B6A">
            <w:pPr>
              <w:spacing w:before="0" w:after="0" w:line="240" w:lineRule="auto"/>
            </w:pPr>
            <w:r>
              <w:rPr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98D6F24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60910096">
            <w:pPr>
              <w:spacing w:before="0" w:after="0" w:line="240" w:lineRule="auto"/>
            </w:pPr>
            <w:r>
              <w:rPr>
                <w:sz w:val="18"/>
              </w:rPr>
              <w:t>EDT · v1.8</w:t>
            </w:r>
          </w:p>
        </w:tc>
      </w:tr>
      <w:tr w14:paraId="7C64D3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5DBEE3D1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754052A4">
            <w:pPr>
              <w:spacing w:before="0" w:after="0" w:line="240" w:lineRule="auto"/>
            </w:pPr>
            <w:r>
              <w:rPr>
                <w:sz w:val="18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233B987B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60377C96">
            <w:pPr>
              <w:spacing w:before="0" w:after="0" w:line="240" w:lineRule="auto"/>
            </w:pPr>
            <w:r>
              <w:rPr>
                <w:sz w:val="18"/>
              </w:rPr>
              <w:t>28/10/2026</w:t>
            </w:r>
          </w:p>
        </w:tc>
      </w:tr>
      <w:tr w14:paraId="0A6099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2A6DCD6A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74CFD906">
            <w:pPr>
              <w:spacing w:before="0" w:after="0" w:line="240" w:lineRule="auto"/>
            </w:pPr>
            <w:r>
              <w:rPr>
                <w:sz w:val="18"/>
              </w:rPr>
              <w:t>Equipo del proyecto · 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8FE50CE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583F52D1">
            <w:pPr>
              <w:spacing w:before="0" w:after="0" w:line="240" w:lineRule="auto"/>
            </w:pPr>
            <w:r>
              <w:rPr>
                <w:sz w:val="18"/>
              </w:rPr>
              <w:t>Patrocinador del proyecto (pendiente)</w:t>
            </w:r>
          </w:p>
        </w:tc>
      </w:tr>
    </w:tbl>
    <w:p w14:paraId="705415F7">
      <w:pPr>
        <w:keepNext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HISTÓRICO DE MODIFICACIONES DEL DOCUMENTO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3118"/>
        <w:gridCol w:w="8618"/>
      </w:tblGrid>
      <w:tr w14:paraId="08CF12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CE6E8"/>
          </w:tcPr>
          <w:p w14:paraId="20966484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6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4A0DD72F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6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6C0545C0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6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33A5FB5B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6"/>
                <w:szCs w:val="19"/>
              </w:rPr>
              <w:t>Breve descripción de los cambios</w:t>
            </w:r>
          </w:p>
        </w:tc>
      </w:tr>
      <w:tr w14:paraId="66276D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  <w:vAlign w:val="center"/>
          </w:tcPr>
          <w:p w14:paraId="5DB2EE4F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v1.0</w:t>
            </w:r>
          </w:p>
        </w:tc>
        <w:tc>
          <w:tcPr>
            <w:tcW w:w="1587" w:type="dxa"/>
            <w:vAlign w:val="center"/>
          </w:tcPr>
          <w:p w14:paraId="0AB92D40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16613111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25E2DBA1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Primera versión del documento; autor y fecha pendientes de completar.</w:t>
            </w:r>
          </w:p>
        </w:tc>
      </w:tr>
      <w:tr w14:paraId="2AF375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  <w:vAlign w:val="center"/>
          </w:tcPr>
          <w:p w14:paraId="06BA3ECE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v1.1</w:t>
            </w:r>
          </w:p>
        </w:tc>
        <w:tc>
          <w:tcPr>
            <w:tcW w:w="1587" w:type="dxa"/>
            <w:vAlign w:val="center"/>
          </w:tcPr>
          <w:p w14:paraId="107A681D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78FC5664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3FBAA1A4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Revisión anterior; datos del histórico pendientes de completar.</w:t>
            </w:r>
          </w:p>
        </w:tc>
      </w:tr>
      <w:tr w14:paraId="7D504A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  <w:vAlign w:val="center"/>
          </w:tcPr>
          <w:p w14:paraId="503A5D18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v1.2</w:t>
            </w:r>
          </w:p>
        </w:tc>
        <w:tc>
          <w:tcPr>
            <w:tcW w:w="1587" w:type="dxa"/>
            <w:vAlign w:val="center"/>
          </w:tcPr>
          <w:p w14:paraId="007B8FDE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18/10/2026</w:t>
            </w:r>
          </w:p>
        </w:tc>
        <w:tc>
          <w:tcPr>
            <w:tcW w:w="3118" w:type="dxa"/>
            <w:vAlign w:val="center"/>
          </w:tcPr>
          <w:p w14:paraId="43BF1A3D">
            <w:pPr>
              <w:spacing w:before="0"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FP</w:t>
            </w:r>
          </w:p>
        </w:tc>
        <w:tc>
          <w:tcPr>
            <w:tcW w:w="8618" w:type="dxa"/>
            <w:vAlign w:val="center"/>
          </w:tcPr>
          <w:p w14:paraId="0AB3610D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EDT corregida y representada en árbol; revisión para línea base.</w:t>
            </w:r>
          </w:p>
        </w:tc>
      </w:tr>
      <w:tr w14:paraId="330624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7A1DFBD4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v1.3</w:t>
            </w:r>
          </w:p>
        </w:tc>
        <w:tc>
          <w:tcPr>
            <w:tcW w:w="1587" w:type="dxa"/>
            <w:vAlign w:val="center"/>
          </w:tcPr>
          <w:p w14:paraId="5F2EB44C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19/10/2026</w:t>
            </w:r>
          </w:p>
        </w:tc>
        <w:tc>
          <w:tcPr>
            <w:tcW w:w="3118" w:type="dxa"/>
            <w:vAlign w:val="center"/>
          </w:tcPr>
          <w:p w14:paraId="43CC4301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CRV</w:t>
            </w:r>
          </w:p>
        </w:tc>
        <w:tc>
          <w:tcPr>
            <w:tcW w:w="8618" w:type="dxa"/>
            <w:vAlign w:val="center"/>
          </w:tcPr>
          <w:p w14:paraId="1848333D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Se detallan adquisiciones y reservas de cronograma; revisión de TC-OP-ALC.</w:t>
            </w:r>
          </w:p>
        </w:tc>
      </w:tr>
      <w:tr w14:paraId="7F0D5B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1F56D598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v1.4</w:t>
            </w:r>
          </w:p>
        </w:tc>
        <w:tc>
          <w:tcPr>
            <w:tcW w:w="1587" w:type="dxa"/>
            <w:vAlign w:val="center"/>
          </w:tcPr>
          <w:p w14:paraId="7183B373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23/10/2026</w:t>
            </w:r>
          </w:p>
        </w:tc>
        <w:tc>
          <w:tcPr>
            <w:tcW w:w="3118" w:type="dxa"/>
            <w:vAlign w:val="center"/>
          </w:tcPr>
          <w:p w14:paraId="6EAB035A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04EB85AA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Simplificación de paquetes, RF-02.6 en Sprint 5, EP-07 adelantado y revisión de adquisiciones.</w:t>
            </w:r>
          </w:p>
        </w:tc>
      </w:tr>
      <w:tr w14:paraId="1501D5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2A009D56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v1.5</w:t>
            </w:r>
          </w:p>
        </w:tc>
        <w:tc>
          <w:tcPr>
            <w:tcW w:w="1587" w:type="dxa"/>
            <w:vAlign w:val="center"/>
          </w:tcPr>
          <w:p w14:paraId="73DCB63F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28/10/2026</w:t>
            </w:r>
          </w:p>
        </w:tc>
        <w:tc>
          <w:tcPr>
            <w:tcW w:w="3118" w:type="dxa"/>
            <w:vAlign w:val="center"/>
          </w:tcPr>
          <w:p w14:paraId="20E2DE2B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72479DBA">
            <w:pPr>
              <w:spacing w:before="0"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Reestructuración de la EDT según el nuevo árbol: seis sprints, paquetes E/C/V, ENT-01 a ENT-04 y adquisiciones.</w:t>
            </w:r>
          </w:p>
        </w:tc>
      </w:tr>
      <w:tr w14:paraId="06E293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top"/>
          </w:tcPr>
          <w:p w14:paraId="7472A0AE">
            <w:pPr>
              <w:spacing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v1.6</w:t>
            </w:r>
          </w:p>
        </w:tc>
        <w:tc>
          <w:tcPr>
            <w:tcW w:w="1587" w:type="dxa"/>
            <w:vAlign w:val="top"/>
          </w:tcPr>
          <w:p w14:paraId="472AE591">
            <w:pPr>
              <w:spacing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28/10/2026</w:t>
            </w:r>
          </w:p>
        </w:tc>
        <w:tc>
          <w:tcPr>
            <w:tcW w:w="3118" w:type="dxa"/>
            <w:vAlign w:val="top"/>
          </w:tcPr>
          <w:p w14:paraId="4C9FFB66">
            <w:pPr>
              <w:spacing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CRV</w:t>
            </w:r>
          </w:p>
        </w:tc>
        <w:tc>
          <w:tcPr>
            <w:tcW w:w="8618" w:type="dxa"/>
            <w:vAlign w:val="top"/>
          </w:tcPr>
          <w:p w14:paraId="71185177">
            <w:pPr>
              <w:spacing w:after="0" w:line="240" w:lineRule="auto"/>
            </w:pPr>
            <w:r>
              <w:rPr>
                <w:rFonts w:hint="default" w:ascii="Calibri" w:hAnsi="Calibri" w:cs="Calibri"/>
                <w:sz w:val="19"/>
                <w:szCs w:val="19"/>
              </w:rPr>
              <w:t>Corrección de temporalización de 1.4.1, 1.4.2 y 1.5.2 conforme al calendario aprobado; se conservan los 37 paquetes terminales.</w:t>
            </w:r>
          </w:p>
        </w:tc>
      </w:tr>
      <w:tr w14:paraId="2C2360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4C546B3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v1.7</w:t>
            </w:r>
          </w:p>
        </w:tc>
        <w:tc>
          <w:tcPr>
            <w:tcW w:w="1587" w:type="dxa"/>
          </w:tcPr>
          <w:p w14:paraId="6146783D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28/10/2026</w:t>
            </w:r>
          </w:p>
        </w:tc>
        <w:tc>
          <w:tcPr>
            <w:tcW w:w="3118" w:type="dxa"/>
          </w:tcPr>
          <w:p w14:paraId="1DBB7EDC">
            <w:pPr>
              <w:spacing w:before="0" w:after="0" w:line="240" w:lineRule="auto"/>
              <w:rPr>
                <w:rFonts w:hint="default"/>
                <w:sz w:val="21"/>
                <w:szCs w:val="21"/>
                <w:lang w:val="es-ES"/>
              </w:rPr>
            </w:pPr>
            <w:r>
              <w:rPr>
                <w:rFonts w:hint="default"/>
                <w:sz w:val="21"/>
                <w:szCs w:val="21"/>
                <w:lang w:val="es-ES"/>
              </w:rPr>
              <w:t>CRV</w:t>
            </w:r>
          </w:p>
        </w:tc>
        <w:tc>
          <w:tcPr>
            <w:tcW w:w="8618" w:type="dxa"/>
          </w:tcPr>
          <w:p w14:paraId="42E6B813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Paquetes separados por responsable y sprint.</w:t>
            </w:r>
          </w:p>
        </w:tc>
      </w:tr>
      <w:tr w14:paraId="09912E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5C8E390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v1.8</w:t>
            </w:r>
          </w:p>
        </w:tc>
        <w:tc>
          <w:tcPr>
            <w:tcW w:w="1587" w:type="dxa"/>
          </w:tcPr>
          <w:p w14:paraId="170EAF2E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28/10/2026</w:t>
            </w:r>
          </w:p>
        </w:tc>
        <w:tc>
          <w:tcPr>
            <w:tcW w:w="3118" w:type="dxa"/>
          </w:tcPr>
          <w:p w14:paraId="77D1585D">
            <w:pPr>
              <w:spacing w:before="0" w:after="0" w:line="240" w:lineRule="auto"/>
              <w:rPr>
                <w:rFonts w:hint="default"/>
                <w:sz w:val="21"/>
                <w:szCs w:val="21"/>
                <w:lang w:val="es-ES"/>
              </w:rPr>
            </w:pPr>
            <w:r>
              <w:rPr>
                <w:rFonts w:hint="default"/>
                <w:sz w:val="21"/>
                <w:szCs w:val="21"/>
                <w:lang w:val="es-ES"/>
              </w:rPr>
              <w:t>CRV</w:t>
            </w:r>
            <w:bookmarkStart w:id="0" w:name="_GoBack"/>
            <w:bookmarkEnd w:id="0"/>
          </w:p>
        </w:tc>
        <w:tc>
          <w:tcPr>
            <w:tcW w:w="8618" w:type="dxa"/>
          </w:tcPr>
          <w:p w14:paraId="5A632FD2">
            <w:pPr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EDT representada únicamente en diagramas de la plantilla.</w:t>
            </w:r>
          </w:p>
        </w:tc>
      </w:tr>
    </w:tbl>
    <w:p w14:paraId="7073D234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43554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3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10BD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5252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C78C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55854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5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C45A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55854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5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BCD5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55854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5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D598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435546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3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40BB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4150360"/>
            <wp:effectExtent l="0" t="0" r="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AD20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568833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3773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415036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607">
      <w:pPr>
        <w:pageBreakBefore/>
        <w:spacing w:before="0" w:after="0"/>
        <w:jc w:val="center"/>
      </w:pPr>
      <w:r>
        <w:drawing>
          <wp:inline distT="0" distB="0" distL="114300" distR="114300">
            <wp:extent cx="9326880" cy="4150360"/>
            <wp:effectExtent l="0" t="0" r="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6838" w:h="11906" w:orient="landscape"/>
      <w:pgMar w:top="1134" w:right="1134" w:bottom="1134" w:left="1134" w:header="397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4570" w:type="dxa"/>
      <w:tblCaption w:val="Pie de página"/>
      <w:tblInd w:w="0" w:type="dxa"/>
      <w:tblBorders>
        <w:top w:val="single" w:color="1F4E5A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467"/>
      <w:gridCol w:w="5103"/>
    </w:tblGrid>
    <w:tr w14:paraId="593D1F62">
      <w:tblPrEx>
        <w:tblBorders>
          <w:top w:val="single" w:color="1F4E5A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6D2E83C1">
          <w:pPr>
            <w:spacing w:before="0" w:after="0" w:line="240" w:lineRule="auto"/>
            <w:ind w:left="0" w:right="0"/>
            <w:jc w:val="left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D5D4FFB"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EDT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 w14:paraId="5A076D75"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E996F">
    <w:pP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EDT</w:t>
    </w:r>
  </w:p>
  <w:p w14:paraId="768E9AE4">
    <w:pPr>
      <w:pBdr>
        <w:bottom w:val="single" w:color="1F4E5A" w:sz="8" w:space="4"/>
      </w:pBd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  <w:rsid w:val="1451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0" w:after="100" w:line="259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16"/>
      <w:szCs w:val="16"/>
    </w:rPr>
  </w:style>
  <w:style w:type="paragraph" w:styleId="6">
    <w:name w:val="header"/>
    <w:basedOn w:val="1"/>
    <w:link w:val="9"/>
    <w:unhideWhenUsed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paragraph" w:styleId="7">
    <w:name w:val="footer"/>
    <w:basedOn w:val="1"/>
    <w:link w:val="10"/>
    <w:unhideWhenUsed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2"/>
    <w:link w:val="6"/>
    <w:uiPriority w:val="99"/>
  </w:style>
  <w:style w:type="character" w:customStyle="1" w:styleId="10">
    <w:name w:val="Pie de página Car"/>
    <w:basedOn w:val="2"/>
    <w:link w:val="7"/>
    <w:uiPriority w:val="99"/>
  </w:style>
  <w:style w:type="character" w:customStyle="1" w:styleId="11">
    <w:name w:val="Texto de globo Car"/>
    <w:basedOn w:val="2"/>
    <w:link w:val="5"/>
    <w:semiHidden/>
    <w:uiPriority w:val="99"/>
    <w:rPr>
      <w:rFonts w:ascii="Calibri" w:hAnsi="Calibri" w:eastAsia="Calibri" w:cs="Calibr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Plantilla de la consultora</cp:category>
  <dcterms:created xsi:type="dcterms:W3CDTF">2026-10-30T10:31:16Z</dcterms:created>
  <dc:creator>Equipo del proyecto · PGPI-208</dc:creator>
  <dc:description>© 2026 Juan M. Cordero · PGPI · Universidad de Sevilla — Prohibida su reproducción o difusión</dc:description>
  <cp:keywords>plantilla</cp:keywords>
  <cp:lastModifiedBy>EMILIO METRO ALVAREZ</cp:lastModifiedBy>
  <dcterms:modified xsi:type="dcterms:W3CDTF">2026-10-30T10:33:06Z</dcterms:modified>
  <dc:subject>Estructura de desglose del trabajo en diagramas jerárquicos</dc:subject>
  <dc:title>EDT · v1.8 · TuSuper en línea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2DCBF5FEC89249719380DB3385FD4326_12</vt:lpwstr>
  </property>
</Properties>
</file>