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876E13" w14:paraId="57F79214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1BC1059D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57011F11" w14:textId="77777777" w:rsidR="00876E13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TuSuper</w:t>
            </w:r>
            <w:proofErr w:type="spellEnd"/>
            <w:r>
              <w:rPr>
                <w:sz w:val="19"/>
                <w:szCs w:val="19"/>
              </w:rPr>
              <w:t xml:space="preserve">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6111B08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7EAD4330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TSL-2627</w:t>
            </w:r>
          </w:p>
        </w:tc>
      </w:tr>
      <w:tr w:rsidR="00876E13" w14:paraId="424BAA6A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FABFD0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1416E7BD" w14:textId="5E129ECF" w:rsidR="00876E13" w:rsidRDefault="00B74C0B">
            <w:pPr>
              <w:rPr>
                <w:sz w:val="19"/>
                <w:szCs w:val="19"/>
              </w:rPr>
            </w:pPr>
            <w:r w:rsidRPr="00023B97">
              <w:rPr>
                <w:sz w:val="19"/>
                <w:szCs w:val="19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DC4EA3E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165B294A" w14:textId="2682D488" w:rsidR="00876E13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Registro de interesados · v1.</w:t>
            </w:r>
            <w:r w:rsidR="00B9565E">
              <w:rPr>
                <w:sz w:val="19"/>
                <w:szCs w:val="19"/>
              </w:rPr>
              <w:t>0</w:t>
            </w:r>
          </w:p>
        </w:tc>
      </w:tr>
      <w:tr w:rsidR="00876E13" w14:paraId="22A8E71D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6BD576A0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7" w:type="dxa"/>
            <w:vAlign w:val="center"/>
          </w:tcPr>
          <w:p w14:paraId="7734DB5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02/10/2026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1CEDB1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37B7D666" w14:textId="6F76082F" w:rsidR="00876E13" w:rsidRDefault="00D00E4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</w:t>
            </w:r>
            <w:r w:rsidR="00644F74">
              <w:rPr>
                <w:sz w:val="19"/>
                <w:szCs w:val="19"/>
              </w:rPr>
              <w:t>irector del proyecto</w:t>
            </w:r>
          </w:p>
        </w:tc>
      </w:tr>
      <w:tr w:rsidR="00876E13" w14:paraId="1DA988E8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4B71821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11963" w:type="dxa"/>
            <w:gridSpan w:val="3"/>
            <w:vAlign w:val="center"/>
          </w:tcPr>
          <w:p w14:paraId="3F25869A" w14:textId="0F9A533A" w:rsidR="00876E13" w:rsidRDefault="00B74C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Emilio Metro Álvarez</w:t>
            </w:r>
            <w:r w:rsidR="00644F74">
              <w:rPr>
                <w:sz w:val="19"/>
                <w:szCs w:val="19"/>
              </w:rPr>
              <w:t xml:space="preserve"> </w:t>
            </w:r>
          </w:p>
        </w:tc>
      </w:tr>
    </w:tbl>
    <w:p w14:paraId="0BF5E049" w14:textId="77777777" w:rsidR="00876E13" w:rsidRDefault="00876E13">
      <w:pPr>
        <w:spacing w:after="0"/>
        <w:rPr>
          <w:sz w:val="12"/>
          <w:szCs w:val="12"/>
        </w:rPr>
      </w:pPr>
    </w:p>
    <w:p w14:paraId="72AA063E" w14:textId="77777777" w:rsidR="00876E13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876E13" w14:paraId="40452D2A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7FBE5B6D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44C65BCF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08BCEDBE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52F947D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876E13" w14:paraId="51A61688" w14:textId="77777777">
        <w:trPr>
          <w:cantSplit/>
          <w:trHeight w:val="340"/>
        </w:trPr>
        <w:tc>
          <w:tcPr>
            <w:tcW w:w="1247" w:type="dxa"/>
          </w:tcPr>
          <w:p w14:paraId="38E270F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62154D6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01/10/2026</w:t>
            </w:r>
          </w:p>
        </w:tc>
        <w:tc>
          <w:tcPr>
            <w:tcW w:w="3118" w:type="dxa"/>
          </w:tcPr>
          <w:p w14:paraId="6646A0A2" w14:textId="026040FD" w:rsidR="00876E13" w:rsidRDefault="00B9565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EMA</w:t>
            </w:r>
          </w:p>
        </w:tc>
        <w:tc>
          <w:tcPr>
            <w:tcW w:w="8618" w:type="dxa"/>
          </w:tcPr>
          <w:p w14:paraId="3E8D669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Primera versión del documento. Se parte de los cuatro interesados del acta de constitución y se añaden doce identificados en el contrato, la correspondencia con </w:t>
            </w:r>
            <w:proofErr w:type="spellStart"/>
            <w:r>
              <w:rPr>
                <w:sz w:val="19"/>
                <w:szCs w:val="19"/>
              </w:rPr>
              <w:t>TuSuper</w:t>
            </w:r>
            <w:proofErr w:type="spellEnd"/>
            <w:r>
              <w:rPr>
                <w:sz w:val="19"/>
                <w:szCs w:val="19"/>
              </w:rPr>
              <w:t>, el informe de requisitos y las normas internas. La estrategia de involucramiento queda pendiente para el plan de dirección.</w:t>
            </w:r>
          </w:p>
        </w:tc>
      </w:tr>
    </w:tbl>
    <w:p w14:paraId="2791866C" w14:textId="77777777" w:rsidR="00876E13" w:rsidRDefault="00876E13">
      <w:pPr>
        <w:spacing w:after="0"/>
        <w:rPr>
          <w:sz w:val="12"/>
          <w:szCs w:val="12"/>
        </w:rPr>
      </w:pPr>
    </w:p>
    <w:p w14:paraId="14DEB02F" w14:textId="77777777" w:rsidR="00876E13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INTERESADOS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300"/>
        <w:gridCol w:w="1550"/>
        <w:gridCol w:w="1550"/>
        <w:gridCol w:w="2100"/>
        <w:gridCol w:w="1800"/>
        <w:gridCol w:w="2320"/>
        <w:gridCol w:w="1450"/>
        <w:gridCol w:w="1900"/>
      </w:tblGrid>
      <w:tr w:rsidR="00876E13" w14:paraId="24072047" w14:textId="77777777">
        <w:trPr>
          <w:cantSplit/>
          <w:tblHeader/>
        </w:trPr>
        <w:tc>
          <w:tcPr>
            <w:tcW w:w="600" w:type="dxa"/>
            <w:shd w:val="clear" w:color="auto" w:fill="DCE6E8"/>
            <w:vAlign w:val="center"/>
          </w:tcPr>
          <w:p w14:paraId="3E19B179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ID</w:t>
            </w:r>
          </w:p>
        </w:tc>
        <w:tc>
          <w:tcPr>
            <w:tcW w:w="1300" w:type="dxa"/>
            <w:shd w:val="clear" w:color="auto" w:fill="DCE6E8"/>
            <w:vAlign w:val="center"/>
          </w:tcPr>
          <w:p w14:paraId="7ABA43D9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NOMBRE</w:t>
            </w:r>
          </w:p>
        </w:tc>
        <w:tc>
          <w:tcPr>
            <w:tcW w:w="1550" w:type="dxa"/>
            <w:shd w:val="clear" w:color="auto" w:fill="DCE6E8"/>
            <w:vAlign w:val="center"/>
          </w:tcPr>
          <w:p w14:paraId="56C9D451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ORGANIZACIÓN</w:t>
            </w:r>
          </w:p>
        </w:tc>
        <w:tc>
          <w:tcPr>
            <w:tcW w:w="1550" w:type="dxa"/>
            <w:shd w:val="clear" w:color="auto" w:fill="DCE6E8"/>
            <w:vAlign w:val="center"/>
          </w:tcPr>
          <w:p w14:paraId="17E30444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CARGO EN LA ORGANIZACIÓN</w:t>
            </w:r>
          </w:p>
        </w:tc>
        <w:tc>
          <w:tcPr>
            <w:tcW w:w="2100" w:type="dxa"/>
            <w:shd w:val="clear" w:color="auto" w:fill="DCE6E8"/>
            <w:vAlign w:val="center"/>
          </w:tcPr>
          <w:p w14:paraId="7B275A33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ROL EN EL PROYECTO</w:t>
            </w:r>
          </w:p>
        </w:tc>
        <w:tc>
          <w:tcPr>
            <w:tcW w:w="1800" w:type="dxa"/>
            <w:shd w:val="clear" w:color="auto" w:fill="DCE6E8"/>
            <w:vAlign w:val="center"/>
          </w:tcPr>
          <w:p w14:paraId="2FBC4AE4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GRADO DE INFLUENCIA</w:t>
            </w:r>
          </w:p>
        </w:tc>
        <w:tc>
          <w:tcPr>
            <w:tcW w:w="2320" w:type="dxa"/>
            <w:shd w:val="clear" w:color="auto" w:fill="DCE6E8"/>
            <w:vAlign w:val="center"/>
          </w:tcPr>
          <w:p w14:paraId="6591EA1D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EXPECTATIVAS</w:t>
            </w:r>
          </w:p>
        </w:tc>
        <w:tc>
          <w:tcPr>
            <w:tcW w:w="1450" w:type="dxa"/>
            <w:shd w:val="clear" w:color="auto" w:fill="DCE6E8"/>
            <w:vAlign w:val="center"/>
          </w:tcPr>
          <w:p w14:paraId="29CF39D8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CLASIFICACIÓN PODER / INTERÉS</w:t>
            </w:r>
          </w:p>
        </w:tc>
        <w:tc>
          <w:tcPr>
            <w:tcW w:w="1900" w:type="dxa"/>
            <w:shd w:val="clear" w:color="auto" w:fill="C4D6DA"/>
            <w:vAlign w:val="center"/>
          </w:tcPr>
          <w:p w14:paraId="0DEAEF1C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ESTRATEGIA DE INVOLUCRAMIENTO</w:t>
            </w:r>
          </w:p>
          <w:p w14:paraId="08E3BE45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i/>
                <w:color w:val="357080"/>
                <w:sz w:val="19"/>
                <w:szCs w:val="19"/>
              </w:rPr>
              <w:t>al elaborar el plan</w:t>
            </w:r>
          </w:p>
        </w:tc>
      </w:tr>
      <w:tr w:rsidR="00876E13" w14:paraId="6837D070" w14:textId="77777777">
        <w:trPr>
          <w:cantSplit/>
          <w:trHeight w:val="482"/>
        </w:trPr>
        <w:tc>
          <w:tcPr>
            <w:tcW w:w="600" w:type="dxa"/>
          </w:tcPr>
          <w:p w14:paraId="406E1B03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I-01</w:t>
            </w:r>
          </w:p>
        </w:tc>
        <w:tc>
          <w:tcPr>
            <w:tcW w:w="1300" w:type="dxa"/>
          </w:tcPr>
          <w:p w14:paraId="5B0F060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 xml:space="preserve">Director de Cuenta de </w:t>
            </w:r>
            <w:proofErr w:type="spellStart"/>
            <w:r>
              <w:rPr>
                <w:b/>
                <w:sz w:val="17"/>
                <w:szCs w:val="17"/>
              </w:rPr>
              <w:t>TuSuper</w:t>
            </w:r>
            <w:proofErr w:type="spellEnd"/>
          </w:p>
        </w:tc>
        <w:tc>
          <w:tcPr>
            <w:tcW w:w="1550" w:type="dxa"/>
          </w:tcPr>
          <w:p w14:paraId="6A67F0E5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550" w:type="dxa"/>
          </w:tcPr>
          <w:p w14:paraId="309168A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Director de Cuenta de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</w:p>
        </w:tc>
        <w:tc>
          <w:tcPr>
            <w:tcW w:w="2100" w:type="dxa"/>
          </w:tcPr>
          <w:p w14:paraId="55693C0A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Patrocinador. Firma el acta y designa al director del proyecto, autoriza el presupuesto y aprueba el plan con sus líneas base. Decide los cambios de alcance y los que ponen en riesgo la fecha de entrada en explotación, los negocia con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y recibe los informes de seguimiento.</w:t>
            </w:r>
          </w:p>
          <w:p w14:paraId="4131364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Es también el responsable del contrato por Taracea.</w:t>
            </w:r>
          </w:p>
        </w:tc>
        <w:tc>
          <w:tcPr>
            <w:tcW w:w="1800" w:type="dxa"/>
          </w:tcPr>
          <w:p w14:paraId="17FB47AA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Autoridad formal sobre el proyecto y cauce escrito con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(contrato, cláusula novena).</w:t>
            </w:r>
          </w:p>
        </w:tc>
        <w:tc>
          <w:tcPr>
            <w:tcW w:w="2320" w:type="dxa"/>
          </w:tcPr>
          <w:p w14:paraId="1DF8F564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Que se cumplan los criterios de éxito del acta: explotación en la fecha del calendario aceptado, requisitos aceptados por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>, ERP sincronizado y coste dentro de la línea base.</w:t>
            </w:r>
          </w:p>
          <w:p w14:paraId="72EAAC61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Recibir los informes de seguimiento y que se le someta, como solicitud de cambio, todo lo que ponga en riesgo la fecha de explotación.</w:t>
            </w:r>
          </w:p>
          <w:p w14:paraId="2FE40824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Presentar a certificación lo que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acepte en cada reunión de cierre, porque Taracea no adelanta financiación.</w:t>
            </w:r>
          </w:p>
          <w:p w14:paraId="5A190D24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Evitar penalizaciones y proteger el margen del precio cerrado (deducido).</w:t>
            </w:r>
          </w:p>
        </w:tc>
        <w:tc>
          <w:tcPr>
            <w:tcW w:w="1450" w:type="dxa"/>
          </w:tcPr>
          <w:p w14:paraId="0E1A0389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7065000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54CA3248" w14:textId="77777777">
        <w:trPr>
          <w:cantSplit/>
          <w:trHeight w:val="482"/>
        </w:trPr>
        <w:tc>
          <w:tcPr>
            <w:tcW w:w="600" w:type="dxa"/>
          </w:tcPr>
          <w:p w14:paraId="40443A9E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lastRenderedPageBreak/>
              <w:t>I-02</w:t>
            </w:r>
          </w:p>
        </w:tc>
        <w:tc>
          <w:tcPr>
            <w:tcW w:w="1300" w:type="dxa"/>
          </w:tcPr>
          <w:p w14:paraId="1489A8C0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Dirección de Expansión Digital</w:t>
            </w:r>
          </w:p>
        </w:tc>
        <w:tc>
          <w:tcPr>
            <w:tcW w:w="1550" w:type="dxa"/>
          </w:tcPr>
          <w:p w14:paraId="001B9011" w14:textId="77777777" w:rsidR="00876E13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>, S.A.</w:t>
            </w:r>
          </w:p>
        </w:tc>
        <w:tc>
          <w:tcPr>
            <w:tcW w:w="1550" w:type="dxa"/>
          </w:tcPr>
          <w:p w14:paraId="3C728623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Director de Expansión Digital</w:t>
            </w:r>
          </w:p>
        </w:tc>
        <w:tc>
          <w:tcPr>
            <w:tcW w:w="2100" w:type="dxa"/>
          </w:tcPr>
          <w:p w14:paraId="1090BBC5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Cliente. Encarga el proyecto y firma el contrato; es el responsable del contrato por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>. Acepta el calendario y el alcance detallado, firma la aceptación de RF-01 a RF-04 y da su conformidad a los cambios que modifican el contrato.</w:t>
            </w:r>
          </w:p>
          <w:p w14:paraId="1B802845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Tramita el alta de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en la pasarela de pago y solicita la auditoría de comercio.</w:t>
            </w:r>
          </w:p>
        </w:tc>
        <w:tc>
          <w:tcPr>
            <w:tcW w:w="1800" w:type="dxa"/>
          </w:tcPr>
          <w:p w14:paraId="1E959F48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Firma el contrato, las aceptaciones de su línea y la conformidad a los cambios.</w:t>
            </w:r>
          </w:p>
        </w:tc>
        <w:tc>
          <w:tcPr>
            <w:tcW w:w="2320" w:type="dxa"/>
          </w:tcPr>
          <w:p w14:paraId="6D0C5A2E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Abrir el canal de venta antes de la campaña de Semana Santa: plataforma en explotación antes del lunes 15/03/2027, plazo esencial con penalización por retraso.</w:t>
            </w:r>
          </w:p>
          <w:p w14:paraId="0DEC8C6D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Plataforma conforme a los anexos I y II del contrato y sin modificar el ERP.</w:t>
            </w:r>
          </w:p>
          <w:p w14:paraId="46D3F2D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Tratar decisiones y aceptaciones solo en las reuniones de cierre de periodo comercial: no atiende convocatorias entre cierres.</w:t>
            </w:r>
          </w:p>
        </w:tc>
        <w:tc>
          <w:tcPr>
            <w:tcW w:w="1450" w:type="dxa"/>
          </w:tcPr>
          <w:p w14:paraId="4C18C3C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6D1B8BAC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7077BC35" w14:textId="77777777">
        <w:trPr>
          <w:cantSplit/>
          <w:trHeight w:val="482"/>
        </w:trPr>
        <w:tc>
          <w:tcPr>
            <w:tcW w:w="600" w:type="dxa"/>
          </w:tcPr>
          <w:p w14:paraId="6BF7C41A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I-03</w:t>
            </w:r>
          </w:p>
        </w:tc>
        <w:tc>
          <w:tcPr>
            <w:tcW w:w="1300" w:type="dxa"/>
          </w:tcPr>
          <w:p w14:paraId="1B2B126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 xml:space="preserve">Fabricante del ERP de </w:t>
            </w:r>
            <w:proofErr w:type="spellStart"/>
            <w:r>
              <w:rPr>
                <w:b/>
                <w:sz w:val="17"/>
                <w:szCs w:val="17"/>
              </w:rPr>
              <w:t>TuSuper</w:t>
            </w:r>
            <w:proofErr w:type="spellEnd"/>
          </w:p>
        </w:tc>
        <w:tc>
          <w:tcPr>
            <w:tcW w:w="1550" w:type="dxa"/>
          </w:tcPr>
          <w:p w14:paraId="5E6CF3A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Fabricante del ERP (empresa externa)</w:t>
            </w:r>
          </w:p>
        </w:tc>
        <w:tc>
          <w:tcPr>
            <w:tcW w:w="1550" w:type="dxa"/>
          </w:tcPr>
          <w:p w14:paraId="14CCDE8F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1282DBF5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Da soporte al ERP de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y homologa a los proveedores de conectores para el ERP.</w:t>
            </w:r>
          </w:p>
        </w:tc>
        <w:tc>
          <w:tcPr>
            <w:tcW w:w="1800" w:type="dxa"/>
          </w:tcPr>
          <w:p w14:paraId="413D0ED6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Solo un conector de proveedor homologado mantiene el ERP en soporte, y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no admite otro (RT-03). De ello depende el riesgo R-01.</w:t>
            </w:r>
          </w:p>
        </w:tc>
        <w:tc>
          <w:tcPr>
            <w:tcW w:w="2320" w:type="dxa"/>
          </w:tcPr>
          <w:p w14:paraId="5E6EF07F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constan por escrito.</w:t>
            </w:r>
          </w:p>
          <w:p w14:paraId="610D2049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el ERP conserve su soporte, es decir, que solo se use un conector homologado (deducido).</w:t>
            </w:r>
          </w:p>
        </w:tc>
        <w:tc>
          <w:tcPr>
            <w:tcW w:w="1450" w:type="dxa"/>
          </w:tcPr>
          <w:p w14:paraId="4F9C7CCA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satisfecho</w:t>
            </w:r>
          </w:p>
        </w:tc>
        <w:tc>
          <w:tcPr>
            <w:tcW w:w="1900" w:type="dxa"/>
          </w:tcPr>
          <w:p w14:paraId="416C3D48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5A0CB974" w14:textId="77777777">
        <w:trPr>
          <w:cantSplit/>
          <w:trHeight w:val="482"/>
        </w:trPr>
        <w:tc>
          <w:tcPr>
            <w:tcW w:w="600" w:type="dxa"/>
          </w:tcPr>
          <w:p w14:paraId="3C7C4147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I-04</w:t>
            </w:r>
          </w:p>
        </w:tc>
        <w:tc>
          <w:tcPr>
            <w:tcW w:w="1300" w:type="dxa"/>
          </w:tcPr>
          <w:p w14:paraId="05E11CB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Oficina de Proyectos</w:t>
            </w:r>
          </w:p>
        </w:tc>
        <w:tc>
          <w:tcPr>
            <w:tcW w:w="1550" w:type="dxa"/>
          </w:tcPr>
          <w:p w14:paraId="281806E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550" w:type="dxa"/>
          </w:tcPr>
          <w:p w14:paraId="3CCDA50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38401671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Prepara y custodia el acta. Asigna los recursos de la ejecución y administra la reserva de gestión. Decide los cambios que piden recursos o fondos de esa reserva. Atiende las consultas y peticiones sobre la consultora y comprueba que el plan cumple las normas internas.</w:t>
            </w:r>
          </w:p>
        </w:tc>
        <w:tc>
          <w:tcPr>
            <w:tcW w:w="1800" w:type="dxa"/>
          </w:tcPr>
          <w:p w14:paraId="0DA9C94A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Concede el personal de la ejecución y la reserva de gestión, sin los que el proyecto no puede ejecutarse.</w:t>
            </w:r>
          </w:p>
        </w:tc>
        <w:tc>
          <w:tcPr>
            <w:tcW w:w="2320" w:type="dxa"/>
          </w:tcPr>
          <w:p w14:paraId="459BE65D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el plan cumpla las normas internas, incluidos los mínimos de desglose: devuelve para replanificación el que no los alcance.</w:t>
            </w:r>
          </w:p>
          <w:p w14:paraId="08E14665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las consultas y peticiones lleguen por escrito, en sus formularios, y las solicitudes de recursos vengan justificadas con el cronograma y con diez días naturales de antelación.</w:t>
            </w:r>
          </w:p>
          <w:p w14:paraId="4556448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el proyecto aplique los planes de gestión de la consultora y justifique cualquier apartamiento.</w:t>
            </w:r>
          </w:p>
        </w:tc>
        <w:tc>
          <w:tcPr>
            <w:tcW w:w="1450" w:type="dxa"/>
          </w:tcPr>
          <w:p w14:paraId="199056A6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5158E317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26438EF5" w14:textId="77777777">
        <w:trPr>
          <w:cantSplit/>
          <w:trHeight w:val="482"/>
        </w:trPr>
        <w:tc>
          <w:tcPr>
            <w:tcW w:w="600" w:type="dxa"/>
          </w:tcPr>
          <w:p w14:paraId="353377A6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lastRenderedPageBreak/>
              <w:t>I-05</w:t>
            </w:r>
          </w:p>
        </w:tc>
        <w:tc>
          <w:tcPr>
            <w:tcW w:w="1300" w:type="dxa"/>
          </w:tcPr>
          <w:p w14:paraId="1281F359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Responsable de tiendas</w:t>
            </w:r>
          </w:p>
        </w:tc>
        <w:tc>
          <w:tcPr>
            <w:tcW w:w="1550" w:type="dxa"/>
          </w:tcPr>
          <w:p w14:paraId="1E616138" w14:textId="77777777" w:rsidR="00876E13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>, S.A.</w:t>
            </w:r>
          </w:p>
        </w:tc>
        <w:tc>
          <w:tcPr>
            <w:tcW w:w="1550" w:type="dxa"/>
          </w:tcPr>
          <w:p w14:paraId="18DB6A8D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Responsable de tiendas</w:t>
            </w:r>
          </w:p>
        </w:tc>
        <w:tc>
          <w:tcPr>
            <w:tcW w:w="2100" w:type="dxa"/>
          </w:tcPr>
          <w:p w14:paraId="34936875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proofErr w:type="spellStart"/>
            <w:r>
              <w:rPr>
                <w:sz w:val="17"/>
                <w:szCs w:val="17"/>
              </w:rPr>
              <w:t>Cofirma</w:t>
            </w:r>
            <w:proofErr w:type="spellEnd"/>
            <w:r>
              <w:rPr>
                <w:sz w:val="17"/>
                <w:szCs w:val="17"/>
              </w:rPr>
              <w:t xml:space="preserve">, con el </w:t>
            </w:r>
            <w:proofErr w:type="gramStart"/>
            <w:r>
              <w:rPr>
                <w:sz w:val="17"/>
                <w:szCs w:val="17"/>
              </w:rPr>
              <w:t>Jefe</w:t>
            </w:r>
            <w:proofErr w:type="gramEnd"/>
            <w:r>
              <w:rPr>
                <w:sz w:val="17"/>
                <w:szCs w:val="17"/>
              </w:rPr>
              <w:t xml:space="preserve"> de Sistemas de TI, la aceptación de RF-05 a RF-08. Es interlocutor de trabajo del proyecto, sin necesidad de cauce formal mientras no comprometa una aceptación (contrato, cláusula 9.2).</w:t>
            </w:r>
          </w:p>
          <w:p w14:paraId="161B240D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Portavoz de las tiendas ante el proyecto (deducido).</w:t>
            </w:r>
          </w:p>
        </w:tc>
        <w:tc>
          <w:tcPr>
            <w:tcW w:w="1800" w:type="dxa"/>
          </w:tcPr>
          <w:p w14:paraId="2A42CE81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Sin su firma no se aceptan RF-05 a RF-08, y ha anunciado que no firmará dos requisitos mientras no se resuelva la carga de trabajo de las tiendas.</w:t>
            </w:r>
          </w:p>
        </w:tc>
        <w:tc>
          <w:tcPr>
            <w:tcW w:w="2320" w:type="dxa"/>
          </w:tcPr>
          <w:p w14:paraId="5FF90526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quede resuelto el trabajo que la plataforma añade al personal de las tiendas, en particular la preparación de pedidos por franjas horarias y el uso del panel de gestión de pedidos.</w:t>
            </w:r>
          </w:p>
          <w:p w14:paraId="6F477E49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Intervenir en el diseño del panel.</w:t>
            </w:r>
          </w:p>
          <w:p w14:paraId="24C49D8C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firmará la aceptación de los dos requisitos afectados (RF-05 y RF-06, deducido) mientras ese trabajo no quede resuelto.</w:t>
            </w:r>
          </w:p>
          <w:p w14:paraId="25DCD469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atiende, entre cierres de periodo, convocatorias de validación, aceptación o decisión; las que se cursen se devuelven sin tramitar (acta de la reunión de inicio, TS-DED-05).</w:t>
            </w:r>
          </w:p>
        </w:tc>
        <w:tc>
          <w:tcPr>
            <w:tcW w:w="1450" w:type="dxa"/>
          </w:tcPr>
          <w:p w14:paraId="23CD7DBD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D5D7AFA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09F922A3" w14:textId="77777777">
        <w:trPr>
          <w:cantSplit/>
          <w:trHeight w:val="482"/>
        </w:trPr>
        <w:tc>
          <w:tcPr>
            <w:tcW w:w="600" w:type="dxa"/>
          </w:tcPr>
          <w:p w14:paraId="08D00115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I-06</w:t>
            </w:r>
          </w:p>
        </w:tc>
        <w:tc>
          <w:tcPr>
            <w:tcW w:w="1300" w:type="dxa"/>
          </w:tcPr>
          <w:p w14:paraId="2EC63F5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Jefe de Sistemas de TI</w:t>
            </w:r>
          </w:p>
        </w:tc>
        <w:tc>
          <w:tcPr>
            <w:tcW w:w="1550" w:type="dxa"/>
          </w:tcPr>
          <w:p w14:paraId="06780B94" w14:textId="77777777" w:rsidR="00876E13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>, S.A.</w:t>
            </w:r>
          </w:p>
        </w:tc>
        <w:tc>
          <w:tcPr>
            <w:tcW w:w="1550" w:type="dxa"/>
          </w:tcPr>
          <w:p w14:paraId="4660D7A0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Jefe de Sistemas de TI</w:t>
            </w:r>
          </w:p>
        </w:tc>
        <w:tc>
          <w:tcPr>
            <w:tcW w:w="2100" w:type="dxa"/>
          </w:tcPr>
          <w:p w14:paraId="0C3CEB12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Custodia el entorno de verificación de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(RT-01) y carga en él los datos reales del ERP en los tres días hábiles siguientes a cada petición escrita (RT-02). Fija las condiciones de seguridad del acceso a los datos del ERP y acuerda con Taracea la especificación de la interfaz.</w:t>
            </w:r>
          </w:p>
          <w:p w14:paraId="1812D221" w14:textId="77777777" w:rsidR="00876E13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7"/>
                <w:szCs w:val="17"/>
              </w:rPr>
              <w:t>Cofirma</w:t>
            </w:r>
            <w:proofErr w:type="spellEnd"/>
            <w:r>
              <w:rPr>
                <w:sz w:val="17"/>
                <w:szCs w:val="17"/>
              </w:rPr>
              <w:t xml:space="preserve">, con el </w:t>
            </w:r>
            <w:proofErr w:type="gramStart"/>
            <w:r>
              <w:rPr>
                <w:sz w:val="17"/>
                <w:szCs w:val="17"/>
              </w:rPr>
              <w:t>Responsable</w:t>
            </w:r>
            <w:proofErr w:type="gramEnd"/>
            <w:r>
              <w:rPr>
                <w:sz w:val="17"/>
                <w:szCs w:val="17"/>
              </w:rPr>
              <w:t xml:space="preserve"> de tiendas, la aceptación de RF-05 a RF-08.</w:t>
            </w:r>
          </w:p>
        </w:tc>
        <w:tc>
          <w:tcPr>
            <w:tcW w:w="1800" w:type="dxa"/>
          </w:tcPr>
          <w:p w14:paraId="2514057F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Controla el entorno donde se verifica toda versión y las cargas de datos reales que exige CA-02, y </w:t>
            </w:r>
            <w:proofErr w:type="spellStart"/>
            <w:r>
              <w:rPr>
                <w:sz w:val="17"/>
                <w:szCs w:val="17"/>
              </w:rPr>
              <w:t>cofirma</w:t>
            </w:r>
            <w:proofErr w:type="spellEnd"/>
            <w:r>
              <w:rPr>
                <w:sz w:val="17"/>
                <w:szCs w:val="17"/>
              </w:rPr>
              <w:t xml:space="preserve"> aceptaciones.</w:t>
            </w:r>
          </w:p>
        </w:tc>
        <w:tc>
          <w:tcPr>
            <w:tcW w:w="2320" w:type="dxa"/>
          </w:tcPr>
          <w:p w14:paraId="0C2393E2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el acceso al ERP respete las normas de seguridad de Sistemas de TI y que el ERP no se modifique (contrato, cláusulas décima y undécima).</w:t>
            </w:r>
          </w:p>
          <w:p w14:paraId="4BED0829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las cargas de datos se pidan por escrito (RT-02).</w:t>
            </w:r>
          </w:p>
          <w:p w14:paraId="5F5EFC89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no celebra aceptaciones ni resuelve decisiones fuera de las reuniones de cierre, y ningún firmante delega su firma (contrato, cláusula 7.2).</w:t>
            </w:r>
          </w:p>
          <w:p w14:paraId="5A0B0655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Sus demás expectativas no constan: no asistió a la reunión de inicio y no hay comunicación suya.</w:t>
            </w:r>
          </w:p>
        </w:tc>
        <w:tc>
          <w:tcPr>
            <w:tcW w:w="1450" w:type="dxa"/>
          </w:tcPr>
          <w:p w14:paraId="73FEE0AA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3FDC848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19E09CA6" w14:textId="77777777">
        <w:trPr>
          <w:cantSplit/>
          <w:trHeight w:val="482"/>
        </w:trPr>
        <w:tc>
          <w:tcPr>
            <w:tcW w:w="600" w:type="dxa"/>
          </w:tcPr>
          <w:p w14:paraId="35B28EB3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lastRenderedPageBreak/>
              <w:t>I-07</w:t>
            </w:r>
          </w:p>
        </w:tc>
        <w:tc>
          <w:tcPr>
            <w:tcW w:w="1300" w:type="dxa"/>
          </w:tcPr>
          <w:p w14:paraId="1E19277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Director de Operaciones</w:t>
            </w:r>
          </w:p>
        </w:tc>
        <w:tc>
          <w:tcPr>
            <w:tcW w:w="1550" w:type="dxa"/>
          </w:tcPr>
          <w:p w14:paraId="460AFFA7" w14:textId="77777777" w:rsidR="00876E13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>, S.A.</w:t>
            </w:r>
          </w:p>
        </w:tc>
        <w:tc>
          <w:tcPr>
            <w:tcW w:w="1550" w:type="dxa"/>
          </w:tcPr>
          <w:p w14:paraId="2EFE8F3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Director de Operaciones</w:t>
            </w:r>
          </w:p>
        </w:tc>
        <w:tc>
          <w:tcPr>
            <w:tcW w:w="2100" w:type="dxa"/>
          </w:tcPr>
          <w:p w14:paraId="76C84FB8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Responsable jerárquico de las tiendas. Fija las condiciones con que las tiendas pueden participar en el piloto y en la explotación (reposición y refuerzo de personal de campaña). No figura entre los firmantes de aceptación del anexo II.</w:t>
            </w:r>
          </w:p>
        </w:tc>
        <w:tc>
          <w:tcPr>
            <w:tcW w:w="1800" w:type="dxa"/>
          </w:tcPr>
          <w:p w14:paraId="7DA74EE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Las tiendas no pueden alterar su reposición hasta cerrar el recuento de Navidad, lo que condiciona cuándo puede empezar el piloto: CA-03 exige dos ciclos de reposición antes del 15/03/2027.</w:t>
            </w:r>
          </w:p>
        </w:tc>
        <w:tc>
          <w:tcPr>
            <w:tcW w:w="2320" w:type="dxa"/>
          </w:tcPr>
          <w:p w14:paraId="168A3CD9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no se altere ningún procedimiento de reposición hasta el día del primer cierre de periodo de 2027; desde ese día las tiendas pueden ensayar. Las tiendas reponen los martes.</w:t>
            </w:r>
          </w:p>
          <w:p w14:paraId="504D175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Conocer con antelación la fecha de explotación para contratar el refuerzo de campaña una semana antes (deducido).</w:t>
            </w:r>
          </w:p>
        </w:tc>
        <w:tc>
          <w:tcPr>
            <w:tcW w:w="1450" w:type="dxa"/>
          </w:tcPr>
          <w:p w14:paraId="38853B86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6A495221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4F42E1D8" w14:textId="77777777">
        <w:trPr>
          <w:cantSplit/>
          <w:trHeight w:val="482"/>
        </w:trPr>
        <w:tc>
          <w:tcPr>
            <w:tcW w:w="600" w:type="dxa"/>
          </w:tcPr>
          <w:p w14:paraId="58E64BEB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I-08</w:t>
            </w:r>
          </w:p>
        </w:tc>
        <w:tc>
          <w:tcPr>
            <w:tcW w:w="1300" w:type="dxa"/>
          </w:tcPr>
          <w:p w14:paraId="15FB5861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Equipos de trabajo</w:t>
            </w:r>
          </w:p>
        </w:tc>
        <w:tc>
          <w:tcPr>
            <w:tcW w:w="1550" w:type="dxa"/>
          </w:tcPr>
          <w:p w14:paraId="667A4B31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550" w:type="dxa"/>
          </w:tcPr>
          <w:p w14:paraId="7CA37B5A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26C022C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Construyen la plataforma con método ágil, en </w:t>
            </w:r>
            <w:proofErr w:type="spellStart"/>
            <w:r>
              <w:rPr>
                <w:sz w:val="17"/>
                <w:szCs w:val="17"/>
              </w:rPr>
              <w:t>sprints</w:t>
            </w:r>
            <w:proofErr w:type="spellEnd"/>
            <w:r>
              <w:rPr>
                <w:sz w:val="17"/>
                <w:szCs w:val="17"/>
              </w:rPr>
              <w:t xml:space="preserve"> de dos semanas. Hay dos equipos, uno por </w:t>
            </w:r>
            <w:proofErr w:type="gramStart"/>
            <w:r>
              <w:rPr>
                <w:sz w:val="17"/>
                <w:szCs w:val="17"/>
              </w:rPr>
              <w:t>línea</w:t>
            </w:r>
            <w:proofErr w:type="gramEnd"/>
            <w:r>
              <w:rPr>
                <w:sz w:val="17"/>
                <w:szCs w:val="17"/>
              </w:rPr>
              <w:t xml:space="preserve"> de aceptación (RF-01 a RF-04 y RF-05 a RF-08). Cada uno responde de su línea y de los elementos transversales que se le asocian, y emite sus partes de desempeño. </w:t>
            </w:r>
            <w:proofErr w:type="gramStart"/>
            <w:r>
              <w:rPr>
                <w:sz w:val="17"/>
                <w:szCs w:val="17"/>
              </w:rPr>
              <w:t>Los forma</w:t>
            </w:r>
            <w:proofErr w:type="gramEnd"/>
            <w:r>
              <w:rPr>
                <w:sz w:val="17"/>
                <w:szCs w:val="17"/>
              </w:rPr>
              <w:t xml:space="preserve"> el personal que concede la Oficina de Proyectos.</w:t>
            </w:r>
          </w:p>
        </w:tc>
        <w:tc>
          <w:tcPr>
            <w:tcW w:w="1800" w:type="dxa"/>
          </w:tcPr>
          <w:p w14:paraId="34023815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De ellos depende la construcción del producto y el avance que se mide.</w:t>
            </w:r>
          </w:p>
        </w:tc>
        <w:tc>
          <w:tcPr>
            <w:tcW w:w="2320" w:type="dxa"/>
          </w:tcPr>
          <w:p w14:paraId="542E3BAB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Conservar la organización interna de los paquetes que tengan asignados, que el acta delega en ellos.</w:t>
            </w:r>
          </w:p>
          <w:p w14:paraId="0CB3F840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Contar con personal concedido y un alcance estable para cerrar cada sprint con un incremento verificado (deducido).</w:t>
            </w:r>
          </w:p>
        </w:tc>
        <w:tc>
          <w:tcPr>
            <w:tcW w:w="1450" w:type="dxa"/>
          </w:tcPr>
          <w:p w14:paraId="6F475CA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FBA75B8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19779FFE" w14:textId="77777777">
        <w:trPr>
          <w:cantSplit/>
          <w:trHeight w:val="482"/>
        </w:trPr>
        <w:tc>
          <w:tcPr>
            <w:tcW w:w="600" w:type="dxa"/>
          </w:tcPr>
          <w:p w14:paraId="53DEF8AE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I-09</w:t>
            </w:r>
          </w:p>
        </w:tc>
        <w:tc>
          <w:tcPr>
            <w:tcW w:w="1300" w:type="dxa"/>
          </w:tcPr>
          <w:p w14:paraId="2BF7038E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Equipo de expertos de la planificación</w:t>
            </w:r>
          </w:p>
        </w:tc>
        <w:tc>
          <w:tcPr>
            <w:tcW w:w="1550" w:type="dxa"/>
          </w:tcPr>
          <w:p w14:paraId="3E5017F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550" w:type="dxa"/>
          </w:tcPr>
          <w:p w14:paraId="21B4D745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aplica. Analista funcional, arquitecto de software, diseñador UX, técnico de sistemas, desarrollador y técnico de calidad</w:t>
            </w:r>
          </w:p>
        </w:tc>
        <w:tc>
          <w:tcPr>
            <w:tcW w:w="2100" w:type="dxa"/>
          </w:tcPr>
          <w:p w14:paraId="31B338CD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Con el director, detalla el alcance y estima el trabajo. El arquitecto entrega el documento de arquitectura sobre el que se hacen la EDT y las estimaciones. Dedicación del 25 % durante las tres primeras semanas del proyecto.</w:t>
            </w:r>
          </w:p>
          <w:p w14:paraId="4396D5EE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En la asignatura lo representan los miembros del grupo de práctica.</w:t>
            </w:r>
          </w:p>
        </w:tc>
        <w:tc>
          <w:tcPr>
            <w:tcW w:w="1800" w:type="dxa"/>
          </w:tcPr>
          <w:p w14:paraId="0C99F3EA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Su arquitectura y sus estimaciones sostienen el plan; el director se reserva las decisiones de arquitectura y de integración con el ERP.</w:t>
            </w:r>
          </w:p>
        </w:tc>
        <w:tc>
          <w:tcPr>
            <w:tcW w:w="2320" w:type="dxa"/>
          </w:tcPr>
          <w:p w14:paraId="092F136E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Participar en la estimación de los paquetes de su materia.</w:t>
            </w:r>
          </w:p>
          <w:p w14:paraId="6E09180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su dedicación, 25 % las tres primeras semanas, baste para completar el diseño y las estimaciones del plan (deducido).</w:t>
            </w:r>
          </w:p>
        </w:tc>
        <w:tc>
          <w:tcPr>
            <w:tcW w:w="1450" w:type="dxa"/>
          </w:tcPr>
          <w:p w14:paraId="6DEAF5A4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informado</w:t>
            </w:r>
          </w:p>
        </w:tc>
        <w:tc>
          <w:tcPr>
            <w:tcW w:w="1900" w:type="dxa"/>
          </w:tcPr>
          <w:p w14:paraId="69DE8A97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71146067" w14:textId="77777777">
        <w:trPr>
          <w:cantSplit/>
          <w:trHeight w:val="482"/>
        </w:trPr>
        <w:tc>
          <w:tcPr>
            <w:tcW w:w="600" w:type="dxa"/>
          </w:tcPr>
          <w:p w14:paraId="1D41A4A6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lastRenderedPageBreak/>
              <w:t>I-10</w:t>
            </w:r>
          </w:p>
        </w:tc>
        <w:tc>
          <w:tcPr>
            <w:tcW w:w="1300" w:type="dxa"/>
          </w:tcPr>
          <w:p w14:paraId="7A5631D1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Departamento de formación</w:t>
            </w:r>
          </w:p>
        </w:tc>
        <w:tc>
          <w:tcPr>
            <w:tcW w:w="1550" w:type="dxa"/>
          </w:tcPr>
          <w:p w14:paraId="57C223FF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550" w:type="dxa"/>
          </w:tcPr>
          <w:p w14:paraId="4DEBDE41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6CBA3DAD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Redacta el manual de uso para el personal de las tiendas y la guía para los repartidores, y forma al personal de las tres tiendas del piloto (EP-07). El proyecto lo contrata como una adquisición, con oferta presentada por medio de la Oficina de Proyectos.</w:t>
            </w:r>
          </w:p>
        </w:tc>
        <w:tc>
          <w:tcPr>
            <w:tcW w:w="1800" w:type="dxa"/>
          </w:tcPr>
          <w:p w14:paraId="3FDCFC6D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Sin su trabajo no hay documentación ni formación (ENT-04), y el proyecto depende de su oferta y de sus plazos.</w:t>
            </w:r>
          </w:p>
        </w:tc>
        <w:tc>
          <w:tcPr>
            <w:tcW w:w="2320" w:type="dxa"/>
          </w:tcPr>
          <w:p w14:paraId="1BCCAEB4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Recibir del proyecto la documentación que necesita y acceso a un piloto de la plataforma.</w:t>
            </w:r>
          </w:p>
          <w:p w14:paraId="1656DF59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Presentar su oferta, con importe, plazos y criterios de aceptación, por medio de la Oficina, y recibir el encargo cuando el patrocinador haya aprobado el plan y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haya aceptado el calendario y el alcance.</w:t>
            </w:r>
          </w:p>
        </w:tc>
        <w:tc>
          <w:tcPr>
            <w:tcW w:w="1450" w:type="dxa"/>
          </w:tcPr>
          <w:p w14:paraId="1DC3166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informado</w:t>
            </w:r>
          </w:p>
        </w:tc>
        <w:tc>
          <w:tcPr>
            <w:tcW w:w="1900" w:type="dxa"/>
          </w:tcPr>
          <w:p w14:paraId="603F2251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0435E043" w14:textId="77777777">
        <w:trPr>
          <w:cantSplit/>
          <w:trHeight w:val="482"/>
        </w:trPr>
        <w:tc>
          <w:tcPr>
            <w:tcW w:w="600" w:type="dxa"/>
          </w:tcPr>
          <w:p w14:paraId="35C34D99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I-11</w:t>
            </w:r>
          </w:p>
        </w:tc>
        <w:tc>
          <w:tcPr>
            <w:tcW w:w="1300" w:type="dxa"/>
          </w:tcPr>
          <w:p w14:paraId="2084BBED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Servicio de mantenimiento</w:t>
            </w:r>
          </w:p>
        </w:tc>
        <w:tc>
          <w:tcPr>
            <w:tcW w:w="1550" w:type="dxa"/>
          </w:tcPr>
          <w:p w14:paraId="1F2A48A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Taracea Consultoría Tecnológica, S.L.</w:t>
            </w:r>
          </w:p>
        </w:tc>
        <w:tc>
          <w:tcPr>
            <w:tcW w:w="1550" w:type="dxa"/>
          </w:tcPr>
          <w:p w14:paraId="34328C3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123A918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Recibe el producto entregado, con su configuración, su documentación y la relación de defectos abiertos, y presta la garantía fuera del proyecto en los términos del contrato (seis meses, defectos corregidos en veinte días naturales).</w:t>
            </w:r>
          </w:p>
        </w:tc>
        <w:tc>
          <w:tcPr>
            <w:tcW w:w="1800" w:type="dxa"/>
          </w:tcPr>
          <w:p w14:paraId="6BEE60BA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Actúa después del cierre y no condiciona la ejecución.</w:t>
            </w:r>
          </w:p>
        </w:tc>
        <w:tc>
          <w:tcPr>
            <w:tcW w:w="2320" w:type="dxa"/>
          </w:tcPr>
          <w:p w14:paraId="3301BA9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Recibir un traspaso completo, con la provisión para la garantía incluida en la línea base de costes.</w:t>
            </w:r>
          </w:p>
        </w:tc>
        <w:tc>
          <w:tcPr>
            <w:tcW w:w="1450" w:type="dxa"/>
          </w:tcPr>
          <w:p w14:paraId="646089A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informado</w:t>
            </w:r>
          </w:p>
        </w:tc>
        <w:tc>
          <w:tcPr>
            <w:tcW w:w="1900" w:type="dxa"/>
          </w:tcPr>
          <w:p w14:paraId="668E829E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18CB7C36" w14:textId="77777777">
        <w:trPr>
          <w:cantSplit/>
          <w:trHeight w:val="482"/>
        </w:trPr>
        <w:tc>
          <w:tcPr>
            <w:tcW w:w="600" w:type="dxa"/>
          </w:tcPr>
          <w:p w14:paraId="21E91D4B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I-12</w:t>
            </w:r>
          </w:p>
        </w:tc>
        <w:tc>
          <w:tcPr>
            <w:tcW w:w="1300" w:type="dxa"/>
          </w:tcPr>
          <w:p w14:paraId="07158D82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Proveedor del conector con el ERP</w:t>
            </w:r>
          </w:p>
        </w:tc>
        <w:tc>
          <w:tcPr>
            <w:tcW w:w="1550" w:type="dxa"/>
          </w:tcPr>
          <w:p w14:paraId="60E25DB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Empresa externa homologada por el fabricante del ERP</w:t>
            </w:r>
          </w:p>
        </w:tc>
        <w:tc>
          <w:tcPr>
            <w:tcW w:w="1550" w:type="dxa"/>
          </w:tcPr>
          <w:p w14:paraId="6732E743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26DED9BF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Suministra el conector entre la plataforma y el ERP, cuyo coste cubre el precio del contrato y que no es un elemento del catálogo de producto.</w:t>
            </w:r>
          </w:p>
          <w:p w14:paraId="4E543726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lo contrate Taracea como adquisición es deducido: no hay proveedor nombrado.</w:t>
            </w:r>
          </w:p>
        </w:tc>
        <w:tc>
          <w:tcPr>
            <w:tcW w:w="1800" w:type="dxa"/>
          </w:tcPr>
          <w:p w14:paraId="0FD48094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Solo estos proveedores pueden suministrarlo (RT-03). De su disponibilidad depende toda la integración (riesgo R-01) y el piloto, que CA-03 exige con el conector en funcionamiento.</w:t>
            </w:r>
          </w:p>
        </w:tc>
        <w:tc>
          <w:tcPr>
            <w:tcW w:w="2320" w:type="dxa"/>
          </w:tcPr>
          <w:p w14:paraId="66556416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constan por escrito.</w:t>
            </w:r>
          </w:p>
          <w:p w14:paraId="74ED944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Recibir un pedido formal con especificación y plazo de entrega, y cobrar según lo pactado (deducido).</w:t>
            </w:r>
          </w:p>
        </w:tc>
        <w:tc>
          <w:tcPr>
            <w:tcW w:w="1450" w:type="dxa"/>
          </w:tcPr>
          <w:p w14:paraId="595E6466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Gestionar de cerca</w:t>
            </w:r>
          </w:p>
        </w:tc>
        <w:tc>
          <w:tcPr>
            <w:tcW w:w="1900" w:type="dxa"/>
          </w:tcPr>
          <w:p w14:paraId="153E7998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7E0E8DB6" w14:textId="77777777">
        <w:trPr>
          <w:cantSplit/>
          <w:trHeight w:val="482"/>
        </w:trPr>
        <w:tc>
          <w:tcPr>
            <w:tcW w:w="600" w:type="dxa"/>
          </w:tcPr>
          <w:p w14:paraId="5168DBBD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lastRenderedPageBreak/>
              <w:t>I-13</w:t>
            </w:r>
          </w:p>
        </w:tc>
        <w:tc>
          <w:tcPr>
            <w:tcW w:w="1300" w:type="dxa"/>
          </w:tcPr>
          <w:p w14:paraId="3EC2BD5F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Proveedor de la pasarela de pago</w:t>
            </w:r>
          </w:p>
        </w:tc>
        <w:tc>
          <w:tcPr>
            <w:tcW w:w="1550" w:type="dxa"/>
          </w:tcPr>
          <w:p w14:paraId="4FE7CBF0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Empresa externa (proveedor con el que opera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550" w:type="dxa"/>
          </w:tcPr>
          <w:p w14:paraId="0A879BA5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0F6ABA2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Opera la pasarela de pago. Da de alta a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como comercio, practica la auditoría de comercio y emite las credenciales de producción.</w:t>
            </w:r>
          </w:p>
        </w:tc>
        <w:tc>
          <w:tcPr>
            <w:tcW w:w="1800" w:type="dxa"/>
          </w:tcPr>
          <w:p w14:paraId="0C74EA6D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Alta.</w:t>
            </w:r>
            <w:r>
              <w:rPr>
                <w:sz w:val="17"/>
                <w:szCs w:val="17"/>
              </w:rPr>
              <w:t xml:space="preserve"> Sin credenciales de producción la plataforma no puede cobrar. La auditoría tarda quince días hábiles; el piloto sí puede empezar con la pasarela en pruebas.</w:t>
            </w:r>
          </w:p>
        </w:tc>
        <w:tc>
          <w:tcPr>
            <w:tcW w:w="2320" w:type="dxa"/>
          </w:tcPr>
          <w:p w14:paraId="7C52132A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Que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solicite la auditoría cuando Taracea le comunique por escrito que el entorno de preproducción está listo.</w:t>
            </w:r>
          </w:p>
          <w:p w14:paraId="73B61B9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Que la auditoría se haga sobre preproducción, con la plataforma integrada con la pasarela real y transacciones de prueba, nunca sobre entornos de desarrollo.</w:t>
            </w:r>
          </w:p>
        </w:tc>
        <w:tc>
          <w:tcPr>
            <w:tcW w:w="1450" w:type="dxa"/>
          </w:tcPr>
          <w:p w14:paraId="2C4DF223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satisfecho</w:t>
            </w:r>
          </w:p>
        </w:tc>
        <w:tc>
          <w:tcPr>
            <w:tcW w:w="1900" w:type="dxa"/>
          </w:tcPr>
          <w:p w14:paraId="454EE0B0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6DAAF0CC" w14:textId="77777777">
        <w:trPr>
          <w:cantSplit/>
          <w:trHeight w:val="482"/>
        </w:trPr>
        <w:tc>
          <w:tcPr>
            <w:tcW w:w="600" w:type="dxa"/>
          </w:tcPr>
          <w:p w14:paraId="0F5F6DCA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I-14</w:t>
            </w:r>
          </w:p>
        </w:tc>
        <w:tc>
          <w:tcPr>
            <w:tcW w:w="1300" w:type="dxa"/>
          </w:tcPr>
          <w:p w14:paraId="5B039CC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Personal de las tiendas</w:t>
            </w:r>
          </w:p>
        </w:tc>
        <w:tc>
          <w:tcPr>
            <w:tcW w:w="1550" w:type="dxa"/>
          </w:tcPr>
          <w:p w14:paraId="34A323B7" w14:textId="77777777" w:rsidR="00876E13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>, S.A.</w:t>
            </w:r>
          </w:p>
        </w:tc>
        <w:tc>
          <w:tcPr>
            <w:tcW w:w="1550" w:type="dxa"/>
          </w:tcPr>
          <w:p w14:paraId="719DE2A4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510CB280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Usa el panel de gestión de pedidos para preparar los pedidos y cambiar su estado. Recibe formación: el de las tres tiendas del piloto, de Taracea; el de las demás, de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con la documentación de uso.</w:t>
            </w:r>
          </w:p>
        </w:tc>
        <w:tc>
          <w:tcPr>
            <w:tcW w:w="1800" w:type="dxa"/>
          </w:tcPr>
          <w:p w14:paraId="6F28BB54" w14:textId="664CAF43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Media.</w:t>
            </w:r>
            <w:r>
              <w:rPr>
                <w:sz w:val="17"/>
                <w:szCs w:val="17"/>
              </w:rPr>
              <w:t xml:space="preserve"> No decide, pero su carga de trabajo es el motivo de la reserva del </w:t>
            </w:r>
            <w:r w:rsidR="00B74C0B">
              <w:rPr>
                <w:sz w:val="17"/>
                <w:szCs w:val="17"/>
              </w:rPr>
              <w:t>responsable</w:t>
            </w:r>
            <w:r>
              <w:rPr>
                <w:sz w:val="17"/>
                <w:szCs w:val="17"/>
              </w:rPr>
              <w:t xml:space="preserve"> de tiendas y el piloto se ejecuta con él.</w:t>
            </w:r>
          </w:p>
        </w:tc>
        <w:tc>
          <w:tcPr>
            <w:tcW w:w="2320" w:type="dxa"/>
          </w:tcPr>
          <w:p w14:paraId="08A775C3" w14:textId="5B3CF382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Que la preparación de pedidos por franjas y el uso del panel no les añadan trabajo (planteado por el </w:t>
            </w:r>
            <w:r w:rsidR="00B74C0B">
              <w:rPr>
                <w:sz w:val="17"/>
                <w:szCs w:val="17"/>
              </w:rPr>
              <w:t>responsable</w:t>
            </w:r>
            <w:r>
              <w:rPr>
                <w:sz w:val="17"/>
                <w:szCs w:val="17"/>
              </w:rPr>
              <w:t xml:space="preserve"> de tiendas, no por el propio personal; deducido).</w:t>
            </w:r>
          </w:p>
          <w:p w14:paraId="1B5D713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Disponer de equipos y conexión en cada tienda, que pone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>, y de manual y formación (deducido).</w:t>
            </w:r>
          </w:p>
        </w:tc>
        <w:tc>
          <w:tcPr>
            <w:tcW w:w="1450" w:type="dxa"/>
          </w:tcPr>
          <w:p w14:paraId="6ACD075F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Mantener informado</w:t>
            </w:r>
          </w:p>
        </w:tc>
        <w:tc>
          <w:tcPr>
            <w:tcW w:w="1900" w:type="dxa"/>
          </w:tcPr>
          <w:p w14:paraId="56A0B0C9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6537DB2E" w14:textId="77777777">
        <w:trPr>
          <w:cantSplit/>
          <w:trHeight w:val="482"/>
        </w:trPr>
        <w:tc>
          <w:tcPr>
            <w:tcW w:w="600" w:type="dxa"/>
          </w:tcPr>
          <w:p w14:paraId="51E4C3E2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I-15</w:t>
            </w:r>
          </w:p>
        </w:tc>
        <w:tc>
          <w:tcPr>
            <w:tcW w:w="1300" w:type="dxa"/>
          </w:tcPr>
          <w:p w14:paraId="503BA605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Compradores</w:t>
            </w:r>
          </w:p>
        </w:tc>
        <w:tc>
          <w:tcPr>
            <w:tcW w:w="1550" w:type="dxa"/>
          </w:tcPr>
          <w:p w14:paraId="1B5CDD65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Clientela de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</w:p>
        </w:tc>
        <w:tc>
          <w:tcPr>
            <w:tcW w:w="1550" w:type="dxa"/>
          </w:tcPr>
          <w:p w14:paraId="54A61B6B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0376CCC3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Usuarios finales de la web y de la aplicación móvil: se registran, compran, pagan y reciben el pedido en su domicilio.</w:t>
            </w:r>
          </w:p>
        </w:tc>
        <w:tc>
          <w:tcPr>
            <w:tcW w:w="1800" w:type="dxa"/>
          </w:tcPr>
          <w:p w14:paraId="7F9A1619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No intervienen durante el proyecto; su efecto llega con la explotación.</w:t>
            </w:r>
          </w:p>
        </w:tc>
        <w:tc>
          <w:tcPr>
            <w:tcW w:w="2320" w:type="dxa"/>
          </w:tcPr>
          <w:p w14:paraId="554EC54D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Comprar en línea y recibir la compra en casa en un plazo de 24 horas.</w:t>
            </w:r>
          </w:p>
          <w:p w14:paraId="49F3FD81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Plataforma disponible el 99,5 % del horario de servicio, que es continuo (24 horas, todos los días del año), accesible (WCAG 2.1 AA) y en castellano, con avisos por correo y por la aplicación a cada cambio de estado del pedido (anexo I del contrato).</w:t>
            </w:r>
          </w:p>
        </w:tc>
        <w:tc>
          <w:tcPr>
            <w:tcW w:w="1450" w:type="dxa"/>
          </w:tcPr>
          <w:p w14:paraId="3051123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Monitorizar</w:t>
            </w:r>
          </w:p>
        </w:tc>
        <w:tc>
          <w:tcPr>
            <w:tcW w:w="1900" w:type="dxa"/>
          </w:tcPr>
          <w:p w14:paraId="31354F81" w14:textId="77777777" w:rsidR="00876E13" w:rsidRDefault="00876E13">
            <w:pPr>
              <w:rPr>
                <w:sz w:val="19"/>
                <w:szCs w:val="19"/>
              </w:rPr>
            </w:pPr>
          </w:p>
        </w:tc>
      </w:tr>
      <w:tr w:rsidR="00876E13" w14:paraId="2B1ED8C3" w14:textId="77777777">
        <w:trPr>
          <w:cantSplit/>
          <w:trHeight w:val="482"/>
        </w:trPr>
        <w:tc>
          <w:tcPr>
            <w:tcW w:w="600" w:type="dxa"/>
          </w:tcPr>
          <w:p w14:paraId="2AE07351" w14:textId="77777777" w:rsidR="00876E13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I-16</w:t>
            </w:r>
          </w:p>
        </w:tc>
        <w:tc>
          <w:tcPr>
            <w:tcW w:w="1300" w:type="dxa"/>
          </w:tcPr>
          <w:p w14:paraId="7FB4AAB6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Repartidores subcontratados</w:t>
            </w:r>
          </w:p>
        </w:tc>
        <w:tc>
          <w:tcPr>
            <w:tcW w:w="1550" w:type="dxa"/>
          </w:tcPr>
          <w:p w14:paraId="51060279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 xml:space="preserve">Empresas de reparto subcontratadas por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(no nombradas)</w:t>
            </w:r>
          </w:p>
        </w:tc>
        <w:tc>
          <w:tcPr>
            <w:tcW w:w="1550" w:type="dxa"/>
          </w:tcPr>
          <w:p w14:paraId="6E99CD9F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2100" w:type="dxa"/>
          </w:tcPr>
          <w:p w14:paraId="1D723BA8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Entregan los pedidos a domicilio. El reparto queda fuera del proyecto, salvo la asignación de cada pedido a un repartidor. Reciben la guía para repartidores.</w:t>
            </w:r>
          </w:p>
        </w:tc>
        <w:tc>
          <w:tcPr>
            <w:tcW w:w="1800" w:type="dxa"/>
          </w:tcPr>
          <w:p w14:paraId="42676F47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Baja.</w:t>
            </w:r>
            <w:r>
              <w:rPr>
                <w:sz w:val="17"/>
                <w:szCs w:val="17"/>
              </w:rPr>
              <w:t xml:space="preserve"> La gestión del reparto está excluida; solo les alcanza a través de los datos que </w:t>
            </w:r>
            <w:proofErr w:type="spellStart"/>
            <w:r>
              <w:rPr>
                <w:sz w:val="17"/>
                <w:szCs w:val="17"/>
              </w:rPr>
              <w:t>TuSuper</w:t>
            </w:r>
            <w:proofErr w:type="spellEnd"/>
            <w:r>
              <w:rPr>
                <w:sz w:val="17"/>
                <w:szCs w:val="17"/>
              </w:rPr>
              <w:t xml:space="preserve"> facilita (RF-05.4 y RF-06.4).</w:t>
            </w:r>
          </w:p>
        </w:tc>
        <w:tc>
          <w:tcPr>
            <w:tcW w:w="2320" w:type="dxa"/>
          </w:tcPr>
          <w:p w14:paraId="1524C911" w14:textId="77777777" w:rsidR="00876E13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Contar con la guía para repartidores (anexo I, apartado 4).</w:t>
            </w:r>
          </w:p>
          <w:p w14:paraId="3F425596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sz w:val="17"/>
                <w:szCs w:val="17"/>
              </w:rPr>
              <w:t>Recibir pedidos asignados con datos de entrega claros (deducido).</w:t>
            </w:r>
          </w:p>
        </w:tc>
        <w:tc>
          <w:tcPr>
            <w:tcW w:w="1450" w:type="dxa"/>
          </w:tcPr>
          <w:p w14:paraId="6EDA2F1C" w14:textId="77777777" w:rsidR="00876E13" w:rsidRDefault="00000000">
            <w:pPr>
              <w:rPr>
                <w:sz w:val="19"/>
                <w:szCs w:val="19"/>
              </w:rPr>
            </w:pPr>
            <w:r>
              <w:rPr>
                <w:b/>
                <w:sz w:val="17"/>
                <w:szCs w:val="17"/>
              </w:rPr>
              <w:t>Monitorizar</w:t>
            </w:r>
          </w:p>
        </w:tc>
        <w:tc>
          <w:tcPr>
            <w:tcW w:w="1900" w:type="dxa"/>
          </w:tcPr>
          <w:p w14:paraId="434E3A49" w14:textId="77777777" w:rsidR="00876E13" w:rsidRDefault="00876E13">
            <w:pPr>
              <w:rPr>
                <w:sz w:val="19"/>
                <w:szCs w:val="19"/>
              </w:rPr>
            </w:pPr>
          </w:p>
        </w:tc>
      </w:tr>
    </w:tbl>
    <w:p w14:paraId="4A555468" w14:textId="77777777" w:rsidR="00876E13" w:rsidRDefault="00876E13">
      <w:pPr>
        <w:spacing w:after="0"/>
        <w:rPr>
          <w:sz w:val="12"/>
          <w:szCs w:val="12"/>
        </w:rPr>
      </w:pPr>
    </w:p>
    <w:sectPr w:rsidR="00876E13" w:rsidSect="00FA7A18">
      <w:headerReference w:type="default" r:id="rId7"/>
      <w:footerReference w:type="default" r:id="rId8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10936" w14:textId="77777777" w:rsidR="0091338D" w:rsidRDefault="0091338D" w:rsidP="00837F2F">
      <w:pPr>
        <w:spacing w:after="0" w:line="240" w:lineRule="auto"/>
      </w:pPr>
      <w:r>
        <w:separator/>
      </w:r>
    </w:p>
  </w:endnote>
  <w:endnote w:type="continuationSeparator" w:id="0">
    <w:p w14:paraId="4939FB39" w14:textId="77777777" w:rsidR="0091338D" w:rsidRDefault="0091338D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876E13" w14:paraId="7EDB680D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0621E985" w14:textId="77777777" w:rsidR="00876E13" w:rsidRDefault="00876E13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5E0848BD" w14:textId="77777777" w:rsidR="00876E13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Registro de interesados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4233C26B" w14:textId="77777777" w:rsidR="00876E13" w:rsidRDefault="00876E13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CB591" w14:textId="77777777" w:rsidR="0091338D" w:rsidRDefault="0091338D" w:rsidP="00837F2F">
      <w:pPr>
        <w:spacing w:after="0" w:line="240" w:lineRule="auto"/>
      </w:pPr>
      <w:r>
        <w:separator/>
      </w:r>
    </w:p>
  </w:footnote>
  <w:footnote w:type="continuationSeparator" w:id="0">
    <w:p w14:paraId="1195F313" w14:textId="77777777" w:rsidR="0091338D" w:rsidRDefault="0091338D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44DA" w14:textId="77777777" w:rsidR="00876E13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Registro de interesados</w:t>
    </w:r>
  </w:p>
  <w:p w14:paraId="1DB70F87" w14:textId="77777777" w:rsidR="00876E13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10822"/>
    <w:multiLevelType w:val="multilevel"/>
    <w:tmpl w:val="609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F1ED4"/>
    <w:multiLevelType w:val="multilevel"/>
    <w:tmpl w:val="B61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45691"/>
    <w:multiLevelType w:val="hybridMultilevel"/>
    <w:tmpl w:val="D5E41646"/>
    <w:lvl w:ilvl="0" w:tplc="2C7AC3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835D3"/>
    <w:multiLevelType w:val="multilevel"/>
    <w:tmpl w:val="15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63726">
    <w:abstractNumId w:val="3"/>
  </w:num>
  <w:num w:numId="2" w16cid:durableId="2013484942">
    <w:abstractNumId w:val="1"/>
  </w:num>
  <w:num w:numId="3" w16cid:durableId="913929046">
    <w:abstractNumId w:val="0"/>
  </w:num>
  <w:num w:numId="4" w16cid:durableId="1029794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E6155"/>
    <w:rsid w:val="001025F0"/>
    <w:rsid w:val="00105DAE"/>
    <w:rsid w:val="001114F6"/>
    <w:rsid w:val="001271B4"/>
    <w:rsid w:val="00131E1D"/>
    <w:rsid w:val="00134B40"/>
    <w:rsid w:val="00153ABB"/>
    <w:rsid w:val="00162139"/>
    <w:rsid w:val="001A709F"/>
    <w:rsid w:val="001E2CEF"/>
    <w:rsid w:val="00204A21"/>
    <w:rsid w:val="002064D6"/>
    <w:rsid w:val="00216103"/>
    <w:rsid w:val="00217C94"/>
    <w:rsid w:val="0028298D"/>
    <w:rsid w:val="00296934"/>
    <w:rsid w:val="002E1AD4"/>
    <w:rsid w:val="00323D9C"/>
    <w:rsid w:val="00355532"/>
    <w:rsid w:val="00387B0B"/>
    <w:rsid w:val="003A146C"/>
    <w:rsid w:val="003C5089"/>
    <w:rsid w:val="003D218D"/>
    <w:rsid w:val="003D327D"/>
    <w:rsid w:val="003E16E9"/>
    <w:rsid w:val="004018F6"/>
    <w:rsid w:val="00456964"/>
    <w:rsid w:val="0047015A"/>
    <w:rsid w:val="00476230"/>
    <w:rsid w:val="004D078B"/>
    <w:rsid w:val="0051331B"/>
    <w:rsid w:val="0055087B"/>
    <w:rsid w:val="00574485"/>
    <w:rsid w:val="00575A30"/>
    <w:rsid w:val="005910C2"/>
    <w:rsid w:val="005C6798"/>
    <w:rsid w:val="00615B65"/>
    <w:rsid w:val="00644F74"/>
    <w:rsid w:val="0064503C"/>
    <w:rsid w:val="00660520"/>
    <w:rsid w:val="00671045"/>
    <w:rsid w:val="0067414F"/>
    <w:rsid w:val="006913BA"/>
    <w:rsid w:val="006B191B"/>
    <w:rsid w:val="006B2A51"/>
    <w:rsid w:val="006C6559"/>
    <w:rsid w:val="006D1845"/>
    <w:rsid w:val="007212BA"/>
    <w:rsid w:val="00741E83"/>
    <w:rsid w:val="00763B75"/>
    <w:rsid w:val="00775792"/>
    <w:rsid w:val="0079596E"/>
    <w:rsid w:val="00796E26"/>
    <w:rsid w:val="00796EAD"/>
    <w:rsid w:val="007C620A"/>
    <w:rsid w:val="0081179D"/>
    <w:rsid w:val="00832746"/>
    <w:rsid w:val="00837F2F"/>
    <w:rsid w:val="00876E13"/>
    <w:rsid w:val="00891B24"/>
    <w:rsid w:val="008958E4"/>
    <w:rsid w:val="008B708A"/>
    <w:rsid w:val="00905668"/>
    <w:rsid w:val="00911C3A"/>
    <w:rsid w:val="0091338D"/>
    <w:rsid w:val="00921038"/>
    <w:rsid w:val="00924DFE"/>
    <w:rsid w:val="0095401D"/>
    <w:rsid w:val="009608C2"/>
    <w:rsid w:val="0099587A"/>
    <w:rsid w:val="009B57BF"/>
    <w:rsid w:val="00A215BD"/>
    <w:rsid w:val="00A4245B"/>
    <w:rsid w:val="00A45DF9"/>
    <w:rsid w:val="00A53DAB"/>
    <w:rsid w:val="00A95442"/>
    <w:rsid w:val="00AA2C51"/>
    <w:rsid w:val="00AC7789"/>
    <w:rsid w:val="00AD5DD1"/>
    <w:rsid w:val="00B327EF"/>
    <w:rsid w:val="00B544BF"/>
    <w:rsid w:val="00B57964"/>
    <w:rsid w:val="00B74C0B"/>
    <w:rsid w:val="00B9565E"/>
    <w:rsid w:val="00B95FB6"/>
    <w:rsid w:val="00BD4FA7"/>
    <w:rsid w:val="00BE3CDA"/>
    <w:rsid w:val="00BF037F"/>
    <w:rsid w:val="00BF6C6F"/>
    <w:rsid w:val="00C441A8"/>
    <w:rsid w:val="00C479B5"/>
    <w:rsid w:val="00C769CD"/>
    <w:rsid w:val="00CB54FD"/>
    <w:rsid w:val="00CC356B"/>
    <w:rsid w:val="00CE7226"/>
    <w:rsid w:val="00CF46C3"/>
    <w:rsid w:val="00CF78D0"/>
    <w:rsid w:val="00D00E45"/>
    <w:rsid w:val="00D22DE6"/>
    <w:rsid w:val="00D51CAC"/>
    <w:rsid w:val="00DA27AF"/>
    <w:rsid w:val="00DB6F11"/>
    <w:rsid w:val="00DE7D9A"/>
    <w:rsid w:val="00DF09F4"/>
    <w:rsid w:val="00E247D6"/>
    <w:rsid w:val="00E2781A"/>
    <w:rsid w:val="00E566F8"/>
    <w:rsid w:val="00EA25E4"/>
    <w:rsid w:val="00EA3789"/>
    <w:rsid w:val="00EA4A2A"/>
    <w:rsid w:val="00EE202B"/>
    <w:rsid w:val="00EF1A26"/>
    <w:rsid w:val="00F10776"/>
    <w:rsid w:val="00F27FD9"/>
    <w:rsid w:val="00F4542C"/>
    <w:rsid w:val="00F76F0A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32BBF"/>
  <w15:docId w15:val="{54518B1F-05FC-447D-B925-BFC82AF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D32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2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1C3A"/>
    <w:pPr>
      <w:ind w:left="720"/>
      <w:contextualSpacing/>
    </w:pPr>
  </w:style>
  <w:style w:type="paragraph" w:styleId="Sinespaciado">
    <w:name w:val="No Spacing"/>
    <w:uiPriority w:val="1"/>
    <w:qFormat/>
    <w:rsid w:val="006C6559"/>
    <w:pPr>
      <w:spacing w:after="0" w:line="240" w:lineRule="auto"/>
    </w:pPr>
  </w:style>
  <w:style w:type="paragraph" w:styleId="Revisin">
    <w:name w:val="Revision"/>
    <w:hidden/>
    <w:uiPriority w:val="99"/>
    <w:semiHidden/>
    <w:rsid w:val="002E1AD4"/>
    <w:pPr>
      <w:spacing w:after="0" w:line="240" w:lineRule="auto"/>
    </w:pPr>
    <w:rPr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1986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 de interesados · plantilla v4</vt:lpstr>
    </vt:vector>
  </TitlesOfParts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interesados · plantilla v4</dc:title>
  <dc:subject>Plantilla de proyecto de Taracea</dc:subject>
  <dc:creator>Oficina de Proyectos · Taracea</dc:creator>
  <cp:keywords>plantilla</cp:keywords>
  <dc:description/>
  <cp:lastModifiedBy>Bta Master</cp:lastModifiedBy>
  <cp:revision>9</cp:revision>
  <dcterms:created xsi:type="dcterms:W3CDTF">2026-10-02T09:30:00Z</dcterms:created>
  <dcterms:modified xsi:type="dcterms:W3CDTF">2026-10-02T15:14:00Z</dcterms:modified>
  <cp:category>Plantilla de la consultora</cp:category>
  <cp:contentStatus/>
  <dc:language>es-ES</dc:language>
</cp:coreProperties>
</file>