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type="dxa" w:w="14570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607"/>
        <w:gridCol w:w="4677"/>
        <w:gridCol w:w="2607"/>
        <w:gridCol w:w="4679"/>
      </w:tblGrid>
      <w:tr>
        <w:trPr>
          <w:cantSplit/>
          <w:trHeight w:val="425" w:hRule="atLeast"/>
        </w:trPr>
        <w:tc>
          <w:tcPr>
            <w:tcW w:type="dxa" w:w="2607"/>
            <w:shd w:val="clear" w:color="auto" w:fill="F2F2F2"/>
            <w:vAlign w:val="center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Proyecto</w:t>
            </w:r>
          </w:p>
        </w:tc>
        <w:tc>
          <w:tcPr>
            <w:tcW w:type="dxa" w:w="467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9"/>
              </w:rPr>
              <w:t>TuSuper en línea</w:t>
            </w:r>
          </w:p>
        </w:tc>
        <w:tc>
          <w:tcPr>
            <w:tcW w:type="dxa" w:w="2607"/>
            <w:shd w:val="clear" w:color="auto" w:fill="F2F2F2"/>
            <w:vAlign w:val="center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Código del proyecto</w:t>
            </w:r>
          </w:p>
        </w:tc>
        <w:tc>
          <w:tcPr>
            <w:tcW w:type="dxa" w:w="4679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9"/>
              </w:rPr>
              <w:t>TSL-2627</w:t>
            </w:r>
          </w:p>
        </w:tc>
      </w:tr>
      <w:tr>
        <w:trPr>
          <w:cantSplit/>
          <w:trHeight w:val="425" w:hRule="atLeast"/>
        </w:trPr>
        <w:tc>
          <w:tcPr>
            <w:tcW w:type="dxa" w:w="2607"/>
            <w:shd w:val="clear" w:color="auto" w:fill="F2F2F2"/>
            <w:vAlign w:val="center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Grupo</w:t>
            </w:r>
          </w:p>
        </w:tc>
        <w:tc>
          <w:tcPr>
            <w:tcW w:type="dxa" w:w="4677"/>
            <w:vAlign w:val="center"/>
          </w:tcPr>
          <w:p>
            <w:r>
              <w:rPr>
                <w:sz w:val="16"/>
              </w:rPr>
              <w:t>PGPI-208</w:t>
            </w:r>
          </w:p>
        </w:tc>
        <w:tc>
          <w:tcPr>
            <w:tcW w:type="dxa" w:w="2607"/>
            <w:shd w:val="clear" w:color="auto" w:fill="F2F2F2"/>
            <w:vAlign w:val="center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Documento y versión</w:t>
            </w:r>
          </w:p>
        </w:tc>
        <w:tc>
          <w:tcPr>
            <w:tcW w:type="dxa" w:w="4679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9"/>
              </w:rPr>
              <w:t>Registro de supuestos · v1.0</w:t>
            </w:r>
          </w:p>
        </w:tc>
      </w:tr>
      <w:tr>
        <w:trPr>
          <w:cantSplit/>
          <w:trHeight w:val="425" w:hRule="atLeast"/>
        </w:trPr>
        <w:tc>
          <w:tcPr>
            <w:tcW w:type="dxa" w:w="2607"/>
            <w:shd w:val="clear" w:color="auto" w:fill="F2F2F2"/>
            <w:vAlign w:val="center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Fecha de elaboración</w:t>
            </w:r>
          </w:p>
        </w:tc>
        <w:tc>
          <w:tcPr>
            <w:tcW w:type="dxa" w:w="467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9"/>
              </w:rPr>
              <w:t>01/10/2026</w:t>
            </w:r>
          </w:p>
        </w:tc>
        <w:tc>
          <w:tcPr>
            <w:tcW w:type="dxa" w:w="2607"/>
            <w:shd w:val="clear" w:color="auto" w:fill="F2F2F2"/>
            <w:vAlign w:val="center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Aprobado por</w:t>
            </w:r>
          </w:p>
        </w:tc>
        <w:tc>
          <w:tcPr>
            <w:tcW w:type="dxa" w:w="4679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9"/>
              </w:rPr>
              <w:t>Director del proyecto</w:t>
            </w:r>
          </w:p>
        </w:tc>
      </w:tr>
      <w:tr>
        <w:trPr>
          <w:cantSplit/>
          <w:trHeight w:val="425" w:hRule="atLeast"/>
        </w:trPr>
        <w:tc>
          <w:tcPr>
            <w:tcW w:type="dxa" w:w="2607"/>
            <w:shd w:val="clear" w:color="auto" w:fill="F2F2F2"/>
            <w:vAlign w:val="center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Elaborado por</w:t>
            </w:r>
          </w:p>
        </w:tc>
        <w:tc>
          <w:tcPr>
            <w:tcW w:type="dxa" w:w="11963"/>
            <w:gridSpan w:val="3"/>
            <w:vAlign w:val="center"/>
          </w:tcPr>
          <w:p>
            <w:r>
              <w:rPr>
                <w:sz w:val="16"/>
              </w:rPr>
              <w:t>Daniel Salado Hidalgo (director de proyecto)</w:t>
              <w:br/>
              <w:t>Carlos Ruiz-Mateos Valdivieso (experto)</w:t>
              <w:br/>
              <w:t>Carlos Vázquez Palomero (experto)</w:t>
              <w:br/>
              <w:t>Emilio Metro Álvarez (experto)</w:t>
            </w:r>
          </w:p>
        </w:tc>
      </w:tr>
    </w:tbl>
    <w:p>
      <w:pPr>
        <w:spacing w:after="0" w:before="0"/>
        <w:rPr>
          <w:sz w:val="12"/>
          <w:szCs w:val="12"/>
        </w:rPr>
      </w:pPr>
    </w:p>
    <w:p>
      <w:pPr>
        <w:keepNext/>
        <w:shd w:val="clear" w:color="auto" w:fill="DCE6E8"/>
        <w:spacing w:after="0"/>
        <w:outlineLvl w:val="1"/>
        <w:rPr>
          <w:b/>
          <w:color w:val="1F4E5A"/>
          <w:sz w:val="21"/>
          <w:szCs w:val="21"/>
        </w:rPr>
      </w:pPr>
      <w:r>
        <w:rPr>
          <w:b/>
          <w:color w:val="1F4E5A"/>
          <w:sz w:val="21"/>
          <w:szCs w:val="21"/>
        </w:rPr>
        <w:t>HISTÓRICO DE MODIFICACIONES DEL DOCUMENTO</w:t>
      </w:r>
    </w:p>
    <w:tbl>
      <w:tblPr>
        <w:tblStyle w:val="Tablaconcuadrcula"/>
        <w:tblW w:type="dxa" w:w="14570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1587"/>
        <w:gridCol w:w="3118"/>
        <w:gridCol w:w="8618"/>
      </w:tblGrid>
      <w:tr>
        <w:trPr>
          <w:cantSplit/>
          <w:tblHeader/>
        </w:trPr>
        <w:tc>
          <w:tcPr>
            <w:tcW w:type="dxa" w:w="1247"/>
            <w:shd w:val="clear" w:color="auto" w:fill="DCE6E8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color w:val="1F4E5A"/>
                <w:sz w:val="19"/>
                <w:szCs w:val="19"/>
              </w:rPr>
              <w:t>Versión</w:t>
            </w:r>
          </w:p>
        </w:tc>
        <w:tc>
          <w:tcPr>
            <w:tcW w:type="dxa" w:w="1587"/>
            <w:shd w:val="clear" w:color="auto" w:fill="DCE6E8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color w:val="1F4E5A"/>
                <w:sz w:val="19"/>
                <w:szCs w:val="19"/>
              </w:rPr>
              <w:t>Fecha</w:t>
            </w:r>
          </w:p>
        </w:tc>
        <w:tc>
          <w:tcPr>
            <w:tcW w:type="dxa" w:w="3118"/>
            <w:shd w:val="clear" w:color="auto" w:fill="DCE6E8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color w:val="1F4E5A"/>
                <w:sz w:val="19"/>
                <w:szCs w:val="19"/>
              </w:rPr>
              <w:t>Realizada por</w:t>
            </w:r>
          </w:p>
        </w:tc>
        <w:tc>
          <w:tcPr>
            <w:tcW w:type="dxa" w:w="8618"/>
            <w:shd w:val="clear" w:color="auto" w:fill="DCE6E8"/>
          </w:tcPr>
          <w:p>
            <w:pPr>
              <w:spacing w:after="0" w:before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color w:val="1F4E5A"/>
                <w:sz w:val="19"/>
                <w:szCs w:val="19"/>
              </w:rPr>
              <w:t>Breve descripción de los cambios</w:t>
            </w:r>
          </w:p>
        </w:tc>
      </w:tr>
      <w:tr>
        <w:trPr>
          <w:cantSplit/>
          <w:trHeight w:val="340" w:hRule="atLeast"/>
        </w:trPr>
        <w:tc>
          <w:tcPr>
            <w:tcW w:type="dxa" w:w="124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9"/>
              </w:rPr>
              <w:t>v1.0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9"/>
              </w:rPr>
              <w:t>01/10/2026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16"/>
              </w:rPr>
              <w:t>CRMV</w:t>
            </w:r>
          </w:p>
        </w:tc>
        <w:tc>
          <w:tcPr>
            <w:tcW w:type="dxa" w:w="8618"/>
            <w:vAlign w:val="center"/>
          </w:tcPr>
          <w:p>
            <w:r>
              <w:rPr>
                <w:sz w:val="16"/>
              </w:rPr>
              <w:t>Primera versión del Registro de supuestos y restricciones, actualizada con el Plan de dirección del proyecto v1.0, el Acta de constitución, las normas internas y los calendarios laborales 2026-2027.</w:t>
            </w:r>
          </w:p>
        </w:tc>
      </w:tr>
      <w:tr>
        <w:trPr>
          <w:cantSplit/>
          <w:trHeight w:val="340" w:hRule="atLeast"/>
        </w:trPr>
        <w:tc>
          <w:tcPr>
            <w:tcW w:type="dxa" w:w="124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311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861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9"/>
              </w:rPr>
            </w:r>
          </w:p>
        </w:tc>
      </w:tr>
      <w:tr>
        <w:trPr>
          <w:cantSplit/>
          <w:trHeight w:val="340" w:hRule="atLeast"/>
        </w:trPr>
        <w:tc>
          <w:tcPr>
            <w:tcW w:type="dxa" w:w="124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311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9"/>
              </w:rPr>
            </w:r>
          </w:p>
        </w:tc>
        <w:tc>
          <w:tcPr>
            <w:tcW w:type="dxa" w:w="861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9"/>
              </w:rPr>
            </w:r>
          </w:p>
        </w:tc>
      </w:tr>
    </w:tbl>
    <w:p>
      <w:pPr>
        <w:spacing w:after="0" w:before="0"/>
        <w:rPr>
          <w:sz w:val="12"/>
          <w:szCs w:val="12"/>
        </w:rPr>
      </w:pPr>
    </w:p>
    <w:p>
      <w:pPr>
        <w:spacing w:after="0" w:before="0"/>
        <w:rPr>
          <w:sz w:val="12"/>
          <w:szCs w:val="12"/>
        </w:rPr>
      </w:pPr>
    </w:p>
    <w:p>
      <w:pPr>
        <w:keepNext/>
        <w:pageBreakBefore/>
        <w:shd w:val="clear" w:color="auto" w:fill="DCE6E8"/>
        <w:spacing w:after="0"/>
        <w:outlineLvl w:val="1"/>
        <w:rPr>
          <w:b/>
          <w:color w:val="1F4E5A"/>
          <w:sz w:val="21"/>
          <w:szCs w:val="21"/>
        </w:rPr>
      </w:pPr>
      <w:r>
        <w:rPr>
          <w:b/>
          <w:color w:val="1F4E5A"/>
          <w:sz w:val="21"/>
          <w:szCs w:val="21"/>
        </w:rPr>
        <w:t>SUPUESTOS Y RESTRICCIONES</w:t>
      </w:r>
    </w:p>
    <w:p>
      <w:pPr>
        <w:spacing w:after="0" w:before="0"/>
        <w:rPr>
          <w:sz w:val="12"/>
          <w:szCs w:val="12"/>
        </w:rPr>
      </w:pPr>
    </w:p>
    <w:tbl>
      <w:tblPr>
        <w:tblStyle w:val="Tablaconcuadrcula"/>
        <w:tblW w:type="dxa" w:w="14570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737"/>
        <w:gridCol w:w="1247"/>
        <w:gridCol w:w="4535"/>
        <w:gridCol w:w="1927"/>
        <w:gridCol w:w="1587"/>
        <w:gridCol w:w="1360"/>
        <w:gridCol w:w="3177"/>
      </w:tblGrid>
      <w:tr>
        <w:trPr>
          <w:cantSplit/>
          <w:tblHeader/>
          <w:tblHeader w:val="true"/>
        </w:trPr>
        <w:tc>
          <w:tcPr>
            <w:tcW w:type="dxa" w:w="737"/>
            <w:shd w:val="clear" w:color="auto" w:fill="DCE6E8"/>
            <w:vAlign w:val="center"/>
          </w:tcPr>
          <w:p>
            <w:pPr>
              <w:spacing w:after="0" w:before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i w:val="0"/>
                <w:color w:val="1F4E5A"/>
                <w:sz w:val="19"/>
                <w:szCs w:val="19"/>
              </w:rPr>
              <w:t>ID</w:t>
            </w:r>
          </w:p>
        </w:tc>
        <w:tc>
          <w:tcPr>
            <w:tcW w:type="dxa" w:w="1247"/>
            <w:shd w:val="clear" w:color="auto" w:fill="DCE6E8"/>
            <w:vAlign w:val="center"/>
          </w:tcPr>
          <w:p>
            <w:pPr>
              <w:spacing w:after="0" w:before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i w:val="0"/>
                <w:color w:val="1F4E5A"/>
                <w:sz w:val="19"/>
                <w:szCs w:val="19"/>
              </w:rPr>
              <w:t>TIPO</w:t>
            </w:r>
          </w:p>
        </w:tc>
        <w:tc>
          <w:tcPr>
            <w:tcW w:type="dxa" w:w="4535"/>
            <w:shd w:val="clear" w:color="auto" w:fill="DCE6E8"/>
            <w:vAlign w:val="center"/>
          </w:tcPr>
          <w:p>
            <w:pPr>
              <w:spacing w:after="0" w:before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i w:val="0"/>
                <w:color w:val="1F4E5A"/>
                <w:sz w:val="19"/>
                <w:szCs w:val="19"/>
              </w:rPr>
              <w:t>DESCRIPCIÓN</w:t>
            </w:r>
          </w:p>
        </w:tc>
        <w:tc>
          <w:tcPr>
            <w:tcW w:type="dxa" w:w="1927"/>
            <w:shd w:val="clear" w:color="auto" w:fill="DCE6E8"/>
            <w:vAlign w:val="center"/>
          </w:tcPr>
          <w:p>
            <w:pPr>
              <w:spacing w:after="0" w:before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i w:val="0"/>
                <w:color w:val="1F4E5A"/>
                <w:sz w:val="19"/>
                <w:szCs w:val="19"/>
              </w:rPr>
              <w:t>RESPONSABLE</w:t>
            </w:r>
          </w:p>
        </w:tc>
        <w:tc>
          <w:tcPr>
            <w:tcW w:type="dxa" w:w="1587"/>
            <w:shd w:val="clear" w:color="auto" w:fill="DCE6E8"/>
            <w:vAlign w:val="center"/>
          </w:tcPr>
          <w:p>
            <w:pPr>
              <w:spacing w:after="0" w:before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i w:val="0"/>
                <w:color w:val="1F4E5A"/>
                <w:sz w:val="19"/>
                <w:szCs w:val="19"/>
              </w:rPr>
              <w:t>VENCIMIENTO</w:t>
            </w:r>
          </w:p>
        </w:tc>
        <w:tc>
          <w:tcPr>
            <w:tcW w:type="dxa" w:w="1360"/>
            <w:shd w:val="clear" w:color="auto" w:fill="DCE6E8"/>
            <w:vAlign w:val="center"/>
          </w:tcPr>
          <w:p>
            <w:pPr>
              <w:spacing w:after="0" w:before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i w:val="0"/>
                <w:color w:val="1F4E5A"/>
                <w:sz w:val="19"/>
                <w:szCs w:val="19"/>
              </w:rPr>
              <w:t>ESTADO</w:t>
            </w:r>
          </w:p>
        </w:tc>
        <w:tc>
          <w:tcPr>
            <w:tcW w:type="dxa" w:w="3177"/>
            <w:shd w:val="clear" w:color="auto" w:fill="DCE6E8"/>
            <w:vAlign w:val="center"/>
          </w:tcPr>
          <w:p>
            <w:pPr>
              <w:spacing w:after="0" w:before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i w:val="0"/>
                <w:color w:val="1F4E5A"/>
                <w:sz w:val="19"/>
                <w:szCs w:val="19"/>
              </w:rPr>
              <w:t>COMENTARIOS</w:t>
            </w:r>
          </w:p>
        </w:tc>
      </w:tr>
      <w:tr>
        <w:trPr>
          <w:cantSplit/>
          <w:trHeight w:val="567" w:hRule="atLeast"/>
          <w:cantSplit/>
        </w:trPr>
        <w:tc>
          <w:tcPr>
            <w:tcW w:type="dxa" w:w="73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S-01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Restricción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La plataforma debe entrar en explotación con margen suficiente para estabilizarla antes de la campaña de Semana Santa; la fecha de entrada en explotación no admite desplazamiento.</w:t>
            </w:r>
          </w:p>
        </w:tc>
        <w:tc>
          <w:tcPr>
            <w:tcW w:type="dxa" w:w="1927"/>
            <w:vAlign w:val="center"/>
          </w:tcPr>
          <w:p>
            <w:r>
              <w:rPr>
                <w:sz w:val="16"/>
              </w:rPr>
              <w:t>Daniel Salado Hidalgo · director de proyecto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09/03/2027</w:t>
            </w:r>
          </w:p>
        </w:tc>
        <w:tc>
          <w:tcPr>
            <w:tcW w:type="dxa" w:w="1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Vigente</w:t>
            </w:r>
          </w:p>
        </w:tc>
        <w:tc>
          <w:tcPr>
            <w:tcW w:type="dxa" w:w="3177"/>
            <w:vAlign w:val="center"/>
          </w:tcPr>
          <w:p>
            <w:r>
              <w:rPr>
                <w:sz w:val="17"/>
              </w:rPr>
              <w:t>Procede del Acta de constitución. El Plan fija la entrada en explotación al finalizar la Fase 4, el 09/03/2027, y una reserva del 10/03/2027 al 23/03/2027 para estabilización antes de Semana Santa.</w:t>
            </w:r>
          </w:p>
        </w:tc>
      </w:tr>
      <w:tr>
        <w:trPr>
          <w:cantSplit/>
          <w:trHeight w:val="567" w:hRule="atLeast"/>
          <w:cantSplit/>
        </w:trPr>
        <w:tc>
          <w:tcPr>
            <w:tcW w:type="dxa" w:w="73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S-02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Restricción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El contrato con TuSuper es a precio cerrado.</w:t>
            </w:r>
          </w:p>
        </w:tc>
        <w:tc>
          <w:tcPr>
            <w:tcW w:type="dxa" w:w="1927"/>
            <w:vAlign w:val="center"/>
          </w:tcPr>
          <w:p>
            <w:r>
              <w:rPr>
                <w:sz w:val="16"/>
              </w:rPr>
              <w:t>Daniel Salado Hidalgo · director de proyecto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Cierre del proyecto</w:t>
            </w:r>
          </w:p>
        </w:tc>
        <w:tc>
          <w:tcPr>
            <w:tcW w:type="dxa" w:w="1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Vigente</w:t>
            </w:r>
          </w:p>
        </w:tc>
        <w:tc>
          <w:tcPr>
            <w:tcW w:type="dxa" w:w="317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Procede del Acta de constitución. Obliga a planificar y controlar el proyecto sin superar la línea base de costes aprobada; el Acta fija 120.000 € de línea base y 6.000 € de reserva de gestión.</w:t>
            </w:r>
          </w:p>
        </w:tc>
      </w:tr>
      <w:tr>
        <w:trPr>
          <w:cantSplit/>
          <w:trHeight w:val="567" w:hRule="atLeast"/>
          <w:cantSplit/>
        </w:trPr>
        <w:tc>
          <w:tcPr>
            <w:tcW w:type="dxa" w:w="73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S-03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Restricción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El ERP heredado de TuSuper no puede modificarse.</w:t>
            </w:r>
          </w:p>
        </w:tc>
        <w:tc>
          <w:tcPr>
            <w:tcW w:type="dxa" w:w="1927"/>
            <w:vAlign w:val="center"/>
          </w:tcPr>
          <w:p>
            <w:r>
              <w:rPr>
                <w:sz w:val="16"/>
              </w:rPr>
              <w:t>Carlos Vázquez Palomero · experto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15/12/2026</w:t>
            </w:r>
          </w:p>
        </w:tc>
        <w:tc>
          <w:tcPr>
            <w:tcW w:type="dxa" w:w="1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Vigente</w:t>
            </w:r>
          </w:p>
        </w:tc>
        <w:tc>
          <w:tcPr>
            <w:tcW w:type="dxa" w:w="3177"/>
            <w:vAlign w:val="center"/>
          </w:tcPr>
          <w:p>
            <w:r>
              <w:rPr>
                <w:sz w:val="17"/>
              </w:rPr>
              <w:t>Procede del Acta de constitución. La Fase 2 de integración con el ERP termina el 15/12/2026; la arquitectura y la integración deben adaptarse al ERP existente sin modificarlo.</w:t>
            </w:r>
          </w:p>
        </w:tc>
      </w:tr>
      <w:tr>
        <w:trPr>
          <w:cantSplit/>
          <w:trHeight w:val="567" w:hRule="atLeast"/>
          <w:cantSplit/>
        </w:trPr>
        <w:tc>
          <w:tcPr>
            <w:tcW w:type="dxa" w:w="73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S-04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Restricción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Las solicitudes de personal para la ejecución deben presentarse a la Oficina de Proyectos con un mínimo de diez días naturales de antelación a cada incorporación solicitada.</w:t>
            </w:r>
          </w:p>
        </w:tc>
        <w:tc>
          <w:tcPr>
            <w:tcW w:type="dxa" w:w="1927"/>
            <w:vAlign w:val="center"/>
          </w:tcPr>
          <w:p>
            <w:r>
              <w:rPr>
                <w:sz w:val="16"/>
              </w:rPr>
              <w:t>Daniel Salado Hidalgo · director de proyecto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11/10/2026</w:t>
            </w:r>
          </w:p>
        </w:tc>
        <w:tc>
          <w:tcPr>
            <w:tcW w:type="dxa" w:w="1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Vigente</w:t>
            </w:r>
          </w:p>
        </w:tc>
        <w:tc>
          <w:tcPr>
            <w:tcW w:type="dxa" w:w="3177"/>
            <w:vAlign w:val="center"/>
          </w:tcPr>
          <w:p>
            <w:r>
              <w:rPr>
                <w:sz w:val="17"/>
              </w:rPr>
              <w:t>Procede de NOR-02. Como la ejecución comienza el 21/10/2026, la solicitud del personal necesario para esa incorporación debe presentarse, como mínimo, diez días naturales antes.</w:t>
            </w:r>
          </w:p>
        </w:tc>
      </w:tr>
      <w:tr>
        <w:trPr>
          <w:cantSplit/>
          <w:trHeight w:val="567" w:hRule="atLeast"/>
          <w:cantSplit/>
        </w:trPr>
        <w:tc>
          <w:tcPr>
            <w:tcW w:type="dxa" w:w="73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S-05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Restricción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Cada equipo de trabajo de la consultora debe constituirse con entre tres y cinco miembros y no puede superar cinco miembros simultáneamente.</w:t>
            </w:r>
          </w:p>
        </w:tc>
        <w:tc>
          <w:tcPr>
            <w:tcW w:type="dxa" w:w="1927"/>
            <w:vAlign w:val="center"/>
          </w:tcPr>
          <w:p>
            <w:r>
              <w:rPr>
                <w:sz w:val="16"/>
              </w:rPr>
              <w:t>Carlos Ruiz-Mateos Valdivieso · experto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21/10/2026-09/03/2027</w:t>
            </w:r>
          </w:p>
        </w:tc>
        <w:tc>
          <w:tcPr>
            <w:tcW w:type="dxa" w:w="1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Vigente</w:t>
            </w:r>
          </w:p>
        </w:tc>
        <w:tc>
          <w:tcPr>
            <w:tcW w:type="dxa" w:w="3177"/>
            <w:vAlign w:val="center"/>
          </w:tcPr>
          <w:p>
            <w:r>
              <w:rPr>
                <w:sz w:val="17"/>
              </w:rPr>
              <w:t>Procede de NOR-03. Condiciona la composición de los equipos durante las cuatro fases de ejecución previstas en el Plan de dirección.</w:t>
            </w:r>
          </w:p>
        </w:tc>
      </w:tr>
      <w:tr>
        <w:trPr>
          <w:cantSplit/>
          <w:trHeight w:val="567" w:hRule="atLeast"/>
          <w:cantSplit/>
        </w:trPr>
        <w:tc>
          <w:tcPr>
            <w:tcW w:type="dxa" w:w="73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S-06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Restricción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La consultora no trabaja del 24 de diciembre al 1 de enero, ambos inclusive; esos días no cuentan como tiempo de trabajo del proyecto.</w:t>
            </w:r>
          </w:p>
        </w:tc>
        <w:tc>
          <w:tcPr>
            <w:tcW w:type="dxa" w:w="1927"/>
            <w:vAlign w:val="center"/>
          </w:tcPr>
          <w:p>
            <w:r>
              <w:rPr>
                <w:sz w:val="16"/>
              </w:rPr>
              <w:t>Carlos Ruiz-Mateos Valdivieso · experto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24/12/2026–01/01/2027</w:t>
            </w:r>
          </w:p>
        </w:tc>
        <w:tc>
          <w:tcPr>
            <w:tcW w:type="dxa" w:w="1360"/>
            <w:vAlign w:val="center"/>
          </w:tcPr>
          <w:p>
            <w:r>
              <w:rPr>
                <w:sz w:val="16"/>
              </w:rPr>
              <w:t>Vigente</w:t>
            </w:r>
          </w:p>
        </w:tc>
        <w:tc>
          <w:tcPr>
            <w:tcW w:type="dxa" w:w="3177"/>
            <w:vAlign w:val="center"/>
          </w:tcPr>
          <w:p>
            <w:r>
              <w:rPr>
                <w:sz w:val="16"/>
              </w:rPr>
              <w:t>Procede de NOR-20 y de los calendarios laborales 2026-2027. El cierre del 24/12/2026 al 01/01/2027 no computa como tiempo de trabajo ni puede recuperarse con horas extraordinarias; debe incorporarse al cronograma.</w:t>
            </w:r>
          </w:p>
        </w:tc>
      </w:tr>
      <w:tr>
        <w:trPr>
          <w:cantSplit/>
          <w:trHeight w:val="567" w:hRule="atLeast"/>
          <w:cantSplit/>
        </w:trPr>
        <w:tc>
          <w:tcPr>
            <w:tcW w:type="dxa" w:w="73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S-07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Restricción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La ejecución se organiza en sprints de dos semanas de proyecto, consecutivos, y ningún sprint puede cruzar un hito de certificación.</w:t>
            </w:r>
          </w:p>
        </w:tc>
        <w:tc>
          <w:tcPr>
            <w:tcW w:type="dxa" w:w="1927"/>
            <w:vAlign w:val="center"/>
          </w:tcPr>
          <w:p>
            <w:r>
              <w:rPr>
                <w:sz w:val="16"/>
              </w:rPr>
              <w:t>Emilio Metro Álvarez · experto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21/10/2026-09/03/2027</w:t>
            </w:r>
          </w:p>
        </w:tc>
        <w:tc>
          <w:tcPr>
            <w:tcW w:type="dxa" w:w="1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Vigente</w:t>
            </w:r>
          </w:p>
        </w:tc>
        <w:tc>
          <w:tcPr>
            <w:tcW w:type="dxa" w:w="3177"/>
            <w:vAlign w:val="center"/>
          </w:tcPr>
          <w:p>
            <w:r>
              <w:rPr>
                <w:sz w:val="17"/>
              </w:rPr>
              <w:t>Procede de NOR-25. El Plan distribuye la ejecución en nueve sprints de dos semanas, desde el 21/10/2026 hasta el 09/03/2027, sin cruzar hitos de certificación.</w:t>
            </w:r>
          </w:p>
        </w:tc>
      </w:tr>
      <w:tr>
        <w:trPr>
          <w:cantSplit/>
          <w:trHeight w:val="567" w:hRule="atLeast"/>
          <w:cantSplit/>
        </w:trPr>
        <w:tc>
          <w:tcPr>
            <w:tcW w:type="dxa" w:w="73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S-08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Supuesto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El conector homologado necesario para integrar la plataforma con el ERP estará disponible en la fecha prevista para iniciar la integración.</w:t>
            </w:r>
          </w:p>
        </w:tc>
        <w:tc>
          <w:tcPr>
            <w:tcW w:type="dxa" w:w="1927"/>
            <w:vAlign w:val="center"/>
          </w:tcPr>
          <w:p>
            <w:r>
              <w:rPr>
                <w:sz w:val="16"/>
              </w:rPr>
              <w:t>Carlos Vázquez Palomero · experto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18/11/2026</w:t>
            </w:r>
          </w:p>
        </w:tc>
        <w:tc>
          <w:tcPr>
            <w:tcW w:type="dxa" w:w="1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Abierto</w:t>
            </w:r>
          </w:p>
        </w:tc>
        <w:tc>
          <w:tcPr>
            <w:tcW w:type="dxa" w:w="3177"/>
            <w:vAlign w:val="center"/>
          </w:tcPr>
          <w:p>
            <w:r>
              <w:rPr>
                <w:sz w:val="17"/>
              </w:rPr>
              <w:t>Se adopta para poder iniciar la Fase 2 de Integración con el ERP el 18/11/2026. Está relacionado con el riesgo R-01 del Acta. Si el conector no está disponible, habrá que revisar el cronograma, el plan y el Registro de Riesgos.</w:t>
            </w:r>
          </w:p>
        </w:tc>
      </w:tr>
      <w:tr>
        <w:trPr>
          <w:cantSplit/>
          <w:trHeight w:val="567" w:hRule="atLeast"/>
          <w:cantSplit/>
        </w:trPr>
        <w:tc>
          <w:tcPr>
            <w:tcW w:type="dxa" w:w="73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S-09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Supuesto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El ERP heredado se comportará, durante la integración, conforme a la información técnica disponible en la planificación.</w:t>
            </w:r>
          </w:p>
        </w:tc>
        <w:tc>
          <w:tcPr>
            <w:tcW w:type="dxa" w:w="1927"/>
            <w:vAlign w:val="center"/>
          </w:tcPr>
          <w:p>
            <w:r>
              <w:rPr>
                <w:sz w:val="16"/>
              </w:rPr>
              <w:t>Carlos Vázquez Palomero · experto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15/12/2026</w:t>
            </w:r>
          </w:p>
        </w:tc>
        <w:tc>
          <w:tcPr>
            <w:tcW w:type="dxa" w:w="1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Abierto</w:t>
            </w:r>
          </w:p>
        </w:tc>
        <w:tc>
          <w:tcPr>
            <w:tcW w:type="dxa" w:w="3177"/>
            <w:vAlign w:val="center"/>
          </w:tcPr>
          <w:p>
            <w:r>
              <w:rPr>
                <w:sz w:val="17"/>
              </w:rPr>
              <w:t>Se adopta para estimar y ejecutar la integración. Debe quedar comprobado antes del cierre de la Fase 2 (15/12/2026). Está relacionado con R-03; si se invalida, habrá que revisar arquitectura, estimaciones, cronograma y riesgos.</w:t>
            </w:r>
          </w:p>
        </w:tc>
      </w:tr>
      <w:tr>
        <w:trPr>
          <w:cantSplit/>
          <w:trHeight w:val="567" w:hRule="atLeast"/>
          <w:cantSplit/>
        </w:trPr>
        <w:tc>
          <w:tcPr>
            <w:tcW w:type="dxa" w:w="73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S-10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Supuesto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7"/>
              </w:rPr>
              <w:t>Las tres tiendas del piloto estarán disponibles en las fechas previstas para el despliegue, las pruebas y la formación.</w:t>
            </w:r>
          </w:p>
        </w:tc>
        <w:tc>
          <w:tcPr>
            <w:tcW w:type="dxa" w:w="1927"/>
            <w:vAlign w:val="center"/>
          </w:tcPr>
          <w:p>
            <w:r>
              <w:rPr>
                <w:sz w:val="16"/>
              </w:rPr>
              <w:t>Emilio Metro Álvarez · experto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16/12/2026</w:t>
            </w:r>
          </w:p>
        </w:tc>
        <w:tc>
          <w:tcPr>
            <w:tcW w:type="dxa" w:w="1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7"/>
              </w:rPr>
              <w:t>Abierto</w:t>
            </w:r>
          </w:p>
        </w:tc>
        <w:tc>
          <w:tcPr>
            <w:tcW w:type="dxa" w:w="3177"/>
            <w:vAlign w:val="center"/>
          </w:tcPr>
          <w:p>
            <w:r>
              <w:rPr>
                <w:sz w:val="17"/>
              </w:rPr>
              <w:t>Supuesto necesario para iniciar la Fase 3, que incluye el piloto en tres tiendas, el 16/12/2026. Si no se confirma, habrá que reprogramar el piloto y revisar su impacto sobre la entrada en explotación.</w:t>
            </w:r>
          </w:p>
        </w:tc>
      </w:tr>
      <w:tr>
        <w:trPr>
          <w:cantSplit/>
          <w:trHeight w:val="567" w:hRule="atLeast"/>
          <w:cantSplit/>
        </w:trPr>
        <w:tc>
          <w:tcPr>
            <w:tcW w:type="dxa" w:w="737"/>
            <w:vAlign w:val="center"/>
          </w:tcPr>
          <w:p>
            <w:r>
              <w:rPr>
                <w:sz w:val="16"/>
              </w:rPr>
              <w:t>S-11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Supuesto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7"/>
              </w:rPr>
              <w:t>La fecha de cierre comercial del 15/01/2027, utilizada para planificar la Fase 3, se mantendrá sin cambios.</w:t>
            </w:r>
          </w:p>
        </w:tc>
        <w:tc>
          <w:tcPr>
            <w:tcW w:type="dxa" w:w="1927"/>
            <w:vAlign w:val="center"/>
          </w:tcPr>
          <w:p>
            <w:r>
              <w:rPr>
                <w:sz w:val="16"/>
              </w:rPr>
              <w:t>Daniel Salado Hidalgo · director de proyecto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6"/>
              </w:rPr>
              <w:t>15/01/2027</w:t>
            </w:r>
          </w:p>
        </w:tc>
        <w:tc>
          <w:tcPr>
            <w:tcW w:type="dxa" w:w="1360"/>
            <w:vAlign w:val="center"/>
          </w:tcPr>
          <w:p>
            <w:r>
              <w:rPr>
                <w:sz w:val="16"/>
              </w:rPr>
              <w:t>Abierto</w:t>
            </w:r>
          </w:p>
        </w:tc>
        <w:tc>
          <w:tcPr>
            <w:tcW w:type="dxa" w:w="3177"/>
            <w:vAlign w:val="center"/>
          </w:tcPr>
          <w:p>
            <w:r>
              <w:rPr>
                <w:sz w:val="17"/>
              </w:rPr>
              <w:t>El Plan de dirección cita “SUP-02 (cierre comercial 15/01)” como fuente de la Fase 3. Se registra aquí de forma explícita para que la planificación tenga una referencia comprobable. Si la fecha cambia, deberá revisarse la Fase 3 y su cronograma. En el Plan conviene actualizar la referencia “SUP-02” al identificador S-11 si se refiere a este supuesto.</w:t>
            </w:r>
          </w:p>
        </w:tc>
      </w:tr>
    </w:tbl>
    <w:p>
      <w:pPr>
        <w:spacing w:after="0" w:before="0"/>
        <w:rPr>
          <w:sz w:val="12"/>
          <w:szCs w:val="12"/>
        </w:rPr>
      </w:pPr>
    </w:p>
    <w:sectPr w:rsidR="001114F6" w:rsidSect="00FA7A18">
      <w:headerReference w:type="default" r:id="rId7"/>
      <w:footerReference w:type="default" r:id="rId8"/>
      <w:pgSz w:w="16838" w:h="11906" w:orient="landscape"/>
      <w:pgMar w:top="1134" w:right="1134" w:bottom="1134" w:left="1134" w:header="39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53EF0" w14:textId="77777777" w:rsidR="004C18F6" w:rsidRDefault="004C18F6" w:rsidP="00837F2F">
      <w:pPr>
        <w:spacing w:after="0" w:line="240" w:lineRule="auto"/>
      </w:pPr>
      <w:r>
        <w:separator/>
      </w:r>
    </w:p>
  </w:endnote>
  <w:endnote w:type="continuationSeparator" w:id="0">
    <w:p w14:paraId="02A91E01" w14:textId="77777777" w:rsidR="004C18F6" w:rsidRDefault="004C18F6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type="dxa" w:w="14570"/>
      <w:jc w:val="left"/>
      <w:tblInd w:w="0" w:type="dxa"/>
      <w:tblBorders>
        <w:top w:val="single" w:sz="6" w:space="0" w:color="1F4E5A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  <w:tblCaption w:val="Pie de página"/>
    </w:tblPr>
    <w:tblGrid>
      <w:gridCol w:w="9467"/>
      <w:gridCol w:w="5103"/>
    </w:tblGrid>
    <w:tr>
      <w:tc>
        <w:tcPr>
          <w:tcW w:type="dxa" w:w="9466"/>
          <w:tcMar>
            <w:top w:w="6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ind w:left="0" w:right="0"/>
            <w:jc w:val="left"/>
          </w:pPr>
          <w:r>
            <w:rPr>
              <w:rFonts w:ascii="Calibri" w:hAnsi="Calibri" w:eastAsia="Calibri" w:cs="Calibri"/>
              <w:color w:val="595959"/>
              <w:sz w:val="16"/>
            </w:rPr>
          </w:r>
        </w:p>
      </w:tc>
      <w:tc>
        <w:tcPr>
          <w:tcW w:type="dxa" w:w="5102"/>
          <w:tcMar>
            <w:top w:w="6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ind w:left="0" w:right="0"/>
            <w:jc w:val="right"/>
          </w:pPr>
          <w:r>
            <w:rPr>
              <w:rFonts w:ascii="Calibri" w:hAnsi="Calibri" w:eastAsia="Calibri" w:cs="Calibri"/>
              <w:color w:val="595959"/>
              <w:sz w:val="16"/>
            </w:rPr>
            <w:t xml:space="preserve">Registro de supuestos · Página </w: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begin"/>
          </w:r>
          <w:r>
            <w:rPr>
              <w:rFonts w:ascii="Calibri" w:hAnsi="Calibri" w:eastAsia="Calibri" w:cs="Calibri"/>
              <w:color w:val="595959"/>
              <w:sz w:val="16"/>
            </w:rPr>
            <w:instrText xml:space="preserve"> PAGE \* MERGEFORMAT </w:instrTex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separate"/>
          </w:r>
          <w:r>
            <w:rPr>
              <w:rFonts w:ascii="Calibri" w:hAnsi="Calibri" w:eastAsia="Calibri" w:cs="Calibri"/>
              <w:color w:val="595959"/>
              <w:sz w:val="16"/>
            </w:rPr>
            <w:t>1</w: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end"/>
          </w:r>
          <w:r>
            <w:rPr>
              <w:rFonts w:ascii="Calibri" w:hAnsi="Calibri" w:eastAsia="Calibri" w:cs="Calibri"/>
              <w:color w:val="595959"/>
              <w:sz w:val="16"/>
            </w:rPr>
            <w:t xml:space="preserve"> de </w: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begin"/>
          </w:r>
          <w:r>
            <w:rPr>
              <w:rFonts w:ascii="Calibri" w:hAnsi="Calibri" w:eastAsia="Calibri" w:cs="Calibri"/>
              <w:color w:val="595959"/>
              <w:sz w:val="16"/>
            </w:rPr>
            <w:instrText xml:space="preserve"> NUMPAGES \* MERGEFORMAT </w:instrTex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separate"/>
          </w:r>
          <w:r>
            <w:rPr>
              <w:rFonts w:ascii="Calibri" w:hAnsi="Calibri" w:eastAsia="Calibri" w:cs="Calibri"/>
              <w:color w:val="595959"/>
              <w:sz w:val="16"/>
            </w:rPr>
            <w:t>1</w: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end"/>
          </w:r>
        </w:p>
      </w:tc>
    </w:tr>
  </w:tbl>
  <w:p>
    <w:pPr>
      <w:spacing w:before="0" w:after="0" w:line="20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33E25" w14:textId="77777777" w:rsidR="004C18F6" w:rsidRDefault="004C18F6" w:rsidP="00837F2F">
      <w:pPr>
        <w:spacing w:after="0" w:line="240" w:lineRule="auto"/>
      </w:pPr>
      <w:r>
        <w:separator/>
      </w:r>
    </w:p>
  </w:footnote>
  <w:footnote w:type="continuationSeparator" w:id="0">
    <w:p w14:paraId="3E0E1E10" w14:textId="77777777" w:rsidR="004C18F6" w:rsidRDefault="004C18F6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tabs>
        <w:tab w:pos="14570" w:val="right"/>
      </w:tabs>
      <w:spacing w:before="0" w:after="0" w:line="240" w:lineRule="auto"/>
      <w:ind w:left="0" w:right="0"/>
      <w:jc w:val="left"/>
    </w:pPr>
    <w:r>
      <w:rPr>
        <w:rFonts w:ascii="Calibri" w:hAnsi="Calibri" w:eastAsia="Calibri" w:cs="Calibri"/>
        <w:b/>
        <w:smallCaps/>
        <w:color w:val="1F4E5A"/>
        <w:spacing w:val="40"/>
        <w:sz w:val="28"/>
      </w:rPr>
      <w:t>taracea</w:t>
    </w:r>
    <w:r>
      <w:rPr>
        <w:rFonts w:ascii="Calibri" w:hAnsi="Calibri" w:eastAsia="Calibri" w:cs="Calibri"/>
        <w:sz w:val="28"/>
      </w:rPr>
      <w:tab/>
    </w:r>
    <w:r>
      <w:rPr>
        <w:rFonts w:ascii="Calibri Light" w:hAnsi="Calibri Light" w:eastAsia="Calibri Light" w:cs="Calibri Light"/>
        <w:color w:val="1F4E5A"/>
        <w:sz w:val="26"/>
      </w:rPr>
      <w:t>Registro de supuestos</w:t>
    </w:r>
  </w:p>
  <w:p>
    <w:pPr>
      <w:pBdr>
        <w:bottom w:val="single" w:sz="8" w:space="4" w:color="1F4E5A"/>
      </w:pBdr>
      <w:tabs>
        <w:tab w:pos="14570" w:val="right"/>
      </w:tabs>
      <w:spacing w:before="0" w:after="0" w:line="240" w:lineRule="auto"/>
      <w:ind w:left="0" w:right="0"/>
      <w:jc w:val="left"/>
    </w:pPr>
    <w:r>
      <w:rPr>
        <w:rFonts w:ascii="Calibri" w:hAnsi="Calibri" w:eastAsia="Calibri" w:cs="Calibri"/>
        <w:color w:val="7F7F7F"/>
        <w:spacing w:val="6"/>
        <w:sz w:val="16"/>
      </w:rPr>
      <w:t>consultoría tecnológica</w:t>
    </w:r>
    <w:r>
      <w:rPr>
        <w:rFonts w:ascii="Calibri" w:hAnsi="Calibri" w:eastAsia="Calibri" w:cs="Calibri"/>
        <w:sz w:val="16"/>
      </w:rPr>
      <w:tab/>
    </w:r>
    <w:r>
      <w:rPr>
        <w:rFonts w:ascii="Calibri" w:hAnsi="Calibri" w:eastAsia="Calibri" w:cs="Calibri"/>
        <w:color w:val="595959"/>
        <w:sz w:val="17"/>
      </w:rPr>
      <w:t>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67BA3"/>
    <w:multiLevelType w:val="multilevel"/>
    <w:tmpl w:val="C1AA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9C2EA3"/>
    <w:multiLevelType w:val="multilevel"/>
    <w:tmpl w:val="C46C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F6A84"/>
    <w:multiLevelType w:val="multilevel"/>
    <w:tmpl w:val="4280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2E35C1"/>
    <w:multiLevelType w:val="multilevel"/>
    <w:tmpl w:val="E052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16DD9"/>
    <w:multiLevelType w:val="multilevel"/>
    <w:tmpl w:val="E298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351CE"/>
    <w:multiLevelType w:val="multilevel"/>
    <w:tmpl w:val="013E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48464F"/>
    <w:multiLevelType w:val="multilevel"/>
    <w:tmpl w:val="01AA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263E0"/>
    <w:multiLevelType w:val="multilevel"/>
    <w:tmpl w:val="CEAC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843072">
    <w:abstractNumId w:val="0"/>
  </w:num>
  <w:num w:numId="2" w16cid:durableId="2047749940">
    <w:abstractNumId w:val="2"/>
  </w:num>
  <w:num w:numId="3" w16cid:durableId="1047876138">
    <w:abstractNumId w:val="1"/>
  </w:num>
  <w:num w:numId="4" w16cid:durableId="1516922169">
    <w:abstractNumId w:val="6"/>
  </w:num>
  <w:num w:numId="5" w16cid:durableId="605696915">
    <w:abstractNumId w:val="4"/>
  </w:num>
  <w:num w:numId="6" w16cid:durableId="1354920544">
    <w:abstractNumId w:val="3"/>
  </w:num>
  <w:num w:numId="7" w16cid:durableId="2000695504">
    <w:abstractNumId w:val="7"/>
  </w:num>
  <w:num w:numId="8" w16cid:durableId="945961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17C94"/>
    <w:rsid w:val="00037805"/>
    <w:rsid w:val="000512B0"/>
    <w:rsid w:val="000710CD"/>
    <w:rsid w:val="000C58ED"/>
    <w:rsid w:val="000E6155"/>
    <w:rsid w:val="001025F0"/>
    <w:rsid w:val="00105DAE"/>
    <w:rsid w:val="001114F6"/>
    <w:rsid w:val="00131E1D"/>
    <w:rsid w:val="00162139"/>
    <w:rsid w:val="001A5F11"/>
    <w:rsid w:val="001E2CEF"/>
    <w:rsid w:val="001F24E4"/>
    <w:rsid w:val="00204A21"/>
    <w:rsid w:val="002064D6"/>
    <w:rsid w:val="00217C94"/>
    <w:rsid w:val="00247239"/>
    <w:rsid w:val="0028298D"/>
    <w:rsid w:val="00296934"/>
    <w:rsid w:val="002A49F5"/>
    <w:rsid w:val="00355532"/>
    <w:rsid w:val="00387B0B"/>
    <w:rsid w:val="003D218D"/>
    <w:rsid w:val="003E16E9"/>
    <w:rsid w:val="00456964"/>
    <w:rsid w:val="00476230"/>
    <w:rsid w:val="004C18F6"/>
    <w:rsid w:val="004D078B"/>
    <w:rsid w:val="0051331B"/>
    <w:rsid w:val="0053487A"/>
    <w:rsid w:val="0055087B"/>
    <w:rsid w:val="005910C2"/>
    <w:rsid w:val="005C6798"/>
    <w:rsid w:val="00615B65"/>
    <w:rsid w:val="0064503C"/>
    <w:rsid w:val="00651AA9"/>
    <w:rsid w:val="00677BEA"/>
    <w:rsid w:val="006913BA"/>
    <w:rsid w:val="006B191B"/>
    <w:rsid w:val="006B2A51"/>
    <w:rsid w:val="00726E96"/>
    <w:rsid w:val="00763B75"/>
    <w:rsid w:val="00775792"/>
    <w:rsid w:val="0079596E"/>
    <w:rsid w:val="00796E26"/>
    <w:rsid w:val="00796EAD"/>
    <w:rsid w:val="007C620A"/>
    <w:rsid w:val="00837F2F"/>
    <w:rsid w:val="00891B24"/>
    <w:rsid w:val="00893ED0"/>
    <w:rsid w:val="008958E4"/>
    <w:rsid w:val="008B708A"/>
    <w:rsid w:val="00921038"/>
    <w:rsid w:val="00924DFE"/>
    <w:rsid w:val="0094087A"/>
    <w:rsid w:val="0095094F"/>
    <w:rsid w:val="0095401D"/>
    <w:rsid w:val="0095413E"/>
    <w:rsid w:val="00960CEE"/>
    <w:rsid w:val="00961F6F"/>
    <w:rsid w:val="0099587A"/>
    <w:rsid w:val="009B57BF"/>
    <w:rsid w:val="00A27105"/>
    <w:rsid w:val="00A45DF9"/>
    <w:rsid w:val="00A76241"/>
    <w:rsid w:val="00A95442"/>
    <w:rsid w:val="00AA2C51"/>
    <w:rsid w:val="00AC7789"/>
    <w:rsid w:val="00AD5DD1"/>
    <w:rsid w:val="00B43B6C"/>
    <w:rsid w:val="00B57964"/>
    <w:rsid w:val="00B95FB6"/>
    <w:rsid w:val="00BD4FA7"/>
    <w:rsid w:val="00BE3CDA"/>
    <w:rsid w:val="00BF037F"/>
    <w:rsid w:val="00C414D1"/>
    <w:rsid w:val="00C441A8"/>
    <w:rsid w:val="00C479B5"/>
    <w:rsid w:val="00C769CD"/>
    <w:rsid w:val="00CB54FD"/>
    <w:rsid w:val="00CE7226"/>
    <w:rsid w:val="00CF46C3"/>
    <w:rsid w:val="00CF78D0"/>
    <w:rsid w:val="00D22DE6"/>
    <w:rsid w:val="00D51CAC"/>
    <w:rsid w:val="00D734B6"/>
    <w:rsid w:val="00DA27AF"/>
    <w:rsid w:val="00DE7D9A"/>
    <w:rsid w:val="00DF09F4"/>
    <w:rsid w:val="00E247D6"/>
    <w:rsid w:val="00E474E7"/>
    <w:rsid w:val="00E566F8"/>
    <w:rsid w:val="00EA25E4"/>
    <w:rsid w:val="00EA4A2A"/>
    <w:rsid w:val="00EC568E"/>
    <w:rsid w:val="00EE202B"/>
    <w:rsid w:val="00EF1A26"/>
    <w:rsid w:val="00F10776"/>
    <w:rsid w:val="00F76F0A"/>
    <w:rsid w:val="00F848A6"/>
    <w:rsid w:val="00F90956"/>
    <w:rsid w:val="00F96C66"/>
    <w:rsid w:val="00FA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37B74E"/>
  <w15:docId w15:val="{54518B1F-05FC-447D-B925-BFC82AF89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1"/>
        <w:szCs w:val="21"/>
        <w:lang w:val="es-ES" w:eastAsia="es-ES" w:bidi="ar-SA"/>
      </w:rPr>
    </w:rPrDefault>
    <w:pPrDefault>
      <w:pPr>
        <w:spacing w:before="0"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/>
    <w:rPr>
      <w:color w:val="1A1A1A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Calibri" w:hAnsi="Calibri" w:cs="Calibri" w:eastAsia="Calibri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Calibri" w:hAnsi="Calibri" w:cs="Calibri" w:eastAsia="Calibri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0C58ED"/>
    <w:pPr>
      <w:spacing w:before="240" w:after="240" w:line="240" w:lineRule="auto"/>
      <w:jc w:val="center"/>
    </w:pPr>
    <w:rPr>
      <w:rFonts w:ascii="Calibri" w:eastAsia="Calibri" w:hAnsi="Calibri" w:cs="Calibri"/>
      <w:b/>
      <w:bCs/>
      <w:sz w:val="44"/>
      <w:szCs w:val="44"/>
      <w:lang w:val="es-ES"/>
    </w:rPr>
  </w:style>
  <w:style w:type="paragraph" w:styleId="Sinespaciado">
    <w:name w:val="No Spacing"/>
    <w:uiPriority w:val="1"/>
    <w:qFormat/>
    <w:rsid w:val="00726E96"/>
    <w:pPr>
      <w:spacing w:after="0" w:afterAutospacing="0" w:line="240" w:lineRule="auto"/>
    </w:pPr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F4E5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Oficina de Proyectos · Taracea</dc:creator>
  <cp:lastModifiedBy>Oficina de Proyectos · Taracea</cp:lastModifiedBy>
  <cp:revision>1</cp:revision>
  <dc:title>Registro de supuestos · plantilla v4</dc:title>
  <dc:subject>Plantilla de proyecto de Taracea</dc:subject>
  <dc:description/>
  <cp:keywords>plantilla</cp:keywords>
  <cp:category>Plantilla de la consultora</cp:category>
  <dc:language>es-ES</dc:language>
  <cp:contentStatus/>
</cp:coreProperties>
</file>