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457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7"/>
        <w:gridCol w:w="4677"/>
        <w:gridCol w:w="2607"/>
        <w:gridCol w:w="4679"/>
      </w:tblGrid>
      <w:tr w14:paraId="57F792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1BC1059D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4677" w:type="dxa"/>
            <w:vAlign w:val="center"/>
          </w:tcPr>
          <w:p w14:paraId="57011F11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TuSuper en línea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6111B08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4679" w:type="dxa"/>
            <w:vAlign w:val="center"/>
          </w:tcPr>
          <w:p w14:paraId="7EAD433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TSL-2627</w:t>
            </w:r>
          </w:p>
        </w:tc>
      </w:tr>
      <w:tr w14:paraId="424BAA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4FABFD07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4677" w:type="dxa"/>
            <w:vAlign w:val="center"/>
          </w:tcPr>
          <w:p w14:paraId="1416E7BD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4DC4EA3E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4679" w:type="dxa"/>
            <w:vAlign w:val="center"/>
          </w:tcPr>
          <w:p w14:paraId="165B294A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Registro de interesados · v1.0</w:t>
            </w:r>
          </w:p>
        </w:tc>
      </w:tr>
      <w:tr w14:paraId="22A8E7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6BD576A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4677" w:type="dxa"/>
            <w:vAlign w:val="center"/>
          </w:tcPr>
          <w:p w14:paraId="7734DB5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02/10/2026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41CEDB17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4679" w:type="dxa"/>
            <w:vAlign w:val="center"/>
          </w:tcPr>
          <w:p w14:paraId="37B7D666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Director del proyecto</w:t>
            </w:r>
          </w:p>
        </w:tc>
      </w:tr>
      <w:tr w14:paraId="1DA988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44B71821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11963" w:type="dxa"/>
            <w:gridSpan w:val="3"/>
            <w:vAlign w:val="center"/>
          </w:tcPr>
          <w:p w14:paraId="3F25869A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Emilio Metro </w:t>
            </w:r>
            <w:r>
              <w:rPr>
                <w:sz w:val="19"/>
                <w:szCs w:val="19"/>
                <w:lang w:val="es-ES"/>
              </w:rPr>
              <w:t>Álvarez</w:t>
            </w:r>
          </w:p>
        </w:tc>
      </w:tr>
    </w:tbl>
    <w:p w14:paraId="0BF5E049">
      <w:pPr>
        <w:spacing w:after="0"/>
        <w:rPr>
          <w:sz w:val="12"/>
          <w:szCs w:val="12"/>
        </w:rPr>
      </w:pPr>
    </w:p>
    <w:p w14:paraId="72AA063E">
      <w:pPr>
        <w:keepNext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t>HISTÓRICO DE MODIFICACIONES DEL DOCUMENTO</w:t>
      </w:r>
    </w:p>
    <w:tbl>
      <w:tblPr>
        <w:tblStyle w:val="8"/>
        <w:tblW w:w="1457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587"/>
        <w:gridCol w:w="3118"/>
        <w:gridCol w:w="8618"/>
      </w:tblGrid>
      <w:tr w14:paraId="40452D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47" w:type="dxa"/>
            <w:shd w:val="clear" w:color="auto" w:fill="DCE6E8"/>
          </w:tcPr>
          <w:p w14:paraId="7FBE5B6D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44C65BCF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08BCEDBE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Realizada por</w:t>
            </w:r>
          </w:p>
        </w:tc>
        <w:tc>
          <w:tcPr>
            <w:tcW w:w="8618" w:type="dxa"/>
            <w:shd w:val="clear" w:color="auto" w:fill="DCE6E8"/>
          </w:tcPr>
          <w:p w14:paraId="52F947D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Breve descripción de los cambios</w:t>
            </w:r>
          </w:p>
        </w:tc>
      </w:tr>
      <w:tr w14:paraId="51A616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1247" w:type="dxa"/>
          </w:tcPr>
          <w:p w14:paraId="38E270FC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v1.0</w:t>
            </w:r>
          </w:p>
        </w:tc>
        <w:tc>
          <w:tcPr>
            <w:tcW w:w="1587" w:type="dxa"/>
          </w:tcPr>
          <w:p w14:paraId="62154D6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  <w:r>
              <w:rPr>
                <w:rFonts w:hint="default"/>
                <w:sz w:val="19"/>
                <w:szCs w:val="19"/>
                <w:lang w:val="es-ES"/>
              </w:rPr>
              <w:t>2</w:t>
            </w:r>
            <w:r>
              <w:rPr>
                <w:sz w:val="19"/>
                <w:szCs w:val="19"/>
              </w:rPr>
              <w:t>/10/2026</w:t>
            </w:r>
          </w:p>
        </w:tc>
        <w:tc>
          <w:tcPr>
            <w:tcW w:w="3118" w:type="dxa"/>
          </w:tcPr>
          <w:p w14:paraId="6646A0A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EMA</w:t>
            </w:r>
          </w:p>
        </w:tc>
        <w:tc>
          <w:tcPr>
            <w:tcW w:w="8618" w:type="dxa"/>
          </w:tcPr>
          <w:p w14:paraId="3E8D669B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Primera versión del documento. Se parte de los cuatro interesados del acta de constitución y se añaden doce identificados en el contrato, la correspondencia con TuSuper, el informe de requisitos y las normas internas. La estrategia de involucramiento queda pendiente para el plan de dirección.</w:t>
            </w:r>
          </w:p>
        </w:tc>
      </w:tr>
      <w:tr w14:paraId="3D6925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1247" w:type="dxa"/>
          </w:tcPr>
          <w:p w14:paraId="3A34AC81">
            <w:pPr>
              <w:spacing w:after="0" w:line="240" w:lineRule="auto"/>
              <w:rPr>
                <w:rFonts w:hint="default"/>
                <w:sz w:val="19"/>
                <w:szCs w:val="19"/>
                <w:lang w:val="es-ES"/>
              </w:rPr>
            </w:pPr>
            <w:r>
              <w:rPr>
                <w:rFonts w:hint="default"/>
                <w:sz w:val="19"/>
                <w:szCs w:val="19"/>
                <w:lang w:val="es-ES"/>
              </w:rPr>
              <w:t>v1.1</w:t>
            </w:r>
          </w:p>
        </w:tc>
        <w:tc>
          <w:tcPr>
            <w:tcW w:w="1587" w:type="dxa"/>
          </w:tcPr>
          <w:p w14:paraId="4DCA96E4">
            <w:pPr>
              <w:spacing w:after="0" w:line="240" w:lineRule="auto"/>
              <w:rPr>
                <w:rFonts w:hint="default"/>
                <w:sz w:val="19"/>
                <w:szCs w:val="19"/>
                <w:lang w:val="es-ES"/>
              </w:rPr>
            </w:pPr>
            <w:r>
              <w:rPr>
                <w:rFonts w:hint="default"/>
                <w:sz w:val="19"/>
                <w:szCs w:val="19"/>
                <w:lang w:val="es-ES"/>
              </w:rPr>
              <w:t>11/10/2026</w:t>
            </w:r>
          </w:p>
        </w:tc>
        <w:tc>
          <w:tcPr>
            <w:tcW w:w="3118" w:type="dxa"/>
          </w:tcPr>
          <w:p w14:paraId="37E0DD9F">
            <w:pPr>
              <w:spacing w:after="0" w:line="240" w:lineRule="auto"/>
              <w:rPr>
                <w:rFonts w:hint="default"/>
                <w:sz w:val="19"/>
                <w:szCs w:val="19"/>
                <w:lang w:val="es-ES"/>
              </w:rPr>
            </w:pPr>
            <w:r>
              <w:rPr>
                <w:rFonts w:hint="default"/>
                <w:sz w:val="19"/>
                <w:szCs w:val="19"/>
                <w:lang w:val="es-ES"/>
              </w:rPr>
              <w:t>EMA</w:t>
            </w:r>
          </w:p>
        </w:tc>
        <w:tc>
          <w:tcPr>
            <w:tcW w:w="8618" w:type="dxa"/>
          </w:tcPr>
          <w:p w14:paraId="5E484E45">
            <w:pPr>
              <w:spacing w:after="0" w:line="240" w:lineRule="auto"/>
              <w:rPr>
                <w:rFonts w:hint="default"/>
                <w:sz w:val="19"/>
                <w:szCs w:val="19"/>
                <w:lang w:val="es-ES"/>
              </w:rPr>
            </w:pPr>
            <w:r>
              <w:rPr>
                <w:rFonts w:hint="default"/>
                <w:sz w:val="19"/>
                <w:szCs w:val="19"/>
                <w:lang w:val="es-ES"/>
              </w:rPr>
              <w:t>Revisión del documento y arreglos de erratas, se eliminan las expectativas y roles deducidos que no constan por escrito.</w:t>
            </w:r>
            <w:bookmarkStart w:id="0" w:name="_GoBack"/>
            <w:bookmarkEnd w:id="0"/>
          </w:p>
        </w:tc>
      </w:tr>
    </w:tbl>
    <w:p w14:paraId="1BEBBE7D">
      <w:pPr>
        <w:spacing w:after="0"/>
        <w:rPr>
          <w:sz w:val="12"/>
          <w:szCs w:val="12"/>
        </w:rPr>
      </w:pPr>
    </w:p>
    <w:p w14:paraId="14DEB02F">
      <w:pPr>
        <w:keepNext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t>INTERESADOS</w:t>
      </w:r>
    </w:p>
    <w:tbl>
      <w:tblPr>
        <w:tblStyle w:val="8"/>
        <w:tblW w:w="1457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300"/>
        <w:gridCol w:w="1550"/>
        <w:gridCol w:w="1478"/>
        <w:gridCol w:w="2172"/>
        <w:gridCol w:w="1800"/>
        <w:gridCol w:w="2320"/>
        <w:gridCol w:w="1450"/>
        <w:gridCol w:w="1900"/>
      </w:tblGrid>
      <w:tr w14:paraId="240720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00" w:type="dxa"/>
            <w:shd w:val="clear" w:color="auto" w:fill="DCE6E8"/>
            <w:vAlign w:val="center"/>
          </w:tcPr>
          <w:p w14:paraId="3E19B179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ID</w:t>
            </w:r>
          </w:p>
        </w:tc>
        <w:tc>
          <w:tcPr>
            <w:tcW w:w="1300" w:type="dxa"/>
            <w:shd w:val="clear" w:color="auto" w:fill="DCE6E8"/>
            <w:vAlign w:val="center"/>
          </w:tcPr>
          <w:p w14:paraId="7ABA43D9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NOMBRE</w:t>
            </w:r>
          </w:p>
        </w:tc>
        <w:tc>
          <w:tcPr>
            <w:tcW w:w="1550" w:type="dxa"/>
            <w:shd w:val="clear" w:color="auto" w:fill="DCE6E8"/>
            <w:vAlign w:val="center"/>
          </w:tcPr>
          <w:p w14:paraId="56C9D451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ORGANIZACIÓN</w:t>
            </w:r>
          </w:p>
        </w:tc>
        <w:tc>
          <w:tcPr>
            <w:tcW w:w="1478" w:type="dxa"/>
            <w:shd w:val="clear" w:color="auto" w:fill="DCE6E8"/>
            <w:vAlign w:val="center"/>
          </w:tcPr>
          <w:p w14:paraId="17E30444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CARGO EN LA ORGANIZACIÓN</w:t>
            </w:r>
          </w:p>
        </w:tc>
        <w:tc>
          <w:tcPr>
            <w:tcW w:w="2172" w:type="dxa"/>
            <w:shd w:val="clear" w:color="auto" w:fill="DCE6E8"/>
            <w:vAlign w:val="center"/>
          </w:tcPr>
          <w:p w14:paraId="7B275A33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ROL EN EL PROYECTO</w:t>
            </w:r>
          </w:p>
        </w:tc>
        <w:tc>
          <w:tcPr>
            <w:tcW w:w="1800" w:type="dxa"/>
            <w:shd w:val="clear" w:color="auto" w:fill="DCE6E8"/>
            <w:vAlign w:val="center"/>
          </w:tcPr>
          <w:p w14:paraId="2FBC4AE4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GRADO DE INFLUENCIA</w:t>
            </w:r>
          </w:p>
        </w:tc>
        <w:tc>
          <w:tcPr>
            <w:tcW w:w="2320" w:type="dxa"/>
            <w:shd w:val="clear" w:color="auto" w:fill="DCE6E8"/>
            <w:vAlign w:val="center"/>
          </w:tcPr>
          <w:p w14:paraId="6591EA1D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EXPECTATIVAS</w:t>
            </w:r>
          </w:p>
        </w:tc>
        <w:tc>
          <w:tcPr>
            <w:tcW w:w="1450" w:type="dxa"/>
            <w:shd w:val="clear" w:color="auto" w:fill="DCE6E8"/>
            <w:vAlign w:val="center"/>
          </w:tcPr>
          <w:p w14:paraId="29CF39D8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CLASIFICACIÓN PODER / INTERÉS</w:t>
            </w:r>
          </w:p>
        </w:tc>
        <w:tc>
          <w:tcPr>
            <w:tcW w:w="1900" w:type="dxa"/>
            <w:shd w:val="clear" w:color="auto" w:fill="C4D6DA"/>
            <w:vAlign w:val="center"/>
          </w:tcPr>
          <w:p w14:paraId="0DEAEF1C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ESTRATEGIA DE INVOLUCRAMIENTO</w:t>
            </w:r>
          </w:p>
          <w:p w14:paraId="08E3BE45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i/>
                <w:color w:val="357080"/>
                <w:sz w:val="19"/>
                <w:szCs w:val="19"/>
              </w:rPr>
              <w:t>al elaborar el plan</w:t>
            </w:r>
          </w:p>
        </w:tc>
      </w:tr>
      <w:tr w14:paraId="6837D0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00" w:type="dxa"/>
          </w:tcPr>
          <w:p w14:paraId="406E1B03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I-01</w:t>
            </w:r>
          </w:p>
        </w:tc>
        <w:tc>
          <w:tcPr>
            <w:tcW w:w="1300" w:type="dxa"/>
          </w:tcPr>
          <w:p w14:paraId="5B0F060C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Director de Cuenta de TuSuper</w:t>
            </w:r>
          </w:p>
        </w:tc>
        <w:tc>
          <w:tcPr>
            <w:tcW w:w="1550" w:type="dxa"/>
          </w:tcPr>
          <w:p w14:paraId="6A67F0E5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Taracea Consultoría Tecnológica, S.L.</w:t>
            </w:r>
          </w:p>
        </w:tc>
        <w:tc>
          <w:tcPr>
            <w:tcW w:w="1478" w:type="dxa"/>
          </w:tcPr>
          <w:p w14:paraId="309168AB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Director de Cuenta de TuSuper</w:t>
            </w:r>
          </w:p>
        </w:tc>
        <w:tc>
          <w:tcPr>
            <w:tcW w:w="2172" w:type="dxa"/>
          </w:tcPr>
          <w:p w14:paraId="55693C0A">
            <w:pPr>
              <w:spacing w:after="3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Patrocinador. Firma el acta y designa al director del proyecto, autoriza el presupuesto y aprueba el plan con sus líneas base. Decide los cambios de alcance y los que ponen en riesgo la fecha de entrada en explotación, los negocia con TuSuper y recibe los informes de seguimiento.</w:t>
            </w:r>
          </w:p>
          <w:p w14:paraId="41313642">
            <w:pPr>
              <w:spacing w:after="0" w:line="240" w:lineRule="auto"/>
              <w:rPr>
                <w:rFonts w:hint="default"/>
                <w:sz w:val="19"/>
                <w:szCs w:val="19"/>
                <w:lang w:val="es-ES"/>
              </w:rPr>
            </w:pPr>
            <w:r>
              <w:rPr>
                <w:sz w:val="17"/>
                <w:szCs w:val="17"/>
              </w:rPr>
              <w:t>Es también el responsable del contrato por Taracea.</w:t>
            </w:r>
            <w:r>
              <w:rPr>
                <w:rFonts w:hint="default"/>
                <w:sz w:val="17"/>
                <w:szCs w:val="17"/>
                <w:lang w:val="es-ES"/>
              </w:rPr>
              <w:t xml:space="preserve"> También responde por escrito a las consultas del director sobre el cliente y el encargo.</w:t>
            </w:r>
          </w:p>
        </w:tc>
        <w:tc>
          <w:tcPr>
            <w:tcW w:w="1800" w:type="dxa"/>
          </w:tcPr>
          <w:p w14:paraId="17FB47AA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Autoridad formal sobre el proyecto y cauce escrito con TuSuper (contrato, cláusula novena).</w:t>
            </w:r>
          </w:p>
        </w:tc>
        <w:tc>
          <w:tcPr>
            <w:tcW w:w="2320" w:type="dxa"/>
          </w:tcPr>
          <w:p w14:paraId="5A190D24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hint="default"/>
                <w:sz w:val="17"/>
                <w:szCs w:val="17"/>
              </w:rPr>
              <w:t>Que se cumplan los criterios de éxito del acta: plataforma en explotación en la fecha acordada, requisitos</w:t>
            </w:r>
            <w:r>
              <w:rPr>
                <w:rFonts w:hint="default"/>
                <w:sz w:val="17"/>
                <w:szCs w:val="17"/>
                <w:lang w:val="es-ES"/>
              </w:rPr>
              <w:t xml:space="preserve"> </w:t>
            </w:r>
            <w:r>
              <w:rPr>
                <w:rFonts w:hint="default"/>
                <w:sz w:val="17"/>
                <w:szCs w:val="17"/>
              </w:rPr>
              <w:t>aceptados, ERP sincronizado y coste dentro de la línea base. Recibir los informes de seguimiento y que se le consulte todo lo que afecte a la fecha.</w:t>
            </w:r>
          </w:p>
        </w:tc>
        <w:tc>
          <w:tcPr>
            <w:tcW w:w="1450" w:type="dxa"/>
          </w:tcPr>
          <w:p w14:paraId="0E1A0389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Gestionar de cerca</w:t>
            </w:r>
          </w:p>
        </w:tc>
        <w:tc>
          <w:tcPr>
            <w:tcW w:w="1900" w:type="dxa"/>
          </w:tcPr>
          <w:p w14:paraId="17065000">
            <w:pPr>
              <w:spacing w:after="0" w:line="240" w:lineRule="auto"/>
              <w:rPr>
                <w:sz w:val="19"/>
                <w:szCs w:val="19"/>
              </w:rPr>
            </w:pPr>
          </w:p>
        </w:tc>
      </w:tr>
      <w:tr w14:paraId="54CA32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00" w:type="dxa"/>
          </w:tcPr>
          <w:p w14:paraId="40443A9E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I-02</w:t>
            </w:r>
          </w:p>
        </w:tc>
        <w:tc>
          <w:tcPr>
            <w:tcW w:w="1300" w:type="dxa"/>
          </w:tcPr>
          <w:p w14:paraId="1489A8C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Dirección de Expansión Digital</w:t>
            </w:r>
          </w:p>
        </w:tc>
        <w:tc>
          <w:tcPr>
            <w:tcW w:w="1550" w:type="dxa"/>
          </w:tcPr>
          <w:p w14:paraId="001B9011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TuSuper, S.A.</w:t>
            </w:r>
          </w:p>
        </w:tc>
        <w:tc>
          <w:tcPr>
            <w:tcW w:w="1478" w:type="dxa"/>
          </w:tcPr>
          <w:p w14:paraId="3C728623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Director de Expansión Digital</w:t>
            </w:r>
          </w:p>
        </w:tc>
        <w:tc>
          <w:tcPr>
            <w:tcW w:w="2172" w:type="dxa"/>
          </w:tcPr>
          <w:p w14:paraId="1090BBC5">
            <w:pPr>
              <w:spacing w:after="3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Cliente. Encarga el proyecto y firma el contrato; es el responsable del contrato por TuSuper. Acepta el calendario y el alcance </w:t>
            </w:r>
            <w:r>
              <w:rPr>
                <w:sz w:val="17"/>
                <w:szCs w:val="17"/>
                <w:lang w:val="es-ES"/>
              </w:rPr>
              <w:t>detallados</w:t>
            </w:r>
            <w:r>
              <w:rPr>
                <w:sz w:val="17"/>
                <w:szCs w:val="17"/>
              </w:rPr>
              <w:t>, firma la aceptación de RF-01 a RF-04 y da su conformidad a los cambios que modifican el contrato.</w:t>
            </w:r>
          </w:p>
          <w:p w14:paraId="1B802845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Tramita el alta de TuSuper en la pasarela de pago y solicita la auditoría </w:t>
            </w:r>
            <w:r>
              <w:rPr>
                <w:sz w:val="17"/>
                <w:szCs w:val="17"/>
                <w:lang w:val="es-ES"/>
              </w:rPr>
              <w:t>del</w:t>
            </w:r>
            <w:r>
              <w:rPr>
                <w:sz w:val="17"/>
                <w:szCs w:val="17"/>
              </w:rPr>
              <w:t xml:space="preserve"> comercio.</w:t>
            </w:r>
          </w:p>
        </w:tc>
        <w:tc>
          <w:tcPr>
            <w:tcW w:w="1800" w:type="dxa"/>
          </w:tcPr>
          <w:p w14:paraId="1E959F48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Firma el contrato, las aceptaciones de su línea y la conformidad a los cambios.</w:t>
            </w:r>
          </w:p>
        </w:tc>
        <w:tc>
          <w:tcPr>
            <w:tcW w:w="2320" w:type="dxa"/>
          </w:tcPr>
          <w:p w14:paraId="46D3F2DC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hint="default"/>
                <w:sz w:val="17"/>
                <w:szCs w:val="17"/>
              </w:rPr>
              <w:t>Abrir el canal de venta antes de la campaña de Semana Santa, con la plataforma en explotación antes del lunes 15/03/2027. El plazo es esencial y su retraso se penaliza. Quiere una plataforma que cumpla los anexos I y II del contrato sin tocar el ERP. Solo decide y acepta en las reuniones de cierre de periodo; las convocatorias entre cierres se devuelven sin tramitar.</w:t>
            </w:r>
          </w:p>
        </w:tc>
        <w:tc>
          <w:tcPr>
            <w:tcW w:w="1450" w:type="dxa"/>
          </w:tcPr>
          <w:p w14:paraId="4C18C3C7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Gestionar de cerca</w:t>
            </w:r>
          </w:p>
        </w:tc>
        <w:tc>
          <w:tcPr>
            <w:tcW w:w="1900" w:type="dxa"/>
          </w:tcPr>
          <w:p w14:paraId="6D1B8BAC">
            <w:pPr>
              <w:spacing w:after="0" w:line="240" w:lineRule="auto"/>
              <w:rPr>
                <w:sz w:val="19"/>
                <w:szCs w:val="19"/>
              </w:rPr>
            </w:pPr>
          </w:p>
        </w:tc>
      </w:tr>
      <w:tr w14:paraId="7077BC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00" w:type="dxa"/>
          </w:tcPr>
          <w:p w14:paraId="6BF7C41A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I-03</w:t>
            </w:r>
          </w:p>
        </w:tc>
        <w:tc>
          <w:tcPr>
            <w:tcW w:w="1300" w:type="dxa"/>
          </w:tcPr>
          <w:p w14:paraId="1B2B126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Fabricante del ERP de TuSuper</w:t>
            </w:r>
          </w:p>
        </w:tc>
        <w:tc>
          <w:tcPr>
            <w:tcW w:w="1550" w:type="dxa"/>
          </w:tcPr>
          <w:p w14:paraId="5E6CF3AB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Fabricante del ERP (empresa externa)</w:t>
            </w:r>
          </w:p>
        </w:tc>
        <w:tc>
          <w:tcPr>
            <w:tcW w:w="1478" w:type="dxa"/>
          </w:tcPr>
          <w:p w14:paraId="14CCDE8F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72" w:type="dxa"/>
          </w:tcPr>
          <w:p w14:paraId="1282DBF5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Da soporte al ERP de TuSuper y homologa a los proveedores de conectores para el ERP.</w:t>
            </w:r>
          </w:p>
        </w:tc>
        <w:tc>
          <w:tcPr>
            <w:tcW w:w="1800" w:type="dxa"/>
          </w:tcPr>
          <w:p w14:paraId="413D0ED6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Solo un conector de proveedor homologado mantiene el ERP en soporte, y TuSuper no admite otro (RT-03). De ello depende el riesgo R-01.</w:t>
            </w:r>
          </w:p>
        </w:tc>
        <w:tc>
          <w:tcPr>
            <w:tcW w:w="2320" w:type="dxa"/>
          </w:tcPr>
          <w:p w14:paraId="610D2049">
            <w:pPr>
              <w:spacing w:after="30" w:line="240" w:lineRule="auto"/>
              <w:rPr>
                <w:rFonts w:hint="default"/>
                <w:sz w:val="19"/>
                <w:szCs w:val="19"/>
                <w:lang w:val="es-ES"/>
              </w:rPr>
            </w:pPr>
            <w:r>
              <w:rPr>
                <w:sz w:val="17"/>
                <w:szCs w:val="17"/>
              </w:rPr>
              <w:t>No constan por escrito.</w:t>
            </w:r>
          </w:p>
        </w:tc>
        <w:tc>
          <w:tcPr>
            <w:tcW w:w="1450" w:type="dxa"/>
          </w:tcPr>
          <w:p w14:paraId="4F9C7CCA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Mantener satisfecho</w:t>
            </w:r>
          </w:p>
        </w:tc>
        <w:tc>
          <w:tcPr>
            <w:tcW w:w="1900" w:type="dxa"/>
          </w:tcPr>
          <w:p w14:paraId="416C3D48">
            <w:pPr>
              <w:spacing w:after="0" w:line="240" w:lineRule="auto"/>
              <w:rPr>
                <w:sz w:val="19"/>
                <w:szCs w:val="19"/>
              </w:rPr>
            </w:pPr>
          </w:p>
        </w:tc>
      </w:tr>
      <w:tr w14:paraId="5A0CB9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00" w:type="dxa"/>
          </w:tcPr>
          <w:p w14:paraId="3C7C4147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I-04</w:t>
            </w:r>
          </w:p>
        </w:tc>
        <w:tc>
          <w:tcPr>
            <w:tcW w:w="1300" w:type="dxa"/>
          </w:tcPr>
          <w:p w14:paraId="05E11CBC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Oficina de Proyectos</w:t>
            </w:r>
          </w:p>
        </w:tc>
        <w:tc>
          <w:tcPr>
            <w:tcW w:w="1550" w:type="dxa"/>
          </w:tcPr>
          <w:p w14:paraId="281806E7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Taracea Consultoría Tecnológica, S.L.</w:t>
            </w:r>
          </w:p>
        </w:tc>
        <w:tc>
          <w:tcPr>
            <w:tcW w:w="1478" w:type="dxa"/>
          </w:tcPr>
          <w:p w14:paraId="3CCDA50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72" w:type="dxa"/>
          </w:tcPr>
          <w:p w14:paraId="38401671">
            <w:pPr>
              <w:spacing w:after="0" w:line="240" w:lineRule="auto"/>
              <w:rPr>
                <w:rFonts w:hint="default"/>
                <w:sz w:val="19"/>
                <w:szCs w:val="19"/>
                <w:lang w:val="es-ES"/>
              </w:rPr>
            </w:pPr>
            <w:r>
              <w:rPr>
                <w:sz w:val="17"/>
                <w:szCs w:val="17"/>
              </w:rPr>
              <w:t xml:space="preserve">Prepara y </w:t>
            </w:r>
            <w:r>
              <w:rPr>
                <w:rFonts w:hint="default"/>
                <w:sz w:val="17"/>
                <w:szCs w:val="17"/>
                <w:lang w:val="es-ES"/>
              </w:rPr>
              <w:t xml:space="preserve">guarda </w:t>
            </w:r>
            <w:r>
              <w:rPr>
                <w:sz w:val="17"/>
                <w:szCs w:val="17"/>
              </w:rPr>
              <w:t>el acta</w:t>
            </w:r>
            <w:r>
              <w:rPr>
                <w:rFonts w:hint="default"/>
                <w:sz w:val="17"/>
                <w:szCs w:val="17"/>
                <w:lang w:val="es-ES"/>
              </w:rPr>
              <w:t>,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hint="default"/>
                <w:sz w:val="17"/>
                <w:szCs w:val="17"/>
                <w:lang w:val="es-ES"/>
              </w:rPr>
              <w:t>asigna el personal de la ejecución y administra la reserva de gestión</w:t>
            </w:r>
            <w:r>
              <w:rPr>
                <w:sz w:val="17"/>
                <w:szCs w:val="17"/>
              </w:rPr>
              <w:t xml:space="preserve">. Decide los cambios que </w:t>
            </w:r>
            <w:r>
              <w:rPr>
                <w:sz w:val="17"/>
                <w:szCs w:val="17"/>
                <w:lang w:val="es-ES"/>
              </w:rPr>
              <w:t>requieren</w:t>
            </w:r>
            <w:r>
              <w:rPr>
                <w:sz w:val="17"/>
                <w:szCs w:val="17"/>
              </w:rPr>
              <w:t xml:space="preserve"> recursos o fondos de esa reserva</w:t>
            </w:r>
            <w:r>
              <w:rPr>
                <w:rFonts w:hint="default"/>
                <w:sz w:val="17"/>
                <w:szCs w:val="17"/>
                <w:lang w:val="es-ES"/>
              </w:rPr>
              <w:t>, responde a las consultas sobre la consultora y comprueba que el plan cumple las normas internas.</w:t>
            </w:r>
          </w:p>
        </w:tc>
        <w:tc>
          <w:tcPr>
            <w:tcW w:w="1800" w:type="dxa"/>
          </w:tcPr>
          <w:p w14:paraId="0DA9C94A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Concede el personal de la ejecución y la reserva de gestión, sin los que el proyecto no puede ejecutarse.</w:t>
            </w:r>
          </w:p>
        </w:tc>
        <w:tc>
          <w:tcPr>
            <w:tcW w:w="2320" w:type="dxa"/>
          </w:tcPr>
          <w:p w14:paraId="08E14665">
            <w:pPr>
              <w:spacing w:after="3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Que el plan cumpla las normas internas, incluidos los mínimos de desglose</w:t>
            </w:r>
            <w:r>
              <w:rPr>
                <w:rFonts w:hint="default"/>
                <w:sz w:val="17"/>
                <w:szCs w:val="17"/>
                <w:lang w:val="es-ES"/>
              </w:rPr>
              <w:t>; si no los alcanza, lo devuelve para replanificar</w:t>
            </w:r>
            <w:r>
              <w:rPr>
                <w:sz w:val="17"/>
                <w:szCs w:val="17"/>
              </w:rPr>
              <w:t>.</w:t>
            </w:r>
            <w:r>
              <w:rPr>
                <w:rFonts w:hint="default"/>
                <w:sz w:val="17"/>
                <w:szCs w:val="17"/>
                <w:lang w:val="es-ES"/>
              </w:rPr>
              <w:t xml:space="preserve"> </w:t>
            </w:r>
            <w:r>
              <w:rPr>
                <w:sz w:val="17"/>
                <w:szCs w:val="17"/>
              </w:rPr>
              <w:t>Que las consultas</w:t>
            </w:r>
            <w:r>
              <w:rPr>
                <w:rFonts w:hint="default"/>
                <w:sz w:val="17"/>
                <w:szCs w:val="17"/>
                <w:lang w:val="es-ES"/>
              </w:rPr>
              <w:t xml:space="preserve"> </w:t>
            </w:r>
            <w:r>
              <w:rPr>
                <w:sz w:val="17"/>
                <w:szCs w:val="17"/>
              </w:rPr>
              <w:t>lleguen por escrito</w:t>
            </w:r>
            <w:r>
              <w:rPr>
                <w:rFonts w:hint="default"/>
                <w:sz w:val="17"/>
                <w:szCs w:val="17"/>
                <w:lang w:val="es-ES"/>
              </w:rPr>
              <w:t xml:space="preserve"> y </w:t>
            </w:r>
            <w:r>
              <w:rPr>
                <w:sz w:val="17"/>
                <w:szCs w:val="17"/>
              </w:rPr>
              <w:t>en sus formularios</w:t>
            </w:r>
            <w:r>
              <w:rPr>
                <w:rFonts w:hint="default"/>
                <w:sz w:val="17"/>
                <w:szCs w:val="17"/>
                <w:lang w:val="es-ES"/>
              </w:rPr>
              <w:t>. Que</w:t>
            </w:r>
            <w:r>
              <w:rPr>
                <w:sz w:val="17"/>
                <w:szCs w:val="17"/>
              </w:rPr>
              <w:t xml:space="preserve"> las</w:t>
            </w:r>
            <w:r>
              <w:rPr>
                <w:rFonts w:hint="default"/>
                <w:sz w:val="17"/>
                <w:szCs w:val="17"/>
                <w:lang w:val="es-ES"/>
              </w:rPr>
              <w:t xml:space="preserve"> </w:t>
            </w:r>
            <w:r>
              <w:rPr>
                <w:sz w:val="17"/>
                <w:szCs w:val="17"/>
              </w:rPr>
              <w:t xml:space="preserve">solicitudes de recursos vengan justificadas con el cronograma y </w:t>
            </w:r>
            <w:r>
              <w:rPr>
                <w:rFonts w:hint="default"/>
                <w:sz w:val="17"/>
                <w:szCs w:val="17"/>
                <w:lang w:val="es-ES"/>
              </w:rPr>
              <w:t>se presenten con  al menos diez días naturales de antelación</w:t>
            </w:r>
            <w:r>
              <w:rPr>
                <w:sz w:val="17"/>
                <w:szCs w:val="17"/>
              </w:rPr>
              <w:t>.</w:t>
            </w:r>
          </w:p>
          <w:p w14:paraId="4556448B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Que el proyecto aplique los planes de gestión de la consultora y justifique cualquier apartamiento.</w:t>
            </w:r>
          </w:p>
        </w:tc>
        <w:tc>
          <w:tcPr>
            <w:tcW w:w="1450" w:type="dxa"/>
          </w:tcPr>
          <w:p w14:paraId="199056A6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Gestionar de cerca</w:t>
            </w:r>
          </w:p>
        </w:tc>
        <w:tc>
          <w:tcPr>
            <w:tcW w:w="1900" w:type="dxa"/>
          </w:tcPr>
          <w:p w14:paraId="5158E317">
            <w:pPr>
              <w:spacing w:after="0" w:line="240" w:lineRule="auto"/>
              <w:rPr>
                <w:sz w:val="19"/>
                <w:szCs w:val="19"/>
              </w:rPr>
            </w:pPr>
          </w:p>
        </w:tc>
      </w:tr>
      <w:tr w14:paraId="26438E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00" w:type="dxa"/>
          </w:tcPr>
          <w:p w14:paraId="353377A6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I-05</w:t>
            </w:r>
          </w:p>
        </w:tc>
        <w:tc>
          <w:tcPr>
            <w:tcW w:w="1300" w:type="dxa"/>
          </w:tcPr>
          <w:p w14:paraId="1281F359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Responsable de tiendas</w:t>
            </w:r>
          </w:p>
        </w:tc>
        <w:tc>
          <w:tcPr>
            <w:tcW w:w="1550" w:type="dxa"/>
          </w:tcPr>
          <w:p w14:paraId="1E616138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TuSuper, S.A.</w:t>
            </w:r>
          </w:p>
        </w:tc>
        <w:tc>
          <w:tcPr>
            <w:tcW w:w="1478" w:type="dxa"/>
          </w:tcPr>
          <w:p w14:paraId="18DB6A8D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Responsable de tiendas</w:t>
            </w:r>
          </w:p>
        </w:tc>
        <w:tc>
          <w:tcPr>
            <w:tcW w:w="2172" w:type="dxa"/>
          </w:tcPr>
          <w:p w14:paraId="161B240D">
            <w:pPr>
              <w:spacing w:after="0" w:line="240" w:lineRule="auto"/>
              <w:rPr>
                <w:rFonts w:hint="default"/>
                <w:sz w:val="19"/>
                <w:szCs w:val="19"/>
                <w:lang w:val="es-ES"/>
              </w:rPr>
            </w:pPr>
            <w:r>
              <w:rPr>
                <w:rFonts w:hint="default"/>
                <w:sz w:val="17"/>
                <w:szCs w:val="17"/>
                <w:lang w:val="es-ES"/>
              </w:rPr>
              <w:t>Firma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hint="default"/>
                <w:sz w:val="17"/>
                <w:szCs w:val="17"/>
                <w:lang w:val="es-ES"/>
              </w:rPr>
              <w:t xml:space="preserve">junto con el Jefe de Sistemas de TI, la aceptación de RF-05 a RF-08. Es interlocutor de trabajo del proyecto y no necesita el cauce formal mientras no comprometa ninguna aceptación. </w:t>
            </w:r>
          </w:p>
        </w:tc>
        <w:tc>
          <w:tcPr>
            <w:tcW w:w="1800" w:type="dxa"/>
          </w:tcPr>
          <w:p w14:paraId="2A42CE81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Sin su firma no se aceptan RF-05 a RF-08, y ha anunciado que no firmará dos requisitos mientras no se resuelva la carga de trabajo de las tiendas.</w:t>
            </w:r>
          </w:p>
        </w:tc>
        <w:tc>
          <w:tcPr>
            <w:tcW w:w="2320" w:type="dxa"/>
          </w:tcPr>
          <w:p w14:paraId="5FF90526">
            <w:pPr>
              <w:spacing w:after="3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Que </w:t>
            </w:r>
            <w:r>
              <w:rPr>
                <w:rFonts w:hint="default"/>
                <w:sz w:val="17"/>
                <w:szCs w:val="17"/>
                <w:lang w:val="es-ES"/>
              </w:rPr>
              <w:t>se</w:t>
            </w:r>
            <w:r>
              <w:rPr>
                <w:sz w:val="17"/>
                <w:szCs w:val="17"/>
              </w:rPr>
              <w:t xml:space="preserve"> resuel</w:t>
            </w:r>
            <w:r>
              <w:rPr>
                <w:rFonts w:hint="default"/>
                <w:sz w:val="17"/>
                <w:szCs w:val="17"/>
                <w:lang w:val="es-ES"/>
              </w:rPr>
              <w:t>va</w:t>
            </w:r>
            <w:r>
              <w:rPr>
                <w:sz w:val="17"/>
                <w:szCs w:val="17"/>
              </w:rPr>
              <w:t xml:space="preserve"> el trabajo </w:t>
            </w:r>
            <w:r>
              <w:rPr>
                <w:rFonts w:hint="default"/>
                <w:sz w:val="17"/>
                <w:szCs w:val="17"/>
                <w:lang w:val="es-ES"/>
              </w:rPr>
              <w:t xml:space="preserve">extra que la plataforma supone para el </w:t>
            </w:r>
            <w:r>
              <w:rPr>
                <w:sz w:val="17"/>
                <w:szCs w:val="17"/>
              </w:rPr>
              <w:t>personal de las tiendas, en particular la preparación de pedidos por franjas horarias y el uso del panel de gestión de pedidos.</w:t>
            </w:r>
          </w:p>
          <w:p w14:paraId="6F477E49">
            <w:pPr>
              <w:spacing w:after="3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Intervenir en el diseño del panel.</w:t>
            </w:r>
          </w:p>
          <w:p w14:paraId="24C49D8C">
            <w:pPr>
              <w:spacing w:after="3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firmará la aceptación de los dos requisitos afectados (RF-05 y RF-06, deducido) mientras ese trabajo no quede resuelto.</w:t>
            </w:r>
          </w:p>
          <w:p w14:paraId="25DCD469">
            <w:pPr>
              <w:spacing w:after="0" w:line="240" w:lineRule="auto"/>
              <w:rPr>
                <w:rFonts w:hint="default"/>
                <w:sz w:val="19"/>
                <w:szCs w:val="19"/>
                <w:lang w:val="es-ES"/>
              </w:rPr>
            </w:pPr>
            <w:r>
              <w:rPr>
                <w:sz w:val="17"/>
                <w:szCs w:val="17"/>
              </w:rPr>
              <w:t>No atiende, entre cierres de periodo, convocatorias de validación, aceptación o decisión; las que se cursen se devuelven sin tramita</w:t>
            </w:r>
            <w:r>
              <w:rPr>
                <w:rFonts w:hint="default"/>
                <w:sz w:val="17"/>
                <w:szCs w:val="17"/>
                <w:lang w:val="es-ES"/>
              </w:rPr>
              <w:t>r.</w:t>
            </w:r>
          </w:p>
        </w:tc>
        <w:tc>
          <w:tcPr>
            <w:tcW w:w="1450" w:type="dxa"/>
          </w:tcPr>
          <w:p w14:paraId="23CD7DBD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Gestionar de cerca</w:t>
            </w:r>
          </w:p>
        </w:tc>
        <w:tc>
          <w:tcPr>
            <w:tcW w:w="1900" w:type="dxa"/>
          </w:tcPr>
          <w:p w14:paraId="1D5D7AFA">
            <w:pPr>
              <w:spacing w:after="0" w:line="240" w:lineRule="auto"/>
              <w:rPr>
                <w:sz w:val="19"/>
                <w:szCs w:val="19"/>
              </w:rPr>
            </w:pPr>
          </w:p>
        </w:tc>
      </w:tr>
      <w:tr w14:paraId="09F922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00" w:type="dxa"/>
          </w:tcPr>
          <w:p w14:paraId="08D00115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I-06</w:t>
            </w:r>
          </w:p>
        </w:tc>
        <w:tc>
          <w:tcPr>
            <w:tcW w:w="1300" w:type="dxa"/>
          </w:tcPr>
          <w:p w14:paraId="2EC63F5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Jefe de Sistemas de TI</w:t>
            </w:r>
          </w:p>
        </w:tc>
        <w:tc>
          <w:tcPr>
            <w:tcW w:w="1550" w:type="dxa"/>
          </w:tcPr>
          <w:p w14:paraId="06780B94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TuSuper, S.A.</w:t>
            </w:r>
          </w:p>
        </w:tc>
        <w:tc>
          <w:tcPr>
            <w:tcW w:w="1478" w:type="dxa"/>
          </w:tcPr>
          <w:p w14:paraId="4660D7A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Jefe de Sistemas de TI</w:t>
            </w:r>
          </w:p>
        </w:tc>
        <w:tc>
          <w:tcPr>
            <w:tcW w:w="2172" w:type="dxa"/>
          </w:tcPr>
          <w:p w14:paraId="1812D221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hint="default"/>
                <w:sz w:val="17"/>
                <w:szCs w:val="17"/>
              </w:rPr>
              <w:t>Custodia el entorno de verificación de TuSuper y carga en él los datos reales del ERP, en un máximo de tres días hábiles desde cada petición escrita. Fija las condiciones de seguridad para acceder a los datos del ERP y acuerda con Taracea la especificación de la interfaz. Cofirma con el Responsable de tiendas la aceptación de RF-05 a RF-08.</w:t>
            </w:r>
          </w:p>
        </w:tc>
        <w:tc>
          <w:tcPr>
            <w:tcW w:w="1800" w:type="dxa"/>
          </w:tcPr>
          <w:p w14:paraId="2514057F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Controla el entorno donde se verifica toda versión y las cargas de datos reales que exige CA-02, y cofirma aceptaciones.</w:t>
            </w:r>
          </w:p>
        </w:tc>
        <w:tc>
          <w:tcPr>
            <w:tcW w:w="2320" w:type="dxa"/>
          </w:tcPr>
          <w:p w14:paraId="5A0B0655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hint="default"/>
                <w:sz w:val="17"/>
                <w:szCs w:val="17"/>
              </w:rPr>
              <w:t>Que el acceso al ERP respete las normas de seguridad de su área y que el ERP no se modifique. Que las cargas de datos se pidan por escrito. Como TuSuper solo acepta y decide en las reuniones de cierre, no cabe esperar firmas fuera de ellas, y la firma no se delega. No asistió a la reunión de inicio y no hay comunicación suya, así que no conocemos más expectativas.</w:t>
            </w:r>
          </w:p>
        </w:tc>
        <w:tc>
          <w:tcPr>
            <w:tcW w:w="1450" w:type="dxa"/>
          </w:tcPr>
          <w:p w14:paraId="73FEE0AA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Gestionar de cerca</w:t>
            </w:r>
          </w:p>
        </w:tc>
        <w:tc>
          <w:tcPr>
            <w:tcW w:w="1900" w:type="dxa"/>
          </w:tcPr>
          <w:p w14:paraId="13FDC848">
            <w:pPr>
              <w:spacing w:after="0" w:line="240" w:lineRule="auto"/>
              <w:rPr>
                <w:sz w:val="19"/>
                <w:szCs w:val="19"/>
              </w:rPr>
            </w:pPr>
          </w:p>
        </w:tc>
      </w:tr>
      <w:tr w14:paraId="19E09C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00" w:type="dxa"/>
          </w:tcPr>
          <w:p w14:paraId="35B28EB3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I-07</w:t>
            </w:r>
          </w:p>
        </w:tc>
        <w:tc>
          <w:tcPr>
            <w:tcW w:w="1300" w:type="dxa"/>
          </w:tcPr>
          <w:p w14:paraId="1E19277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Director de Operaciones</w:t>
            </w:r>
          </w:p>
        </w:tc>
        <w:tc>
          <w:tcPr>
            <w:tcW w:w="1550" w:type="dxa"/>
          </w:tcPr>
          <w:p w14:paraId="460AFFA7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TuSuper, S.A.</w:t>
            </w:r>
          </w:p>
        </w:tc>
        <w:tc>
          <w:tcPr>
            <w:tcW w:w="1478" w:type="dxa"/>
          </w:tcPr>
          <w:p w14:paraId="2EFE8F3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Director de Operaciones</w:t>
            </w:r>
          </w:p>
        </w:tc>
        <w:tc>
          <w:tcPr>
            <w:tcW w:w="2172" w:type="dxa"/>
          </w:tcPr>
          <w:p w14:paraId="76C84FB8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hint="default"/>
                <w:sz w:val="17"/>
                <w:szCs w:val="17"/>
                <w:lang w:val="es-ES"/>
              </w:rPr>
              <w:t>Es el responsable</w:t>
            </w:r>
            <w:r>
              <w:rPr>
                <w:sz w:val="17"/>
                <w:szCs w:val="17"/>
              </w:rPr>
              <w:t xml:space="preserve"> de las tiendas. Fija las condiciones con </w:t>
            </w:r>
            <w:r>
              <w:rPr>
                <w:rFonts w:hint="default"/>
                <w:sz w:val="17"/>
                <w:szCs w:val="17"/>
                <w:lang w:val="es-ES"/>
              </w:rPr>
              <w:t xml:space="preserve">las </w:t>
            </w:r>
            <w:r>
              <w:rPr>
                <w:sz w:val="17"/>
                <w:szCs w:val="17"/>
              </w:rPr>
              <w:t>que las tiendas pueden participar en el piloto y en la explotación. No</w:t>
            </w:r>
            <w:r>
              <w:rPr>
                <w:rFonts w:hint="default"/>
                <w:sz w:val="17"/>
                <w:szCs w:val="17"/>
                <w:lang w:val="es-ES"/>
              </w:rPr>
              <w:t xml:space="preserve"> firma ninguna</w:t>
            </w:r>
            <w:r>
              <w:rPr>
                <w:sz w:val="17"/>
                <w:szCs w:val="17"/>
              </w:rPr>
              <w:t xml:space="preserve"> aceptación del anexo II.</w:t>
            </w:r>
          </w:p>
        </w:tc>
        <w:tc>
          <w:tcPr>
            <w:tcW w:w="1800" w:type="dxa"/>
          </w:tcPr>
          <w:p w14:paraId="7DA74EE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Las tiendas no pueden alterar su reposición hasta cerrar el recuento de Navidad, lo que condiciona cuándo puede empezar el piloto: CA-03 exige dos ciclos de reposición antes del 15/03/2027.</w:t>
            </w:r>
          </w:p>
        </w:tc>
        <w:tc>
          <w:tcPr>
            <w:tcW w:w="2320" w:type="dxa"/>
          </w:tcPr>
          <w:p w14:paraId="504D1757">
            <w:pPr>
              <w:spacing w:after="3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Que no se </w:t>
            </w:r>
            <w:r>
              <w:rPr>
                <w:rFonts w:hint="default"/>
                <w:sz w:val="17"/>
                <w:szCs w:val="17"/>
                <w:lang w:val="es-ES"/>
              </w:rPr>
              <w:t>cambie</w:t>
            </w:r>
            <w:r>
              <w:rPr>
                <w:sz w:val="17"/>
                <w:szCs w:val="17"/>
              </w:rPr>
              <w:t xml:space="preserve"> ningún procedimiento de reposición hasta el día del primer cierre de periodo de 2027</w:t>
            </w:r>
            <w:r>
              <w:rPr>
                <w:rFonts w:hint="default"/>
                <w:sz w:val="17"/>
                <w:szCs w:val="17"/>
                <w:lang w:val="es-ES"/>
              </w:rPr>
              <w:t>;</w:t>
            </w:r>
            <w:r>
              <w:rPr>
                <w:sz w:val="17"/>
                <w:szCs w:val="17"/>
              </w:rPr>
              <w:t xml:space="preserve"> desde ese día las tiendas pueden ensayar. Las tiendas reponen los martes.</w:t>
            </w:r>
          </w:p>
        </w:tc>
        <w:tc>
          <w:tcPr>
            <w:tcW w:w="1450" w:type="dxa"/>
          </w:tcPr>
          <w:p w14:paraId="38853B86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Gestionar de cerca</w:t>
            </w:r>
          </w:p>
        </w:tc>
        <w:tc>
          <w:tcPr>
            <w:tcW w:w="1900" w:type="dxa"/>
          </w:tcPr>
          <w:p w14:paraId="6A495221">
            <w:pPr>
              <w:spacing w:after="0" w:line="240" w:lineRule="auto"/>
              <w:rPr>
                <w:sz w:val="19"/>
                <w:szCs w:val="19"/>
              </w:rPr>
            </w:pPr>
          </w:p>
        </w:tc>
      </w:tr>
      <w:tr w14:paraId="4F42E1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00" w:type="dxa"/>
          </w:tcPr>
          <w:p w14:paraId="58E64BEB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I-08</w:t>
            </w:r>
          </w:p>
        </w:tc>
        <w:tc>
          <w:tcPr>
            <w:tcW w:w="1300" w:type="dxa"/>
          </w:tcPr>
          <w:p w14:paraId="15FB5861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Equipos de trabajo</w:t>
            </w:r>
          </w:p>
        </w:tc>
        <w:tc>
          <w:tcPr>
            <w:tcW w:w="1550" w:type="dxa"/>
          </w:tcPr>
          <w:p w14:paraId="667A4B31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Taracea Consultoría Tecnológica, S.L.</w:t>
            </w:r>
          </w:p>
        </w:tc>
        <w:tc>
          <w:tcPr>
            <w:tcW w:w="1478" w:type="dxa"/>
          </w:tcPr>
          <w:p w14:paraId="7CA37B5A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72" w:type="dxa"/>
          </w:tcPr>
          <w:p w14:paraId="26C022C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Construyen la plataforma con método ágil, en sprints de dos semanas. Hay dos equipos, uno por línea de aceptación (RF-01 a RF-04 y RF-05 a RF-08). Cada uno responde de su línea y de los elementos transversales </w:t>
            </w:r>
            <w:r>
              <w:rPr>
                <w:rFonts w:hint="default"/>
                <w:sz w:val="17"/>
                <w:szCs w:val="17"/>
                <w:lang w:val="es-ES"/>
              </w:rPr>
              <w:t>asociados</w:t>
            </w:r>
            <w:r>
              <w:rPr>
                <w:sz w:val="17"/>
                <w:szCs w:val="17"/>
              </w:rPr>
              <w:t xml:space="preserve">, y </w:t>
            </w:r>
            <w:r>
              <w:rPr>
                <w:sz w:val="17"/>
                <w:szCs w:val="17"/>
                <w:lang w:val="es-ES"/>
              </w:rPr>
              <w:t>envía</w:t>
            </w:r>
            <w:r>
              <w:rPr>
                <w:sz w:val="17"/>
                <w:szCs w:val="17"/>
              </w:rPr>
              <w:t xml:space="preserve"> sus partes de desempeño. Los forma el personal que concede la Oficina de Proyectos.</w:t>
            </w:r>
          </w:p>
        </w:tc>
        <w:tc>
          <w:tcPr>
            <w:tcW w:w="1800" w:type="dxa"/>
          </w:tcPr>
          <w:p w14:paraId="34023815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De ellos depende la construcción del producto y el avance que se mide.</w:t>
            </w:r>
          </w:p>
        </w:tc>
        <w:tc>
          <w:tcPr>
            <w:tcW w:w="2320" w:type="dxa"/>
          </w:tcPr>
          <w:p w14:paraId="0CB3F840">
            <w:pPr>
              <w:spacing w:after="30" w:line="240" w:lineRule="auto"/>
              <w:rPr>
                <w:sz w:val="19"/>
                <w:szCs w:val="19"/>
              </w:rPr>
            </w:pPr>
            <w:r>
              <w:rPr>
                <w:rFonts w:hint="default"/>
                <w:sz w:val="17"/>
                <w:szCs w:val="17"/>
                <w:lang w:val="es-ES"/>
              </w:rPr>
              <w:t>Organizar el trabajo de los paquetes que se les asignen, como dice el acta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450" w:type="dxa"/>
          </w:tcPr>
          <w:p w14:paraId="6F475CA7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Gestionar de cerca</w:t>
            </w:r>
          </w:p>
        </w:tc>
        <w:tc>
          <w:tcPr>
            <w:tcW w:w="1900" w:type="dxa"/>
          </w:tcPr>
          <w:p w14:paraId="1FBA75B8">
            <w:pPr>
              <w:spacing w:after="0" w:line="240" w:lineRule="auto"/>
              <w:rPr>
                <w:sz w:val="19"/>
                <w:szCs w:val="19"/>
              </w:rPr>
            </w:pPr>
          </w:p>
        </w:tc>
      </w:tr>
      <w:tr w14:paraId="19779F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00" w:type="dxa"/>
          </w:tcPr>
          <w:p w14:paraId="53DEF8AE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I-09</w:t>
            </w:r>
          </w:p>
        </w:tc>
        <w:tc>
          <w:tcPr>
            <w:tcW w:w="1300" w:type="dxa"/>
          </w:tcPr>
          <w:p w14:paraId="2BF7038E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Equipo de expertos de la planificación</w:t>
            </w:r>
          </w:p>
        </w:tc>
        <w:tc>
          <w:tcPr>
            <w:tcW w:w="1550" w:type="dxa"/>
          </w:tcPr>
          <w:p w14:paraId="3E5017FB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Taracea Consultoría Tecnológica, S.L.</w:t>
            </w:r>
          </w:p>
        </w:tc>
        <w:tc>
          <w:tcPr>
            <w:tcW w:w="1478" w:type="dxa"/>
          </w:tcPr>
          <w:p w14:paraId="21B4D745">
            <w:pPr>
              <w:spacing w:after="0" w:line="240" w:lineRule="auto"/>
              <w:rPr>
                <w:rFonts w:hint="default"/>
                <w:sz w:val="19"/>
                <w:szCs w:val="19"/>
                <w:lang w:val="es-ES"/>
              </w:rPr>
            </w:pPr>
            <w:r>
              <w:rPr>
                <w:sz w:val="17"/>
                <w:szCs w:val="17"/>
              </w:rPr>
              <w:t>Analista funcional, arquitecto de software, diseñador UX, técnico de sistemas, desarrollador y técnico de calidad</w:t>
            </w:r>
            <w:r>
              <w:rPr>
                <w:rFonts w:hint="default"/>
                <w:sz w:val="17"/>
                <w:szCs w:val="17"/>
                <w:lang w:val="es-ES"/>
              </w:rPr>
              <w:t>.</w:t>
            </w:r>
          </w:p>
        </w:tc>
        <w:tc>
          <w:tcPr>
            <w:tcW w:w="2172" w:type="dxa"/>
          </w:tcPr>
          <w:p w14:paraId="4396D5EE">
            <w:pPr>
              <w:spacing w:after="30" w:line="240" w:lineRule="auto"/>
              <w:rPr>
                <w:sz w:val="19"/>
                <w:szCs w:val="19"/>
              </w:rPr>
            </w:pPr>
            <w:r>
              <w:rPr>
                <w:rFonts w:hint="default"/>
                <w:sz w:val="17"/>
                <w:szCs w:val="17"/>
                <w:lang w:val="es-ES"/>
              </w:rPr>
              <w:t>Ayuda al director a</w:t>
            </w:r>
            <w:r>
              <w:rPr>
                <w:sz w:val="17"/>
                <w:szCs w:val="17"/>
              </w:rPr>
              <w:t xml:space="preserve"> detalla</w:t>
            </w:r>
            <w:r>
              <w:rPr>
                <w:rFonts w:hint="default"/>
                <w:sz w:val="17"/>
                <w:szCs w:val="17"/>
                <w:lang w:val="es-ES"/>
              </w:rPr>
              <w:t>r</w:t>
            </w:r>
            <w:r>
              <w:rPr>
                <w:sz w:val="17"/>
                <w:szCs w:val="17"/>
              </w:rPr>
              <w:t xml:space="preserve"> el alcance y estima</w:t>
            </w:r>
            <w:r>
              <w:rPr>
                <w:rFonts w:hint="default"/>
                <w:sz w:val="17"/>
                <w:szCs w:val="17"/>
                <w:lang w:val="es-ES"/>
              </w:rPr>
              <w:t>r</w:t>
            </w:r>
            <w:r>
              <w:rPr>
                <w:sz w:val="17"/>
                <w:szCs w:val="17"/>
              </w:rPr>
              <w:t xml:space="preserve"> el trabajo. El arquitecto entrega el documento de arquitectura sobre el que se hacen la EDT y las estimaciones. Dedicación del 25 % durante las tres primeras semanas del proyecto.</w:t>
            </w:r>
          </w:p>
        </w:tc>
        <w:tc>
          <w:tcPr>
            <w:tcW w:w="1800" w:type="dxa"/>
          </w:tcPr>
          <w:p w14:paraId="0C99F3EA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Media.</w:t>
            </w:r>
            <w:r>
              <w:rPr>
                <w:sz w:val="17"/>
                <w:szCs w:val="17"/>
              </w:rPr>
              <w:t xml:space="preserve"> Su arquitectura y sus estimaciones sostienen el plan; el director se reserva las decisiones de arquitectura y de integración con el ERP.</w:t>
            </w:r>
          </w:p>
        </w:tc>
        <w:tc>
          <w:tcPr>
            <w:tcW w:w="2320" w:type="dxa"/>
          </w:tcPr>
          <w:p w14:paraId="092F136E">
            <w:pPr>
              <w:spacing w:after="3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Participar en la estimación de los paquetes de su materia.</w:t>
            </w:r>
          </w:p>
          <w:p w14:paraId="6E091802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1450" w:type="dxa"/>
          </w:tcPr>
          <w:p w14:paraId="6DEAF5A4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Mantener informado</w:t>
            </w:r>
          </w:p>
        </w:tc>
        <w:tc>
          <w:tcPr>
            <w:tcW w:w="1900" w:type="dxa"/>
          </w:tcPr>
          <w:p w14:paraId="69DE8A97">
            <w:pPr>
              <w:spacing w:after="0" w:line="240" w:lineRule="auto"/>
              <w:rPr>
                <w:sz w:val="19"/>
                <w:szCs w:val="19"/>
              </w:rPr>
            </w:pPr>
          </w:p>
        </w:tc>
      </w:tr>
      <w:tr w14:paraId="711460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00" w:type="dxa"/>
          </w:tcPr>
          <w:p w14:paraId="1D41A4A6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I-10</w:t>
            </w:r>
          </w:p>
        </w:tc>
        <w:tc>
          <w:tcPr>
            <w:tcW w:w="1300" w:type="dxa"/>
          </w:tcPr>
          <w:p w14:paraId="7A5631D1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Departamento de formación</w:t>
            </w:r>
          </w:p>
        </w:tc>
        <w:tc>
          <w:tcPr>
            <w:tcW w:w="1550" w:type="dxa"/>
          </w:tcPr>
          <w:p w14:paraId="57C223FF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Taracea Consultoría Tecnológica, S.L.</w:t>
            </w:r>
          </w:p>
        </w:tc>
        <w:tc>
          <w:tcPr>
            <w:tcW w:w="1478" w:type="dxa"/>
          </w:tcPr>
          <w:p w14:paraId="4DEBDE41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72" w:type="dxa"/>
          </w:tcPr>
          <w:p w14:paraId="6CBA3DAD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Redacta el manual de uso para el personal de las tiendas y la guía para los repartidores, y forma al personal de las tres tiendas del piloto. El proyecto lo contrata como una adquisición, con oferta presentada por medio de la Oficina de Proyectos.</w:t>
            </w:r>
          </w:p>
        </w:tc>
        <w:tc>
          <w:tcPr>
            <w:tcW w:w="1800" w:type="dxa"/>
          </w:tcPr>
          <w:p w14:paraId="3FDCFC6D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Media.</w:t>
            </w:r>
            <w:r>
              <w:rPr>
                <w:sz w:val="17"/>
                <w:szCs w:val="17"/>
              </w:rPr>
              <w:t xml:space="preserve"> Sin su trabajo no hay documentación ni formación (ENT-04), y el proyecto depende de su oferta y de sus plazos.</w:t>
            </w:r>
          </w:p>
        </w:tc>
        <w:tc>
          <w:tcPr>
            <w:tcW w:w="2320" w:type="dxa"/>
          </w:tcPr>
          <w:p w14:paraId="1656DF59">
            <w:pPr>
              <w:spacing w:after="3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Recibir del proyecto la documentación que necesita y acceso a un piloto de la plataforma.</w:t>
            </w:r>
            <w:r>
              <w:rPr>
                <w:rFonts w:hint="default"/>
                <w:sz w:val="17"/>
                <w:szCs w:val="17"/>
                <w:lang w:val="es-ES"/>
              </w:rPr>
              <w:t xml:space="preserve"> </w:t>
            </w:r>
            <w:r>
              <w:rPr>
                <w:sz w:val="17"/>
                <w:szCs w:val="17"/>
              </w:rPr>
              <w:t>Presentar su ofert</w:t>
            </w:r>
            <w:r>
              <w:rPr>
                <w:rFonts w:hint="default"/>
                <w:sz w:val="17"/>
                <w:szCs w:val="17"/>
                <w:lang w:val="es-ES"/>
              </w:rPr>
              <w:t>a</w:t>
            </w:r>
            <w:r>
              <w:rPr>
                <w:sz w:val="17"/>
                <w:szCs w:val="17"/>
              </w:rPr>
              <w:t xml:space="preserve"> con importe, plazos y criterios de aceptación, y recibir el encargo cuando el patrocinador haya aprobado el plan y TuSuper haya aceptado el calendario y el alcance.</w:t>
            </w:r>
          </w:p>
        </w:tc>
        <w:tc>
          <w:tcPr>
            <w:tcW w:w="1450" w:type="dxa"/>
          </w:tcPr>
          <w:p w14:paraId="1DC31667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Mantener informado</w:t>
            </w:r>
          </w:p>
        </w:tc>
        <w:tc>
          <w:tcPr>
            <w:tcW w:w="1900" w:type="dxa"/>
          </w:tcPr>
          <w:p w14:paraId="603F2251">
            <w:pPr>
              <w:spacing w:after="0" w:line="240" w:lineRule="auto"/>
              <w:rPr>
                <w:sz w:val="19"/>
                <w:szCs w:val="19"/>
              </w:rPr>
            </w:pPr>
          </w:p>
        </w:tc>
      </w:tr>
      <w:tr w14:paraId="0435E0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00" w:type="dxa"/>
          </w:tcPr>
          <w:p w14:paraId="35C34D99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I-11</w:t>
            </w:r>
          </w:p>
        </w:tc>
        <w:tc>
          <w:tcPr>
            <w:tcW w:w="1300" w:type="dxa"/>
          </w:tcPr>
          <w:p w14:paraId="2084BBED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Servicio de mantenimiento</w:t>
            </w:r>
          </w:p>
        </w:tc>
        <w:tc>
          <w:tcPr>
            <w:tcW w:w="1550" w:type="dxa"/>
          </w:tcPr>
          <w:p w14:paraId="1F2A48AB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Taracea Consultoría Tecnológica, S.L.</w:t>
            </w:r>
          </w:p>
        </w:tc>
        <w:tc>
          <w:tcPr>
            <w:tcW w:w="1478" w:type="dxa"/>
          </w:tcPr>
          <w:p w14:paraId="34328C3B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72" w:type="dxa"/>
          </w:tcPr>
          <w:p w14:paraId="123A918C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Recibe el producto entregado, con su configuración, su documentación y la relación de defectos abiertos</w:t>
            </w:r>
            <w:r>
              <w:rPr>
                <w:rFonts w:hint="default"/>
                <w:sz w:val="17"/>
                <w:szCs w:val="17"/>
                <w:lang w:val="es-ES"/>
              </w:rPr>
              <w:t>.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hint="default"/>
                <w:sz w:val="17"/>
                <w:szCs w:val="17"/>
                <w:lang w:val="es-ES"/>
              </w:rPr>
              <w:t>P</w:t>
            </w:r>
            <w:r>
              <w:rPr>
                <w:sz w:val="17"/>
                <w:szCs w:val="17"/>
              </w:rPr>
              <w:t xml:space="preserve">resta la garantía </w:t>
            </w:r>
            <w:r>
              <w:rPr>
                <w:rFonts w:hint="default"/>
                <w:sz w:val="17"/>
                <w:szCs w:val="17"/>
                <w:lang w:val="es-ES"/>
              </w:rPr>
              <w:t>fuera del proyecto: seis meses, con los defectos corregidos en un máximo de veinte días naturales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800" w:type="dxa"/>
          </w:tcPr>
          <w:p w14:paraId="6BEE60BA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Actúa después del cierre y no condiciona la ejecución.</w:t>
            </w:r>
          </w:p>
        </w:tc>
        <w:tc>
          <w:tcPr>
            <w:tcW w:w="2320" w:type="dxa"/>
          </w:tcPr>
          <w:p w14:paraId="3301BA9B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Recibir un traspaso completo, con la provisión para la garantía incluida en la línea base de costes.</w:t>
            </w:r>
          </w:p>
        </w:tc>
        <w:tc>
          <w:tcPr>
            <w:tcW w:w="1450" w:type="dxa"/>
          </w:tcPr>
          <w:p w14:paraId="646089AC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Mantener informado</w:t>
            </w:r>
          </w:p>
        </w:tc>
        <w:tc>
          <w:tcPr>
            <w:tcW w:w="1900" w:type="dxa"/>
          </w:tcPr>
          <w:p w14:paraId="668E829E">
            <w:pPr>
              <w:spacing w:after="0" w:line="240" w:lineRule="auto"/>
              <w:rPr>
                <w:sz w:val="19"/>
                <w:szCs w:val="19"/>
              </w:rPr>
            </w:pPr>
          </w:p>
        </w:tc>
      </w:tr>
      <w:tr w14:paraId="18CB7C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00" w:type="dxa"/>
          </w:tcPr>
          <w:p w14:paraId="21E91D4B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I-12</w:t>
            </w:r>
          </w:p>
        </w:tc>
        <w:tc>
          <w:tcPr>
            <w:tcW w:w="1300" w:type="dxa"/>
          </w:tcPr>
          <w:p w14:paraId="07158D8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Proveedor del conector con el ERP</w:t>
            </w:r>
          </w:p>
        </w:tc>
        <w:tc>
          <w:tcPr>
            <w:tcW w:w="1550" w:type="dxa"/>
          </w:tcPr>
          <w:p w14:paraId="60E25DBC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Empresa externa homologada por el fabricante del ERP</w:t>
            </w:r>
          </w:p>
        </w:tc>
        <w:tc>
          <w:tcPr>
            <w:tcW w:w="1478" w:type="dxa"/>
          </w:tcPr>
          <w:p w14:paraId="6732E743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72" w:type="dxa"/>
          </w:tcPr>
          <w:p w14:paraId="4E543726">
            <w:pPr>
              <w:spacing w:after="3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Suministra el conector entre la plataforma y el ERP</w:t>
            </w:r>
            <w:r>
              <w:rPr>
                <w:rFonts w:hint="default"/>
                <w:sz w:val="17"/>
                <w:szCs w:val="17"/>
                <w:lang w:val="es-ES"/>
              </w:rPr>
              <w:t>. Su</w:t>
            </w:r>
            <w:r>
              <w:rPr>
                <w:sz w:val="17"/>
                <w:szCs w:val="17"/>
              </w:rPr>
              <w:t xml:space="preserve"> coste </w:t>
            </w:r>
            <w:r>
              <w:rPr>
                <w:rFonts w:hint="default"/>
                <w:sz w:val="17"/>
                <w:szCs w:val="17"/>
                <w:lang w:val="es-ES"/>
              </w:rPr>
              <w:t xml:space="preserve">está dentro del </w:t>
            </w:r>
            <w:r>
              <w:rPr>
                <w:sz w:val="17"/>
                <w:szCs w:val="17"/>
              </w:rPr>
              <w:t>precio del contrato y</w:t>
            </w:r>
            <w:r>
              <w:rPr>
                <w:rFonts w:hint="default"/>
                <w:sz w:val="17"/>
                <w:szCs w:val="17"/>
                <w:lang w:val="es-ES"/>
              </w:rPr>
              <w:t xml:space="preserve"> </w:t>
            </w:r>
            <w:r>
              <w:rPr>
                <w:sz w:val="17"/>
                <w:szCs w:val="17"/>
              </w:rPr>
              <w:t>no es un elemento del catálogo de producto.</w:t>
            </w:r>
          </w:p>
        </w:tc>
        <w:tc>
          <w:tcPr>
            <w:tcW w:w="1800" w:type="dxa"/>
          </w:tcPr>
          <w:p w14:paraId="0FD48094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Solo estos proveedores pueden suministrarlo (RT-03). De su disponibilidad depende toda la integración (riesgo R-01) y el piloto, que CA-03 exige con el conector en funcionamiento.</w:t>
            </w:r>
          </w:p>
        </w:tc>
        <w:tc>
          <w:tcPr>
            <w:tcW w:w="2320" w:type="dxa"/>
          </w:tcPr>
          <w:p w14:paraId="74ED9447">
            <w:pPr>
              <w:spacing w:after="3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constan por escrito.</w:t>
            </w:r>
          </w:p>
        </w:tc>
        <w:tc>
          <w:tcPr>
            <w:tcW w:w="1450" w:type="dxa"/>
          </w:tcPr>
          <w:p w14:paraId="595E6466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Gestionar de cerca</w:t>
            </w:r>
          </w:p>
        </w:tc>
        <w:tc>
          <w:tcPr>
            <w:tcW w:w="1900" w:type="dxa"/>
          </w:tcPr>
          <w:p w14:paraId="153E7998">
            <w:pPr>
              <w:spacing w:after="0" w:line="240" w:lineRule="auto"/>
              <w:rPr>
                <w:sz w:val="19"/>
                <w:szCs w:val="19"/>
              </w:rPr>
            </w:pPr>
          </w:p>
        </w:tc>
      </w:tr>
      <w:tr w14:paraId="7E0E8D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00" w:type="dxa"/>
          </w:tcPr>
          <w:p w14:paraId="5168DBBD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I-13</w:t>
            </w:r>
          </w:p>
        </w:tc>
        <w:tc>
          <w:tcPr>
            <w:tcW w:w="1300" w:type="dxa"/>
          </w:tcPr>
          <w:p w14:paraId="3EC2BD5F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Proveedor de la pasarela de pago</w:t>
            </w:r>
          </w:p>
        </w:tc>
        <w:tc>
          <w:tcPr>
            <w:tcW w:w="1550" w:type="dxa"/>
          </w:tcPr>
          <w:p w14:paraId="4FE7CBF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Empresa externa (proveedor con el que opera TuSuper)</w:t>
            </w:r>
          </w:p>
        </w:tc>
        <w:tc>
          <w:tcPr>
            <w:tcW w:w="1478" w:type="dxa"/>
          </w:tcPr>
          <w:p w14:paraId="0A879BA5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72" w:type="dxa"/>
          </w:tcPr>
          <w:p w14:paraId="0F6ABA2C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Opera la pasarela de pago. Da de alta a TuSuper como comercio, </w:t>
            </w:r>
            <w:r>
              <w:rPr>
                <w:rFonts w:hint="default"/>
                <w:sz w:val="17"/>
                <w:szCs w:val="17"/>
                <w:lang w:val="es-ES"/>
              </w:rPr>
              <w:t>hace</w:t>
            </w:r>
            <w:r>
              <w:rPr>
                <w:sz w:val="17"/>
                <w:szCs w:val="17"/>
              </w:rPr>
              <w:t xml:space="preserve"> la auditoría de comercio y emite las credenciales de</w:t>
            </w:r>
            <w:r>
              <w:rPr>
                <w:rFonts w:hint="default"/>
                <w:sz w:val="17"/>
                <w:szCs w:val="17"/>
                <w:lang w:val="es-ES"/>
              </w:rPr>
              <w:t xml:space="preserve"> </w:t>
            </w:r>
            <w:r>
              <w:rPr>
                <w:sz w:val="17"/>
                <w:szCs w:val="17"/>
              </w:rPr>
              <w:t>producción.</w:t>
            </w:r>
          </w:p>
        </w:tc>
        <w:tc>
          <w:tcPr>
            <w:tcW w:w="1800" w:type="dxa"/>
          </w:tcPr>
          <w:p w14:paraId="0C74EA6D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Sin credenciales de producción la plataforma no puede cobrar. La auditoría tarda quince días hábiles; el piloto sí puede empezar con la pasarela en pruebas.</w:t>
            </w:r>
          </w:p>
        </w:tc>
        <w:tc>
          <w:tcPr>
            <w:tcW w:w="2320" w:type="dxa"/>
          </w:tcPr>
          <w:p w14:paraId="73B61B9B">
            <w:pPr>
              <w:spacing w:after="3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Que TuSuper solicite la auditoría cuando Taracea le comunique por escrito que el entorno de preproducción está listo</w:t>
            </w:r>
            <w:r>
              <w:rPr>
                <w:rFonts w:hint="default"/>
                <w:sz w:val="17"/>
                <w:szCs w:val="17"/>
                <w:lang w:val="es-ES"/>
              </w:rPr>
              <w:t>. La</w:t>
            </w:r>
            <w:r>
              <w:rPr>
                <w:sz w:val="17"/>
                <w:szCs w:val="17"/>
              </w:rPr>
              <w:t xml:space="preserve"> auditoría se </w:t>
            </w:r>
            <w:r>
              <w:rPr>
                <w:rFonts w:hint="default"/>
                <w:sz w:val="17"/>
                <w:szCs w:val="17"/>
                <w:lang w:val="es-ES"/>
              </w:rPr>
              <w:t>hace</w:t>
            </w:r>
            <w:r>
              <w:rPr>
                <w:sz w:val="17"/>
                <w:szCs w:val="17"/>
              </w:rPr>
              <w:t xml:space="preserve"> sobre preproducción, con la plataforma integrada con la pasarela real y transacciones de prueba, nunca sobre entornos de desarrollo.</w:t>
            </w:r>
          </w:p>
        </w:tc>
        <w:tc>
          <w:tcPr>
            <w:tcW w:w="1450" w:type="dxa"/>
          </w:tcPr>
          <w:p w14:paraId="2C4DF223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Mantener satisfecho</w:t>
            </w:r>
          </w:p>
        </w:tc>
        <w:tc>
          <w:tcPr>
            <w:tcW w:w="1900" w:type="dxa"/>
          </w:tcPr>
          <w:p w14:paraId="454EE0B0">
            <w:pPr>
              <w:spacing w:after="0" w:line="240" w:lineRule="auto"/>
              <w:rPr>
                <w:sz w:val="19"/>
                <w:szCs w:val="19"/>
              </w:rPr>
            </w:pPr>
          </w:p>
        </w:tc>
      </w:tr>
      <w:tr w14:paraId="6DAAF0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00" w:type="dxa"/>
          </w:tcPr>
          <w:p w14:paraId="0F5F6DCA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I-14</w:t>
            </w:r>
          </w:p>
        </w:tc>
        <w:tc>
          <w:tcPr>
            <w:tcW w:w="1300" w:type="dxa"/>
          </w:tcPr>
          <w:p w14:paraId="5B039CCC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Personal de las tiendas</w:t>
            </w:r>
          </w:p>
        </w:tc>
        <w:tc>
          <w:tcPr>
            <w:tcW w:w="1550" w:type="dxa"/>
          </w:tcPr>
          <w:p w14:paraId="34A323B7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TuSuper, S.A.</w:t>
            </w:r>
          </w:p>
        </w:tc>
        <w:tc>
          <w:tcPr>
            <w:tcW w:w="1478" w:type="dxa"/>
          </w:tcPr>
          <w:p w14:paraId="719DE2A4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72" w:type="dxa"/>
          </w:tcPr>
          <w:p w14:paraId="510CB28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Usa el panel de gestión de pedidos para preparar los pedidos y cambiar su estado. Recibe formación: el de las tres tiendas del piloto, de Taracea; el de las demás, de TuSuper con la documentación de uso.</w:t>
            </w:r>
          </w:p>
        </w:tc>
        <w:tc>
          <w:tcPr>
            <w:tcW w:w="1800" w:type="dxa"/>
          </w:tcPr>
          <w:p w14:paraId="6F28BB54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Media.</w:t>
            </w:r>
            <w:r>
              <w:rPr>
                <w:sz w:val="17"/>
                <w:szCs w:val="17"/>
              </w:rPr>
              <w:t xml:space="preserve"> No decide, pero su carga de trabajo es el motivo de la reserva del responsable de tiendas y el piloto se ejecuta con él.</w:t>
            </w:r>
          </w:p>
        </w:tc>
        <w:tc>
          <w:tcPr>
            <w:tcW w:w="2320" w:type="dxa"/>
          </w:tcPr>
          <w:p w14:paraId="1B5D7137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constan por escrito.</w:t>
            </w:r>
          </w:p>
        </w:tc>
        <w:tc>
          <w:tcPr>
            <w:tcW w:w="1450" w:type="dxa"/>
          </w:tcPr>
          <w:p w14:paraId="6ACD075F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Mantener informado</w:t>
            </w:r>
          </w:p>
        </w:tc>
        <w:tc>
          <w:tcPr>
            <w:tcW w:w="1900" w:type="dxa"/>
          </w:tcPr>
          <w:p w14:paraId="56A0B0C9">
            <w:pPr>
              <w:spacing w:after="0" w:line="240" w:lineRule="auto"/>
              <w:rPr>
                <w:sz w:val="19"/>
                <w:szCs w:val="19"/>
              </w:rPr>
            </w:pPr>
          </w:p>
        </w:tc>
      </w:tr>
      <w:tr w14:paraId="6537DB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00" w:type="dxa"/>
          </w:tcPr>
          <w:p w14:paraId="51E4C3E2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I-15</w:t>
            </w:r>
          </w:p>
        </w:tc>
        <w:tc>
          <w:tcPr>
            <w:tcW w:w="1300" w:type="dxa"/>
          </w:tcPr>
          <w:p w14:paraId="503BA605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Compradores</w:t>
            </w:r>
          </w:p>
        </w:tc>
        <w:tc>
          <w:tcPr>
            <w:tcW w:w="1550" w:type="dxa"/>
          </w:tcPr>
          <w:p w14:paraId="1B5CDD65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Clientela de TuSuper</w:t>
            </w:r>
          </w:p>
        </w:tc>
        <w:tc>
          <w:tcPr>
            <w:tcW w:w="1478" w:type="dxa"/>
          </w:tcPr>
          <w:p w14:paraId="54A61B6B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72" w:type="dxa"/>
          </w:tcPr>
          <w:p w14:paraId="0376CCC3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Usuarios finales de la web y de la aplicación móvil: se registran, compran, pagan y reciben el pedido en su domicilio.</w:t>
            </w:r>
          </w:p>
        </w:tc>
        <w:tc>
          <w:tcPr>
            <w:tcW w:w="1800" w:type="dxa"/>
          </w:tcPr>
          <w:p w14:paraId="7F9A1619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No intervienen durante el proyecto; su efecto llega con la explotación.</w:t>
            </w:r>
          </w:p>
        </w:tc>
        <w:tc>
          <w:tcPr>
            <w:tcW w:w="2320" w:type="dxa"/>
          </w:tcPr>
          <w:p w14:paraId="554EC54D">
            <w:pPr>
              <w:spacing w:after="30" w:line="240" w:lineRule="auto"/>
              <w:rPr>
                <w:rFonts w:hint="default"/>
                <w:sz w:val="19"/>
                <w:szCs w:val="19"/>
                <w:lang w:val="es-ES"/>
              </w:rPr>
            </w:pPr>
            <w:r>
              <w:rPr>
                <w:sz w:val="17"/>
                <w:szCs w:val="17"/>
              </w:rPr>
              <w:t>Comprar en línea y recibir la compra en casa en un plazo de 24 horas.</w:t>
            </w:r>
            <w:r>
              <w:rPr>
                <w:rFonts w:hint="default"/>
                <w:sz w:val="17"/>
                <w:szCs w:val="17"/>
                <w:lang w:val="es-ES"/>
              </w:rPr>
              <w:t xml:space="preserve"> Esperan una</w:t>
            </w:r>
          </w:p>
          <w:p w14:paraId="49F3FD81">
            <w:pPr>
              <w:spacing w:after="0" w:line="240" w:lineRule="auto"/>
              <w:rPr>
                <w:rFonts w:hint="default"/>
                <w:sz w:val="19"/>
                <w:szCs w:val="19"/>
                <w:lang w:val="es-ES"/>
              </w:rPr>
            </w:pPr>
            <w:r>
              <w:rPr>
                <w:rFonts w:hint="default"/>
                <w:sz w:val="17"/>
                <w:szCs w:val="17"/>
                <w:lang w:val="es-ES"/>
              </w:rPr>
              <w:t>p</w:t>
            </w:r>
            <w:r>
              <w:rPr>
                <w:sz w:val="17"/>
                <w:szCs w:val="17"/>
              </w:rPr>
              <w:t>lataforma disponible el 99,5 % del horario de servicio  (</w:t>
            </w:r>
            <w:r>
              <w:rPr>
                <w:sz w:val="17"/>
                <w:szCs w:val="17"/>
                <w:lang w:val="es-ES"/>
              </w:rPr>
              <w:t>continuo</w:t>
            </w:r>
            <w:r>
              <w:rPr>
                <w:rFonts w:hint="default"/>
                <w:sz w:val="17"/>
                <w:szCs w:val="17"/>
                <w:lang w:val="es-ES"/>
              </w:rPr>
              <w:t xml:space="preserve">, </w:t>
            </w:r>
            <w:r>
              <w:rPr>
                <w:sz w:val="17"/>
                <w:szCs w:val="17"/>
              </w:rPr>
              <w:t>24 horas, todos los días del año), accesible (WCAG 2.1 AA) y en castellano, con avisos por correo y por la aplicación a cada cambio de estado del pedido</w:t>
            </w:r>
            <w:r>
              <w:rPr>
                <w:rFonts w:hint="default"/>
                <w:sz w:val="17"/>
                <w:szCs w:val="17"/>
                <w:lang w:val="es-ES"/>
              </w:rPr>
              <w:t>.</w:t>
            </w:r>
          </w:p>
        </w:tc>
        <w:tc>
          <w:tcPr>
            <w:tcW w:w="1450" w:type="dxa"/>
          </w:tcPr>
          <w:p w14:paraId="3051123C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Monitorizar</w:t>
            </w:r>
          </w:p>
        </w:tc>
        <w:tc>
          <w:tcPr>
            <w:tcW w:w="1900" w:type="dxa"/>
          </w:tcPr>
          <w:p w14:paraId="31354F81">
            <w:pPr>
              <w:spacing w:after="0" w:line="240" w:lineRule="auto"/>
              <w:rPr>
                <w:sz w:val="19"/>
                <w:szCs w:val="19"/>
              </w:rPr>
            </w:pPr>
          </w:p>
        </w:tc>
      </w:tr>
      <w:tr w14:paraId="2B1ED8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00" w:type="dxa"/>
          </w:tcPr>
          <w:p w14:paraId="2AE07351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I-16</w:t>
            </w:r>
          </w:p>
        </w:tc>
        <w:tc>
          <w:tcPr>
            <w:tcW w:w="1300" w:type="dxa"/>
          </w:tcPr>
          <w:p w14:paraId="7FB4AAB6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Repartidores subcontratados</w:t>
            </w:r>
          </w:p>
        </w:tc>
        <w:tc>
          <w:tcPr>
            <w:tcW w:w="1550" w:type="dxa"/>
          </w:tcPr>
          <w:p w14:paraId="51060279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Empresas de reparto subcontratadas por TuSuper (no nombradas)</w:t>
            </w:r>
          </w:p>
        </w:tc>
        <w:tc>
          <w:tcPr>
            <w:tcW w:w="1478" w:type="dxa"/>
          </w:tcPr>
          <w:p w14:paraId="6E99CD9F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72" w:type="dxa"/>
          </w:tcPr>
          <w:p w14:paraId="1D723BA8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Entregan los pedidos a domicilio. El reparto queda fuera del proyecto, salvo la asignación de cada pedido a un repartidor. Reciben la guía para repartidores.</w:t>
            </w:r>
          </w:p>
        </w:tc>
        <w:tc>
          <w:tcPr>
            <w:tcW w:w="1800" w:type="dxa"/>
          </w:tcPr>
          <w:p w14:paraId="42676F47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La gestión del reparto está excluida; solo les alcanza a través de los datos que TuSuper facilita (RF-05.4 y RF-06.4).</w:t>
            </w:r>
          </w:p>
        </w:tc>
        <w:tc>
          <w:tcPr>
            <w:tcW w:w="2320" w:type="dxa"/>
          </w:tcPr>
          <w:p w14:paraId="3F425596">
            <w:pPr>
              <w:spacing w:after="30" w:line="240" w:lineRule="auto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Contar con la guía para repartidores</w:t>
            </w:r>
            <w:r>
              <w:rPr>
                <w:rFonts w:hint="default"/>
                <w:sz w:val="17"/>
                <w:szCs w:val="17"/>
                <w:lang w:val="es-ES"/>
              </w:rPr>
              <w:t xml:space="preserve"> y recibir pedidos asignados con datos de entrega claros.</w:t>
            </w:r>
          </w:p>
        </w:tc>
        <w:tc>
          <w:tcPr>
            <w:tcW w:w="1450" w:type="dxa"/>
          </w:tcPr>
          <w:p w14:paraId="6EDA2F1C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Monitorizar</w:t>
            </w:r>
          </w:p>
        </w:tc>
        <w:tc>
          <w:tcPr>
            <w:tcW w:w="1900" w:type="dxa"/>
          </w:tcPr>
          <w:p w14:paraId="434E3A49">
            <w:pPr>
              <w:spacing w:after="0" w:line="240" w:lineRule="auto"/>
              <w:rPr>
                <w:sz w:val="19"/>
                <w:szCs w:val="19"/>
              </w:rPr>
            </w:pPr>
          </w:p>
        </w:tc>
      </w:tr>
    </w:tbl>
    <w:p w14:paraId="4A555468">
      <w:pPr>
        <w:spacing w:after="0"/>
        <w:rPr>
          <w:sz w:val="12"/>
          <w:szCs w:val="12"/>
        </w:rPr>
      </w:pPr>
    </w:p>
    <w:sectPr>
      <w:headerReference r:id="rId5" w:type="default"/>
      <w:footerReference r:id="rId6" w:type="default"/>
      <w:pgSz w:w="16838" w:h="11906" w:orient="landscape"/>
      <w:pgMar w:top="1134" w:right="1134" w:bottom="1134" w:left="1134" w:header="397" w:footer="45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14570" w:type="dxa"/>
      <w:tblCaption w:val="Pie de página"/>
      <w:tblInd w:w="0" w:type="dxa"/>
      <w:tblBorders>
        <w:top w:val="single" w:color="1F4E5A" w:sz="6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467"/>
      <w:gridCol w:w="5103"/>
    </w:tblGrid>
    <w:tr w14:paraId="7EDB680D">
      <w:tblPrEx>
        <w:tblBorders>
          <w:top w:val="single" w:color="1F4E5A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466" w:type="dxa"/>
          <w:tcMar>
            <w:top w:w="60" w:type="dxa"/>
            <w:left w:w="0" w:type="dxa"/>
            <w:bottom w:w="0" w:type="dxa"/>
            <w:right w:w="0" w:type="dxa"/>
          </w:tcMar>
        </w:tcPr>
        <w:p w14:paraId="0621E985">
          <w:pPr>
            <w:spacing w:after="0" w:line="240" w:lineRule="auto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5E0848BD">
          <w:pPr>
            <w:spacing w:after="0" w:line="240" w:lineRule="auto"/>
            <w:jc w:val="right"/>
          </w:pPr>
          <w:r>
            <w:rPr>
              <w:color w:val="595959"/>
              <w:sz w:val="16"/>
            </w:rPr>
            <w:t xml:space="preserve">Registro de interesados · Página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PAGE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NUMPAGES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</w:p>
      </w:tc>
    </w:tr>
  </w:tbl>
  <w:p w14:paraId="4233C26B">
    <w:pPr>
      <w:spacing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D44DA">
    <w:pPr>
      <w:tabs>
        <w:tab w:val="right" w:pos="14570"/>
      </w:tabs>
      <w:spacing w:after="0" w:line="240" w:lineRule="auto"/>
    </w:pPr>
    <w:r>
      <w:rPr>
        <w:b/>
        <w:smallCaps/>
        <w:color w:val="1F4E5A"/>
        <w:spacing w:val="40"/>
        <w:sz w:val="28"/>
      </w:rPr>
      <w:t>taracea</w:t>
    </w:r>
    <w:r>
      <w:rPr>
        <w:sz w:val="28"/>
      </w:rPr>
      <w:tab/>
    </w:r>
    <w:r>
      <w:rPr>
        <w:rFonts w:ascii="Calibri Light" w:hAnsi="Calibri Light" w:eastAsia="Calibri Light" w:cs="Calibri Light"/>
        <w:color w:val="1F4E5A"/>
        <w:sz w:val="26"/>
      </w:rPr>
      <w:t>Registro de interesados</w:t>
    </w:r>
  </w:p>
  <w:p w14:paraId="1DB70F87">
    <w:pPr>
      <w:pBdr>
        <w:bottom w:val="single" w:color="1F4E5A" w:sz="8" w:space="4"/>
      </w:pBdr>
      <w:tabs>
        <w:tab w:val="right" w:pos="14570"/>
      </w:tabs>
      <w:spacing w:after="0" w:line="240" w:lineRule="auto"/>
    </w:pPr>
    <w:r>
      <w:rPr>
        <w:color w:val="7F7F7F"/>
        <w:spacing w:val="6"/>
        <w:sz w:val="16"/>
      </w:rPr>
      <w:t>consultoría tecnológica</w:t>
    </w:r>
    <w:r>
      <w:rPr>
        <w:sz w:val="16"/>
      </w:rPr>
      <w:tab/>
    </w:r>
    <w:r>
      <w:rPr>
        <w:color w:val="595959"/>
        <w:sz w:val="17"/>
      </w:rPr>
      <w:t>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C94"/>
    <w:rsid w:val="00037805"/>
    <w:rsid w:val="000512B0"/>
    <w:rsid w:val="000710CD"/>
    <w:rsid w:val="000E6155"/>
    <w:rsid w:val="001025F0"/>
    <w:rsid w:val="00105DAE"/>
    <w:rsid w:val="001114F6"/>
    <w:rsid w:val="001271B4"/>
    <w:rsid w:val="00131E1D"/>
    <w:rsid w:val="00134B40"/>
    <w:rsid w:val="00153ABB"/>
    <w:rsid w:val="00162139"/>
    <w:rsid w:val="001A709F"/>
    <w:rsid w:val="001E2CEF"/>
    <w:rsid w:val="00204A21"/>
    <w:rsid w:val="002064D6"/>
    <w:rsid w:val="00216103"/>
    <w:rsid w:val="00217C94"/>
    <w:rsid w:val="0028298D"/>
    <w:rsid w:val="00296934"/>
    <w:rsid w:val="002E1AD4"/>
    <w:rsid w:val="00323D9C"/>
    <w:rsid w:val="00355532"/>
    <w:rsid w:val="00387B0B"/>
    <w:rsid w:val="003A146C"/>
    <w:rsid w:val="003C5089"/>
    <w:rsid w:val="003D218D"/>
    <w:rsid w:val="003D327D"/>
    <w:rsid w:val="003E16E9"/>
    <w:rsid w:val="004018F6"/>
    <w:rsid w:val="00456964"/>
    <w:rsid w:val="0047015A"/>
    <w:rsid w:val="00476230"/>
    <w:rsid w:val="004D078B"/>
    <w:rsid w:val="0051331B"/>
    <w:rsid w:val="0055087B"/>
    <w:rsid w:val="00574485"/>
    <w:rsid w:val="00575A30"/>
    <w:rsid w:val="005910C2"/>
    <w:rsid w:val="005C6798"/>
    <w:rsid w:val="00615B65"/>
    <w:rsid w:val="00644F74"/>
    <w:rsid w:val="0064503C"/>
    <w:rsid w:val="00660520"/>
    <w:rsid w:val="00671045"/>
    <w:rsid w:val="0067414F"/>
    <w:rsid w:val="006913BA"/>
    <w:rsid w:val="006B191B"/>
    <w:rsid w:val="006B2A51"/>
    <w:rsid w:val="006C6559"/>
    <w:rsid w:val="006D1845"/>
    <w:rsid w:val="007212BA"/>
    <w:rsid w:val="00741E83"/>
    <w:rsid w:val="00763B75"/>
    <w:rsid w:val="00775792"/>
    <w:rsid w:val="0079596E"/>
    <w:rsid w:val="00796E26"/>
    <w:rsid w:val="00796EAD"/>
    <w:rsid w:val="007C620A"/>
    <w:rsid w:val="0081179D"/>
    <w:rsid w:val="00832746"/>
    <w:rsid w:val="00837F2F"/>
    <w:rsid w:val="00876E13"/>
    <w:rsid w:val="00891B24"/>
    <w:rsid w:val="008958E4"/>
    <w:rsid w:val="008B708A"/>
    <w:rsid w:val="00905668"/>
    <w:rsid w:val="00911C3A"/>
    <w:rsid w:val="0091338D"/>
    <w:rsid w:val="00921038"/>
    <w:rsid w:val="00924DFE"/>
    <w:rsid w:val="0095401D"/>
    <w:rsid w:val="009608C2"/>
    <w:rsid w:val="0099587A"/>
    <w:rsid w:val="009B57BF"/>
    <w:rsid w:val="00A215BD"/>
    <w:rsid w:val="00A4245B"/>
    <w:rsid w:val="00A45DF9"/>
    <w:rsid w:val="00A53DAB"/>
    <w:rsid w:val="00A95442"/>
    <w:rsid w:val="00AA2C51"/>
    <w:rsid w:val="00AC7789"/>
    <w:rsid w:val="00AD5DD1"/>
    <w:rsid w:val="00B327EF"/>
    <w:rsid w:val="00B544BF"/>
    <w:rsid w:val="00B57964"/>
    <w:rsid w:val="00B74C0B"/>
    <w:rsid w:val="00B9565E"/>
    <w:rsid w:val="00B95FB6"/>
    <w:rsid w:val="00BD4FA7"/>
    <w:rsid w:val="00BE3CDA"/>
    <w:rsid w:val="00BF037F"/>
    <w:rsid w:val="00BF6C6F"/>
    <w:rsid w:val="00C441A8"/>
    <w:rsid w:val="00C479B5"/>
    <w:rsid w:val="00C769CD"/>
    <w:rsid w:val="00CB54FD"/>
    <w:rsid w:val="00CC356B"/>
    <w:rsid w:val="00CE7226"/>
    <w:rsid w:val="00CF46C3"/>
    <w:rsid w:val="00CF78D0"/>
    <w:rsid w:val="00D00E45"/>
    <w:rsid w:val="00D22DE6"/>
    <w:rsid w:val="00D51CAC"/>
    <w:rsid w:val="00DA27AF"/>
    <w:rsid w:val="00DB6F11"/>
    <w:rsid w:val="00DE7D9A"/>
    <w:rsid w:val="00DF09F4"/>
    <w:rsid w:val="00E247D6"/>
    <w:rsid w:val="00E2781A"/>
    <w:rsid w:val="00E566F8"/>
    <w:rsid w:val="00EA25E4"/>
    <w:rsid w:val="00EA3789"/>
    <w:rsid w:val="00EA4A2A"/>
    <w:rsid w:val="00EE202B"/>
    <w:rsid w:val="00EF1A26"/>
    <w:rsid w:val="00F10776"/>
    <w:rsid w:val="00F27FD9"/>
    <w:rsid w:val="00F4542C"/>
    <w:rsid w:val="00F76F0A"/>
    <w:rsid w:val="00F90956"/>
    <w:rsid w:val="00F96C66"/>
    <w:rsid w:val="00FA7A18"/>
    <w:rsid w:val="1A65615D"/>
    <w:rsid w:val="3FDA14EF"/>
    <w:rsid w:val="627C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00" w:line="259" w:lineRule="auto"/>
    </w:pPr>
    <w:rPr>
      <w:rFonts w:ascii="Calibri" w:hAnsi="Calibri" w:eastAsia="Calibri" w:cs="Calibri"/>
      <w:color w:val="1A1A1A"/>
      <w:sz w:val="21"/>
      <w:szCs w:val="21"/>
      <w:lang w:val="es-ES" w:eastAsia="es-E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sz w:val="16"/>
      <w:szCs w:val="16"/>
    </w:rPr>
  </w:style>
  <w:style w:type="paragraph" w:styleId="6">
    <w:name w:val="header"/>
    <w:basedOn w:val="1"/>
    <w:link w:val="9"/>
    <w:unhideWhenUsed/>
    <w:qFormat/>
    <w:uiPriority w:val="99"/>
    <w:pPr>
      <w:tabs>
        <w:tab w:val="center" w:pos="4419"/>
        <w:tab w:val="right" w:pos="8838"/>
      </w:tabs>
      <w:spacing w:after="0" w:afterAutospacing="1" w:line="240" w:lineRule="auto"/>
    </w:pPr>
  </w:style>
  <w:style w:type="paragraph" w:styleId="7">
    <w:name w:val="footer"/>
    <w:basedOn w:val="1"/>
    <w:link w:val="10"/>
    <w:unhideWhenUsed/>
    <w:qFormat/>
    <w:uiPriority w:val="99"/>
    <w:pPr>
      <w:tabs>
        <w:tab w:val="center" w:pos="4419"/>
        <w:tab w:val="right" w:pos="8838"/>
      </w:tabs>
      <w:spacing w:after="0" w:afterAutospacing="1" w:line="240" w:lineRule="auto"/>
    </w:pPr>
  </w:style>
  <w:style w:type="table" w:styleId="8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Encabezado Car"/>
    <w:basedOn w:val="2"/>
    <w:link w:val="6"/>
    <w:qFormat/>
    <w:uiPriority w:val="99"/>
  </w:style>
  <w:style w:type="character" w:customStyle="1" w:styleId="10">
    <w:name w:val="Pie de página Car"/>
    <w:basedOn w:val="2"/>
    <w:link w:val="7"/>
    <w:qFormat/>
    <w:uiPriority w:val="99"/>
  </w:style>
  <w:style w:type="character" w:customStyle="1" w:styleId="11">
    <w:name w:val="Texto de globo Car"/>
    <w:basedOn w:val="2"/>
    <w:link w:val="5"/>
    <w:semiHidden/>
    <w:qFormat/>
    <w:uiPriority w:val="99"/>
    <w:rPr>
      <w:rFonts w:ascii="Calibri" w:hAnsi="Calibri" w:eastAsia="Calibri" w:cs="Calibri"/>
      <w:sz w:val="16"/>
      <w:szCs w:val="16"/>
    </w:rPr>
  </w:style>
  <w:style w:type="character" w:customStyle="1" w:styleId="12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paragraph" w:styleId="14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1"/>
      <w:szCs w:val="21"/>
      <w:lang w:val="es-ES" w:eastAsia="es-ES" w:bidi="ar-SA"/>
    </w:rPr>
  </w:style>
  <w:style w:type="paragraph" w:customStyle="1" w:styleId="15">
    <w:name w:val="Revision"/>
    <w:hidden/>
    <w:semiHidden/>
    <w:qFormat/>
    <w:uiPriority w:val="99"/>
    <w:pPr>
      <w:spacing w:after="0" w:line="240" w:lineRule="auto"/>
    </w:pPr>
    <w:rPr>
      <w:rFonts w:ascii="Calibri" w:hAnsi="Calibri" w:eastAsia="Calibri" w:cs="Calibri"/>
      <w:color w:val="1A1A1A"/>
      <w:sz w:val="21"/>
      <w:szCs w:val="21"/>
      <w:lang w:val="es-ES" w:eastAsia="es-E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1986</Words>
  <Characters>10928</Characters>
  <Lines>91</Lines>
  <Paragraphs>25</Paragraphs>
  <TotalTime>52</TotalTime>
  <ScaleCrop>false</ScaleCrop>
  <LinksUpToDate>false</LinksUpToDate>
  <CharactersWithSpaces>12889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Plantilla de la consultora</cp:category>
  <dcterms:created xsi:type="dcterms:W3CDTF">2026-10-02T09:30:00Z</dcterms:created>
  <dc:creator>Oficina de Proyectos · Taracea</dc:creator>
  <cp:keywords>plantilla</cp:keywords>
  <cp:lastModifiedBy>EMILIO METRO ALVAREZ</cp:lastModifiedBy>
  <dcterms:modified xsi:type="dcterms:W3CDTF">2026-10-11T18:59:50Z</dcterms:modified>
  <dc:subject>Plantilla de proyecto de Taracea</dc:subject>
  <dc:title>Registro de interesados · plantilla v4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3082-12.2.0.23206</vt:lpwstr>
  </property>
  <property fmtid="{D5CDD505-2E9C-101B-9397-08002B2CF9AE}" pid="3" name="ICV">
    <vt:lpwstr>E9AA3416CD89416B8435F977DEAE0405_12</vt:lpwstr>
  </property>
</Properties>
</file>