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6B89" w14:textId="77777777" w:rsidR="00FA7A18" w:rsidRPr="00796EAD" w:rsidRDefault="00FA7A18" w:rsidP="005E29B5">
      <w:pPr>
        <w:spacing w:after="0"/>
        <w:ind w:left="708" w:hanging="708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3A630C6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1C7925F0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EB12062" w14:textId="77777777" w:rsidR="00796EAD" w:rsidRPr="00796EAD" w:rsidRDefault="00796EAD" w:rsidP="00796EAD">
            <w:pPr>
              <w:spacing w:before="120" w:after="120"/>
              <w:rPr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TuSuper en línea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1C34324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979D68A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TSL-2627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72283290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B28B4A1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07/10/2026</w:t>
            </w:r>
          </w:p>
        </w:tc>
      </w:tr>
    </w:tbl>
    <w:p w14:paraId="09A9DCD2" w14:textId="77777777" w:rsidR="0023613A" w:rsidRDefault="0023613A">
      <w:pPr>
        <w:spacing w:after="120"/>
      </w:pPr>
    </w:p>
    <w:p w14:paraId="5489234E" w14:textId="77777777" w:rsidR="0023613A" w:rsidRDefault="00000000">
      <w:pPr>
        <w:spacing w:after="60"/>
      </w:pPr>
      <w:r>
        <w:rPr>
          <w:b/>
          <w:sz w:val="20"/>
          <w:szCs w:val="20"/>
          <w:lang w:val="es-ES"/>
        </w:rPr>
        <w:t>HISTÓRICO DE MODIFICACIONES DEL DOCUMENTO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00"/>
        <w:gridCol w:w="1800"/>
        <w:gridCol w:w="2300"/>
        <w:gridCol w:w="9000"/>
      </w:tblGrid>
      <w:tr w:rsidR="0023613A" w14:paraId="4677250D" w14:textId="77777777">
        <w:tc>
          <w:tcPr>
            <w:tcW w:w="1300" w:type="dxa"/>
            <w:shd w:val="clear" w:color="auto" w:fill="D9D9D9"/>
            <w:vAlign w:val="center"/>
          </w:tcPr>
          <w:p w14:paraId="2C1C37F6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519B9CED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59E011A7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Realizada por</w:t>
            </w:r>
          </w:p>
        </w:tc>
        <w:tc>
          <w:tcPr>
            <w:tcW w:w="9000" w:type="dxa"/>
            <w:shd w:val="clear" w:color="auto" w:fill="D9D9D9"/>
            <w:vAlign w:val="center"/>
          </w:tcPr>
          <w:p w14:paraId="0412208B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Breve descripción de los cambios</w:t>
            </w:r>
          </w:p>
        </w:tc>
      </w:tr>
      <w:tr w:rsidR="0023613A" w14:paraId="77B0A12B" w14:textId="77777777">
        <w:tc>
          <w:tcPr>
            <w:tcW w:w="1300" w:type="dxa"/>
            <w:vAlign w:val="center"/>
          </w:tcPr>
          <w:p w14:paraId="63D5322C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v1.0</w:t>
            </w:r>
          </w:p>
        </w:tc>
        <w:tc>
          <w:tcPr>
            <w:tcW w:w="1800" w:type="dxa"/>
            <w:vAlign w:val="center"/>
          </w:tcPr>
          <w:p w14:paraId="04F2A2A5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03/10/2026</w:t>
            </w:r>
          </w:p>
        </w:tc>
        <w:tc>
          <w:tcPr>
            <w:tcW w:w="2300" w:type="dxa"/>
            <w:vAlign w:val="center"/>
          </w:tcPr>
          <w:p w14:paraId="6B56538E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DSH</w:t>
            </w:r>
          </w:p>
        </w:tc>
        <w:tc>
          <w:tcPr>
            <w:tcW w:w="9000" w:type="dxa"/>
            <w:vAlign w:val="center"/>
          </w:tcPr>
          <w:p w14:paraId="69D05097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Primera versión del documento. Se parte del contrato TS-CTR-0112 (anexos I y II), del acta de constitución y del informe de requisitos TSL-2627-REQ-01. Los criterios de aceptación que no fija el contrato son propuesta, pendientes de acordar con el interlocutor que firma cada aceptación.</w:t>
            </w:r>
          </w:p>
        </w:tc>
      </w:tr>
      <w:tr w:rsidR="0023613A" w14:paraId="27121C22" w14:textId="77777777">
        <w:tc>
          <w:tcPr>
            <w:tcW w:w="1300" w:type="dxa"/>
            <w:vAlign w:val="center"/>
          </w:tcPr>
          <w:p w14:paraId="4E23F98A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v1.1</w:t>
            </w:r>
          </w:p>
        </w:tc>
        <w:tc>
          <w:tcPr>
            <w:tcW w:w="1800" w:type="dxa"/>
            <w:vAlign w:val="center"/>
          </w:tcPr>
          <w:p w14:paraId="5528F3FB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07/10/2026</w:t>
            </w:r>
          </w:p>
        </w:tc>
        <w:tc>
          <w:tcPr>
            <w:tcW w:w="2300" w:type="dxa"/>
            <w:vAlign w:val="center"/>
          </w:tcPr>
          <w:p w14:paraId="1F24BDA6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DSH</w:t>
            </w:r>
          </w:p>
        </w:tc>
        <w:tc>
          <w:tcPr>
            <w:tcW w:w="9000" w:type="dxa"/>
            <w:vAlign w:val="center"/>
          </w:tcPr>
          <w:p w14:paraId="5F8C5E7F" w14:textId="3A66F3E6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Se adapta el registro al plan de gestión de requisitos de la consultora (TC-OP-REQ): una fila por requisito (RF-01 a RF-08) y por elemento transversal (EP-01 a EP-07) del catálogo; los requisitos no funcionales se asocian a los elementos a los que afectan, sin fila propia; se eliminan los códigos RI, RTR y las filas RT, que no son del catálogo; se añaden las columnas Origen en el contrato y Estado; la prioridad pasa al criterio de operar. Las tres funciones que describe el informe y no consta en el contrato se mantienen, marcadas y pendientes de consulta.</w:t>
            </w:r>
          </w:p>
        </w:tc>
      </w:tr>
    </w:tbl>
    <w:p w14:paraId="7CCE10B3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1250"/>
        <w:gridCol w:w="2900"/>
        <w:gridCol w:w="1450"/>
        <w:gridCol w:w="1200"/>
        <w:gridCol w:w="3350"/>
        <w:gridCol w:w="1650"/>
        <w:gridCol w:w="1425"/>
      </w:tblGrid>
      <w:tr w:rsidR="003620A7" w14:paraId="4AEB44C3" w14:textId="77777777"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0863A6C1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ID DEL REQUISITO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7200FA2D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CATEGORÍA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2A8A75CD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REQUISITO</w:t>
            </w:r>
          </w:p>
        </w:tc>
        <w:tc>
          <w:tcPr>
            <w:tcW w:w="1450" w:type="dxa"/>
            <w:shd w:val="clear" w:color="auto" w:fill="D9D9D9"/>
            <w:vAlign w:val="center"/>
          </w:tcPr>
          <w:p w14:paraId="1CD61137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ORIGEN EN EL CONTRATO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5B5F395B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PRIORIDAD</w:t>
            </w:r>
          </w:p>
        </w:tc>
        <w:tc>
          <w:tcPr>
            <w:tcW w:w="3350" w:type="dxa"/>
            <w:shd w:val="clear" w:color="auto" w:fill="D9D9D9"/>
            <w:vAlign w:val="center"/>
          </w:tcPr>
          <w:p w14:paraId="6F2831BF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CRITERIOS DE ACEPTACIÓN</w:t>
            </w:r>
          </w:p>
        </w:tc>
        <w:tc>
          <w:tcPr>
            <w:tcW w:w="1650" w:type="dxa"/>
            <w:shd w:val="clear" w:color="auto" w:fill="D9D9D9"/>
            <w:vAlign w:val="center"/>
          </w:tcPr>
          <w:p w14:paraId="7409567B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INTERESADO</w:t>
            </w:r>
          </w:p>
        </w:tc>
        <w:tc>
          <w:tcPr>
            <w:tcW w:w="1425" w:type="dxa"/>
            <w:shd w:val="clear" w:color="auto" w:fill="D9D9D9"/>
            <w:vAlign w:val="center"/>
          </w:tcPr>
          <w:p w14:paraId="2547B4AE" w14:textId="77777777" w:rsidR="003620A7" w:rsidRDefault="00000000">
            <w:pPr>
              <w:spacing w:after="0"/>
              <w:jc w:val="center"/>
            </w:pPr>
            <w:r>
              <w:rPr>
                <w:b/>
                <w:sz w:val="16"/>
                <w:szCs w:val="16"/>
                <w:lang w:val="es-ES"/>
              </w:rPr>
              <w:t>ESTADO</w:t>
            </w:r>
          </w:p>
        </w:tc>
      </w:tr>
      <w:tr w:rsidR="003620A7" w14:paraId="7804F302" w14:textId="77777777">
        <w:trPr>
          <w:cantSplit/>
        </w:trPr>
        <w:tc>
          <w:tcPr>
            <w:tcW w:w="14425" w:type="dxa"/>
            <w:gridSpan w:val="8"/>
            <w:shd w:val="clear" w:color="auto" w:fill="F2F2F2"/>
          </w:tcPr>
          <w:p w14:paraId="3EB9C69B" w14:textId="77777777" w:rsidR="003620A7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Requisitos funcionales del catálogo (informe de requisitos, apartado 6.1)</w:t>
            </w:r>
          </w:p>
        </w:tc>
      </w:tr>
      <w:tr w:rsidR="003620A7" w14:paraId="32CC2792" w14:textId="77777777">
        <w:tc>
          <w:tcPr>
            <w:tcW w:w="1200" w:type="dxa"/>
          </w:tcPr>
          <w:p w14:paraId="70EB979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RF-01</w:t>
            </w:r>
          </w:p>
        </w:tc>
        <w:tc>
          <w:tcPr>
            <w:tcW w:w="1250" w:type="dxa"/>
          </w:tcPr>
          <w:p w14:paraId="1923BCC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0B0EAD76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Autenticación de clientes con área personal</w:t>
            </w:r>
          </w:p>
          <w:p w14:paraId="4D21490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Los compradores se registran con su correo, que la plataforma verifica, y acceden con contraseña a un área personal donde consultan sus datos, sus direcciones de entrega y el historial de sus pedidos. Quien olvida la contraseña puede recuperar el acceso.</w:t>
            </w:r>
          </w:p>
          <w:p w14:paraId="10FC78FA" w14:textId="4A660416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RF-01.1 Registro con verificación del correo · RF-01.2 Inicio y cierre de sesión · RF-01.3 Recuperación de la contraseña por correo y por SMS · RF-01.4 Perfil del comprador · RF-01.5 Libreta de direcciones de entrega · RF-01.6 Historial de pedidos.</w:t>
            </w:r>
          </w:p>
        </w:tc>
        <w:tc>
          <w:tcPr>
            <w:tcW w:w="1450" w:type="dxa"/>
          </w:tcPr>
          <w:p w14:paraId="40B9CEF6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1.1.</w:t>
            </w:r>
          </w:p>
          <w:p w14:paraId="3345796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RF-01.</w:t>
            </w:r>
          </w:p>
        </w:tc>
        <w:tc>
          <w:tcPr>
            <w:tcW w:w="1200" w:type="dxa"/>
          </w:tcPr>
          <w:p w14:paraId="0B501E1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1B9E595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RF-01.1: el correo se verifica con un enlace o código enviado a esa dirección; un correo ya registrado o inválido se rechaza con mensaje de error.</w:t>
            </w:r>
          </w:p>
          <w:p w14:paraId="24D6B01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RF-01.2: con cuenta verificada se accede con correo y contraseña y se puede cerrar sesión; con credenciales incorrectas no se abre sesión.</w:t>
            </w:r>
          </w:p>
          <w:p w14:paraId="5B2ED08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RF-01.3: el acceso se restablece con un aviso al correo verificado (y al teléfono si se confirma el SMS); el enlace caduca y sirve una sola vez.</w:t>
            </w:r>
          </w:p>
          <w:p w14:paraId="2E039BC6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RF-01.4: el comprador ve sus datos y puede modificarlos; el cambio se muestra en la consulta siguiente.</w:t>
            </w:r>
          </w:p>
          <w:p w14:paraId="5B7BB9A5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RF-01.5: se pueden dar de alta, cambiar y borrar direcciones; la elegida al comprar es la guardada.</w:t>
            </w:r>
          </w:p>
          <w:p w14:paraId="348DCA0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RF-01.6: lista todos los pedidos con su estado actual, igual al del panel de la tienda (RF-06.3).</w:t>
            </w:r>
          </w:p>
          <w:p w14:paraId="3E8D502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 xml:space="preserve">RNF-04: los datos personales se tratan </w:t>
            </w:r>
            <w:r>
              <w:rPr>
                <w:sz w:val="17"/>
                <w:szCs w:val="17"/>
                <w:lang w:val="es-ES"/>
              </w:rPr>
              <w:lastRenderedPageBreak/>
              <w:t>conforme al RGPD, con Taracea como encargada del tratamiento (cláusula 17; también EP-01).</w:t>
            </w:r>
          </w:p>
        </w:tc>
        <w:tc>
          <w:tcPr>
            <w:tcW w:w="1650" w:type="dxa"/>
          </w:tcPr>
          <w:p w14:paraId="4E47E20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Dirección de Expansión Digital (I-02)</w:t>
            </w:r>
          </w:p>
        </w:tc>
        <w:tc>
          <w:tcPr>
            <w:tcW w:w="1425" w:type="dxa"/>
          </w:tcPr>
          <w:p w14:paraId="36B7BAF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 0 % · C 0 % · V 0 %</w:t>
            </w:r>
          </w:p>
          <w:p w14:paraId="418BFF41" w14:textId="45DCA394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Aceptación: pendiente</w:t>
            </w:r>
          </w:p>
        </w:tc>
      </w:tr>
      <w:tr w:rsidR="003620A7" w14:paraId="59581E85" w14:textId="77777777">
        <w:tc>
          <w:tcPr>
            <w:tcW w:w="1200" w:type="dxa"/>
          </w:tcPr>
          <w:p w14:paraId="5D16E66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RF-02</w:t>
            </w:r>
          </w:p>
        </w:tc>
        <w:tc>
          <w:tcPr>
            <w:tcW w:w="1250" w:type="dxa"/>
          </w:tcPr>
          <w:p w14:paraId="5291D98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40520CC5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Catálogo de productos con búsqueda</w:t>
            </w:r>
          </w:p>
          <w:p w14:paraId="26C0B26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catálogo se organiza por categorías, con ficha de producto, búsqueda por texto y filtro por marca y por formato. Cada producto muestra su precio por unidad de medida e indica si está disponible en la tienda del comprador, según las existencias del ERP.</w:t>
            </w:r>
          </w:p>
          <w:p w14:paraId="498965F9" w14:textId="6B64FD15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RF-02.1 Listado por categorías · RF-02.2 Ficha de producto · RF-02.3 Buscador por texto con sugerencias  · RF-02.4 Filtros por marca y formato · RF-02.5 Ordenación por precio unitario · RF-02.6 Disponibilidad por tienda con datos del ERP.</w:t>
            </w:r>
          </w:p>
        </w:tc>
        <w:tc>
          <w:tcPr>
            <w:tcW w:w="1450" w:type="dxa"/>
          </w:tcPr>
          <w:p w14:paraId="3719D6A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1.2.</w:t>
            </w:r>
          </w:p>
          <w:p w14:paraId="754C8C4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RF-02.</w:t>
            </w:r>
          </w:p>
        </w:tc>
        <w:tc>
          <w:tcPr>
            <w:tcW w:w="1200" w:type="dxa"/>
          </w:tcPr>
          <w:p w14:paraId="14AF325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202A779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RF-02.1: cada producto aparece en su categoría y los listados cargan sin errores con la carga inicial de las 32 tiendas (EP-04).</w:t>
            </w:r>
          </w:p>
          <w:p w14:paraId="183AA2B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RF-02.2: la ficha muestra el precio y el precio por unidad de medida, iguales a los del ERP.</w:t>
            </w:r>
          </w:p>
          <w:p w14:paraId="1C82000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RF-02.3: la búsqueda por texto devuelve los productos que coinciden; sin coincidencias muestra un aviso. Si se confirman las sugerencias, propone términos mientras se escribe.</w:t>
            </w:r>
          </w:p>
          <w:p w14:paraId="4248F94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RF-02.4: el listado filtrado contiene solo las marcas o formatos elegidos y el filtro se puede quitar.</w:t>
            </w:r>
          </w:p>
          <w:p w14:paraId="049094C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RF-02.5: si se confirma, el listado se ordena por precio por unidad de medida, de menor a mayor y al revés.</w:t>
            </w:r>
          </w:p>
          <w:p w14:paraId="39A86AA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RF-02.6: con una existencia cambiada en el ERP, la disponibilidad cambia en la plataforma sin intervención manual (EP-04).</w:t>
            </w:r>
          </w:p>
        </w:tc>
        <w:tc>
          <w:tcPr>
            <w:tcW w:w="1650" w:type="dxa"/>
          </w:tcPr>
          <w:p w14:paraId="0D10C37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Dirección de Expansión Digital (I-02)</w:t>
            </w:r>
          </w:p>
        </w:tc>
        <w:tc>
          <w:tcPr>
            <w:tcW w:w="1425" w:type="dxa"/>
          </w:tcPr>
          <w:p w14:paraId="57277F8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 0 % · C 0 % · V 0 %</w:t>
            </w:r>
          </w:p>
          <w:p w14:paraId="21551D77" w14:textId="3E3150F6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Aceptación: pendiente</w:t>
            </w:r>
          </w:p>
        </w:tc>
      </w:tr>
      <w:tr w:rsidR="003620A7" w14:paraId="2D8997E1" w14:textId="77777777">
        <w:tc>
          <w:tcPr>
            <w:tcW w:w="1200" w:type="dxa"/>
          </w:tcPr>
          <w:p w14:paraId="2497A85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RF-03</w:t>
            </w:r>
          </w:p>
        </w:tc>
        <w:tc>
          <w:tcPr>
            <w:tcW w:w="1250" w:type="dxa"/>
          </w:tcPr>
          <w:p w14:paraId="6920D04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2AE38ECF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Carrito de la compra persistente entre sesiones</w:t>
            </w:r>
          </w:p>
          <w:p w14:paraId="76EA729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comprador añade productos al carrito o los retira y el carrito calcula el importe. Su contenido se conserva entre sesiones y dispositivos, y la cesta puede guardarse para completarla más tarde.</w:t>
            </w:r>
          </w:p>
          <w:p w14:paraId="1B39F69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RF-03.1 Alta de la cesta y de sus líneas · RF-03.2 Modificación y baja de líneas · RF-03.3 Cálculo del importe · RF-03.4 Persistencia entre sesiones y dispositivos · RF-03.5 Cesta guardada para más tarde.</w:t>
            </w:r>
          </w:p>
        </w:tc>
        <w:tc>
          <w:tcPr>
            <w:tcW w:w="1450" w:type="dxa"/>
          </w:tcPr>
          <w:p w14:paraId="19B52D6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1.3.</w:t>
            </w:r>
          </w:p>
          <w:p w14:paraId="569BDDF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RF-03.</w:t>
            </w:r>
          </w:p>
        </w:tc>
        <w:tc>
          <w:tcPr>
            <w:tcW w:w="1200" w:type="dxa"/>
          </w:tcPr>
          <w:p w14:paraId="349F889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6747578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RF-03.1: al añadir el primer producto se crea la cesta y cada producto añadido figura como una línea.</w:t>
            </w:r>
          </w:p>
          <w:p w14:paraId="36F6A87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RF-03.2: se cambia la cantidad de una línea y se retiran productos, y la cesta refleja cada cambio.</w:t>
            </w:r>
          </w:p>
          <w:p w14:paraId="2FAAD5A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RF-03.3: el importe de cada línea y el total se recalculan en cada cambio con los precios vigentes y coinciden con el cálculo manual de los casos de prueba.</w:t>
            </w:r>
          </w:p>
          <w:p w14:paraId="47D3F08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RF-03.4: tras cerrar sesión, y al entrar con la misma cuenta desde otro dispositivo, la cesta muestra el mismo contenido.</w:t>
            </w:r>
          </w:p>
          <w:p w14:paraId="28BFBBC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RF-03.5: el comprador guarda una cesta sin comprar y la recupera después con su contenido intacto.</w:t>
            </w:r>
          </w:p>
        </w:tc>
        <w:tc>
          <w:tcPr>
            <w:tcW w:w="1650" w:type="dxa"/>
          </w:tcPr>
          <w:p w14:paraId="5E94368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Dirección de Expansión Digital (I-02)</w:t>
            </w:r>
          </w:p>
        </w:tc>
        <w:tc>
          <w:tcPr>
            <w:tcW w:w="1425" w:type="dxa"/>
          </w:tcPr>
          <w:p w14:paraId="76FCECC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 0 % · C 0 % · V 0 %</w:t>
            </w:r>
          </w:p>
          <w:p w14:paraId="601555CE" w14:textId="3F063DC2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Aceptación: pendiente</w:t>
            </w:r>
          </w:p>
        </w:tc>
      </w:tr>
      <w:tr w:rsidR="003620A7" w14:paraId="0BD1193C" w14:textId="77777777">
        <w:tc>
          <w:tcPr>
            <w:tcW w:w="1200" w:type="dxa"/>
          </w:tcPr>
          <w:p w14:paraId="129456A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RF-04</w:t>
            </w:r>
          </w:p>
        </w:tc>
        <w:tc>
          <w:tcPr>
            <w:tcW w:w="1250" w:type="dxa"/>
          </w:tcPr>
          <w:p w14:paraId="5FCC015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305BDF1D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Pago mediante pasarela externa</w:t>
            </w:r>
          </w:p>
          <w:p w14:paraId="4F8B2F1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 xml:space="preserve">Pago con tarjeta a través de la pasarela del proveedor con el que opera TuSuper. La plataforma no </w:t>
            </w:r>
            <w:r>
              <w:rPr>
                <w:sz w:val="17"/>
                <w:szCs w:val="17"/>
                <w:lang w:val="es-ES"/>
              </w:rPr>
              <w:lastRenderedPageBreak/>
              <w:t>guarda ningún dato de la tarjeta. El cobro real requiere las credenciales de producción que el proveedor emite a TuSuper como comercio.</w:t>
            </w:r>
          </w:p>
          <w:p w14:paraId="299A006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RF-04.1 Flujo de pago con tarjeta · RF-04.2 Registro del pago en el pedido · RF-04.3 Tratamiento de los pagos rechazados · RF-04.4 Paso a las credenciales de producción, tras la auditoría de comercio.</w:t>
            </w:r>
          </w:p>
        </w:tc>
        <w:tc>
          <w:tcPr>
            <w:tcW w:w="1450" w:type="dxa"/>
          </w:tcPr>
          <w:p w14:paraId="140E967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Contrato TS-CTR-0112, anexo I, apartado 1.4; cláusulas 10 y 17.</w:t>
            </w:r>
          </w:p>
          <w:p w14:paraId="0EADF57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Informe TSL-2627-REQ-01, RF-04.</w:t>
            </w:r>
          </w:p>
        </w:tc>
        <w:tc>
          <w:tcPr>
            <w:tcW w:w="1200" w:type="dxa"/>
          </w:tcPr>
          <w:p w14:paraId="42ADD71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Alta</w:t>
            </w:r>
          </w:p>
        </w:tc>
        <w:tc>
          <w:tcPr>
            <w:tcW w:w="3350" w:type="dxa"/>
          </w:tcPr>
          <w:p w14:paraId="2220EAB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 xml:space="preserve">RF-04.1: el comprador paga con tarjeta en la pasarela y vuelve a la plataforma con el resultado; la plataforma no recibe ni guarda datos de la tarjeta. Con la pasarela en modo </w:t>
            </w:r>
            <w:r>
              <w:rPr>
                <w:sz w:val="17"/>
                <w:szCs w:val="17"/>
                <w:lang w:val="es-ES"/>
              </w:rPr>
              <w:lastRenderedPageBreak/>
              <w:t>de pruebas, las transacciones de prueba se completan.</w:t>
            </w:r>
          </w:p>
          <w:p w14:paraId="63DA31A5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RF-04.2: cada pedido guarda el resultado del pago, aceptado o rechazado, y la referencia de la pasarela.</w:t>
            </w:r>
          </w:p>
          <w:p w14:paraId="44AF70B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RF-04.3: ante un pago rechazado el comprador recibe un aviso y el rechazo queda anotado en el pedido, que no pasa a la tienda.</w:t>
            </w:r>
          </w:p>
          <w:p w14:paraId="1984EEC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RF-04.4: la plataforma funciona con las credenciales de producción emitidas tras superar TuSuper la auditoría de comercio, y un cobro real de prueba se completa.</w:t>
            </w:r>
          </w:p>
        </w:tc>
        <w:tc>
          <w:tcPr>
            <w:tcW w:w="1650" w:type="dxa"/>
          </w:tcPr>
          <w:p w14:paraId="1BC94C9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 xml:space="preserve">Dirección de Expansión Digital (I-02). Interviene: proveedor de la </w:t>
            </w:r>
            <w:r>
              <w:rPr>
                <w:sz w:val="17"/>
                <w:szCs w:val="17"/>
                <w:lang w:val="es-ES"/>
              </w:rPr>
              <w:lastRenderedPageBreak/>
              <w:t>pasarela (I-13).</w:t>
            </w:r>
          </w:p>
        </w:tc>
        <w:tc>
          <w:tcPr>
            <w:tcW w:w="1425" w:type="dxa"/>
          </w:tcPr>
          <w:p w14:paraId="148D1AB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E 0 % · C 0 % · V 0 %</w:t>
            </w:r>
          </w:p>
          <w:p w14:paraId="0445FB94" w14:textId="741B3B92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 xml:space="preserve">Aceptación: </w:t>
            </w:r>
            <w:r>
              <w:rPr>
                <w:sz w:val="17"/>
                <w:szCs w:val="17"/>
                <w:lang w:val="es-ES"/>
              </w:rPr>
              <w:lastRenderedPageBreak/>
              <w:t>pendiente</w:t>
            </w:r>
          </w:p>
        </w:tc>
      </w:tr>
      <w:tr w:rsidR="003620A7" w14:paraId="733D1802" w14:textId="77777777">
        <w:tc>
          <w:tcPr>
            <w:tcW w:w="1200" w:type="dxa"/>
          </w:tcPr>
          <w:p w14:paraId="6FC1DCA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RF-05</w:t>
            </w:r>
          </w:p>
        </w:tc>
        <w:tc>
          <w:tcPr>
            <w:tcW w:w="1250" w:type="dxa"/>
          </w:tcPr>
          <w:p w14:paraId="7B3BB66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3CD29538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Logística de entrega: franjas horarias y validación por código postal</w:t>
            </w:r>
          </w:p>
          <w:p w14:paraId="75B3578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comprador elige la franja de entrega entre las que ofrece la tienda que le corresponde. La plataforma comprueba que el código postal pertenece a la zona de reparto de esa tienda y asigna el pedido a un repartidor.</w:t>
            </w:r>
          </w:p>
          <w:p w14:paraId="7C322CE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RF-05.1 Franjas con capacidad por tienda · RF-05.2 Validación del código postal contra la zona de reparto · RF-05.3 Reserva de la franja en el pedido · RF-05.4 Asignación del pedido a un repartidor.</w:t>
            </w:r>
          </w:p>
        </w:tc>
        <w:tc>
          <w:tcPr>
            <w:tcW w:w="1450" w:type="dxa"/>
          </w:tcPr>
          <w:p w14:paraId="2BF2CAE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1.5; cláusula 10.</w:t>
            </w:r>
          </w:p>
          <w:p w14:paraId="1C5FDAE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RF-05.</w:t>
            </w:r>
          </w:p>
        </w:tc>
        <w:tc>
          <w:tcPr>
            <w:tcW w:w="1200" w:type="dxa"/>
          </w:tcPr>
          <w:p w14:paraId="245DFD4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44CB58F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RF-05.1: cada tienda ofrece las franjas y capacidades que facilita TuSuper y el comprador solo ve las de su tienda.</w:t>
            </w:r>
          </w:p>
          <w:p w14:paraId="4820444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RF-05.2: una dirección con código postal dentro de la zona de reparto se acepta, y una fuera de ella se rechaza con aviso.</w:t>
            </w:r>
          </w:p>
          <w:p w14:paraId="18E86E7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RF-05.3: el pedido queda asignado a la franja elegida, que descuenta una unidad de capacidad; una franja completa deja de ofrecerse.</w:t>
            </w:r>
          </w:p>
          <w:p w14:paraId="27E2FC8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RF-05.4: cada pedido queda asignado a uno de los repartidores de los datos que facilita TuSuper.</w:t>
            </w:r>
          </w:p>
        </w:tc>
        <w:tc>
          <w:tcPr>
            <w:tcW w:w="1650" w:type="dxa"/>
          </w:tcPr>
          <w:p w14:paraId="49FDFE4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Responsable de tiendas (I-05) y Jefe de Sistemas de TI (I-06), conjuntamente</w:t>
            </w:r>
          </w:p>
        </w:tc>
        <w:tc>
          <w:tcPr>
            <w:tcW w:w="1425" w:type="dxa"/>
          </w:tcPr>
          <w:p w14:paraId="3011286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 0 % · C 0 % · V 0 %</w:t>
            </w:r>
          </w:p>
          <w:p w14:paraId="1D482195" w14:textId="330976A0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Aceptación: pendiente</w:t>
            </w:r>
          </w:p>
        </w:tc>
      </w:tr>
      <w:tr w:rsidR="003620A7" w14:paraId="01CA2E20" w14:textId="77777777">
        <w:tc>
          <w:tcPr>
            <w:tcW w:w="1200" w:type="dxa"/>
          </w:tcPr>
          <w:p w14:paraId="09CEFE7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RF-06</w:t>
            </w:r>
          </w:p>
        </w:tc>
        <w:tc>
          <w:tcPr>
            <w:tcW w:w="1250" w:type="dxa"/>
          </w:tcPr>
          <w:p w14:paraId="6505BB5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27F06F04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Panel de gestión de pedidos para cada tienda</w:t>
            </w:r>
          </w:p>
          <w:p w14:paraId="4DDFBCB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Cada tienda dispone de un panel con los pedidos que tiene que preparar. Desde él, su personal cambia el estado de cada pedido hasta entregarlo al repartidor.</w:t>
            </w:r>
          </w:p>
          <w:p w14:paraId="1B570D7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RF-06.1 Lista de pedidos de la tienda · RF-06.2 Detalle del pedido para prepararlo · RF-06.3 Cambio de estado · RF-06.4 Entrega al repartidor.</w:t>
            </w:r>
          </w:p>
        </w:tc>
        <w:tc>
          <w:tcPr>
            <w:tcW w:w="1450" w:type="dxa"/>
          </w:tcPr>
          <w:p w14:paraId="75ACAAC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1.6; anexo II, CA-02.</w:t>
            </w:r>
          </w:p>
          <w:p w14:paraId="7C1F991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RF-06.</w:t>
            </w:r>
          </w:p>
        </w:tc>
        <w:tc>
          <w:tcPr>
            <w:tcW w:w="1200" w:type="dxa"/>
          </w:tcPr>
          <w:p w14:paraId="6341AFB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69FE287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RF-06.1: cada tienda ve solo los pedidos que debe preparar, con su franja y su estado.</w:t>
            </w:r>
          </w:p>
          <w:p w14:paraId="566421A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RF-06.2: el detalle muestra productos, cantidades, franja y dirección de entrega.</w:t>
            </w:r>
          </w:p>
          <w:p w14:paraId="5A6C8A4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RF-06.3: el personal cambia el estado del pedido hasta que sale de la tienda; cada cambio queda registrado y lo ve el comprador en su historial.</w:t>
            </w:r>
          </w:p>
          <w:p w14:paraId="11022BA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RF-06.4: el personal registra la entrega del pedido al repartidor asignado y el pedido pasa a su estado final de tienda.</w:t>
            </w:r>
          </w:p>
          <w:p w14:paraId="1B5249D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CA-02: los cuatro se demuestran con datos reales de las tiendas, cargados desde el ERP y sincronizados con él, sin datos de muestra.</w:t>
            </w:r>
          </w:p>
        </w:tc>
        <w:tc>
          <w:tcPr>
            <w:tcW w:w="1650" w:type="dxa"/>
          </w:tcPr>
          <w:p w14:paraId="3EE692B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Responsable de tiendas (I-05) y Jefe de Sistemas de TI (I-06), conjuntamente. El Responsable de tiendas pide intervenir en el diseño y no firmará la aceptación mientras su carga de trabajo no se resuelva (TS-DED-05).</w:t>
            </w:r>
          </w:p>
        </w:tc>
        <w:tc>
          <w:tcPr>
            <w:tcW w:w="1425" w:type="dxa"/>
          </w:tcPr>
          <w:p w14:paraId="2E9774B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 0 % · C 0 % · V 0 %</w:t>
            </w:r>
          </w:p>
          <w:p w14:paraId="03662C9D" w14:textId="4CC65CC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Aceptación: pendien</w:t>
            </w:r>
            <w:r w:rsidR="00D175D3">
              <w:rPr>
                <w:sz w:val="17"/>
                <w:szCs w:val="17"/>
                <w:lang w:val="es-ES"/>
              </w:rPr>
              <w:t>te</w:t>
            </w:r>
          </w:p>
        </w:tc>
      </w:tr>
      <w:tr w:rsidR="003620A7" w14:paraId="35E48293" w14:textId="77777777">
        <w:tc>
          <w:tcPr>
            <w:tcW w:w="1200" w:type="dxa"/>
          </w:tcPr>
          <w:p w14:paraId="44581FB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RF-07</w:t>
            </w:r>
          </w:p>
        </w:tc>
        <w:tc>
          <w:tcPr>
            <w:tcW w:w="1250" w:type="dxa"/>
          </w:tcPr>
          <w:p w14:paraId="03C6BCF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7A4CA473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Notificaciones al cliente por correo electrónico y aviso móvil</w:t>
            </w:r>
          </w:p>
          <w:p w14:paraId="694DC39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plataforma avisa al comprador de cada cambio de estado de su pedido por correo electrónico y con una notificación en la aplicación móvil, en Android y en iOS.</w:t>
            </w:r>
          </w:p>
          <w:p w14:paraId="6756575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RF-07.1 Correo por cambio de estado · RF-07.2 Notificación en Android · RF-07.3 Notificación en iOS.</w:t>
            </w:r>
          </w:p>
        </w:tc>
        <w:tc>
          <w:tcPr>
            <w:tcW w:w="1450" w:type="dxa"/>
          </w:tcPr>
          <w:p w14:paraId="7661A7B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1.7.</w:t>
            </w:r>
          </w:p>
          <w:p w14:paraId="1B6C85D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RF-07.</w:t>
            </w:r>
          </w:p>
        </w:tc>
        <w:tc>
          <w:tcPr>
            <w:tcW w:w="1200" w:type="dxa"/>
          </w:tcPr>
          <w:p w14:paraId="2D56E83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Media</w:t>
            </w:r>
          </w:p>
        </w:tc>
        <w:tc>
          <w:tcPr>
            <w:tcW w:w="3350" w:type="dxa"/>
          </w:tcPr>
          <w:p w14:paraId="7A17436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RF-07.1: con cada cambio de estado el comprador recibe un correo con el estado nuevo.</w:t>
            </w:r>
          </w:p>
          <w:p w14:paraId="69825DF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RF-07.2: la aplicación para Android muestra una notificación con cada cambio de estado.</w:t>
            </w:r>
          </w:p>
          <w:p w14:paraId="495C0E45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RF-07.3: la aplicación para iOS muestra una notificación con cada cambio de estado.</w:t>
            </w:r>
          </w:p>
          <w:p w14:paraId="6B9C4DB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RNF-06: la aplicación móvil funciona en Android y en iOS (también EP-02 y EP-05).</w:t>
            </w:r>
          </w:p>
        </w:tc>
        <w:tc>
          <w:tcPr>
            <w:tcW w:w="1650" w:type="dxa"/>
          </w:tcPr>
          <w:p w14:paraId="665E982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Responsable de tiendas (I-05) y Jefe de Sistemas de TI (I-06), conjuntamente</w:t>
            </w:r>
          </w:p>
        </w:tc>
        <w:tc>
          <w:tcPr>
            <w:tcW w:w="1425" w:type="dxa"/>
          </w:tcPr>
          <w:p w14:paraId="5601252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 0 % · C 0 % · V 0 %</w:t>
            </w:r>
          </w:p>
          <w:p w14:paraId="04FB4075" w14:textId="2056ABCD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Aceptación: pendiente</w:t>
            </w:r>
          </w:p>
        </w:tc>
      </w:tr>
      <w:tr w:rsidR="003620A7" w14:paraId="76AC09E1" w14:textId="77777777">
        <w:tc>
          <w:tcPr>
            <w:tcW w:w="1200" w:type="dxa"/>
          </w:tcPr>
          <w:p w14:paraId="1A72127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RF-08</w:t>
            </w:r>
          </w:p>
        </w:tc>
        <w:tc>
          <w:tcPr>
            <w:tcW w:w="1250" w:type="dxa"/>
          </w:tcPr>
          <w:p w14:paraId="253B9A5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Funcional</w:t>
            </w:r>
          </w:p>
        </w:tc>
        <w:tc>
          <w:tcPr>
            <w:tcW w:w="2900" w:type="dxa"/>
          </w:tcPr>
          <w:p w14:paraId="7A9C5158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Informes básicos de ventas para la dirección</w:t>
            </w:r>
          </w:p>
          <w:p w14:paraId="59E98C16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dirección de TuSuper cuenta con cuatro informes sobre la venta en línea.</w:t>
            </w:r>
          </w:p>
          <w:p w14:paraId="6FB0103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Funciones: RF-08.1 Ventas por tienda y día · RF-08.2 Cesta media · RF-08.3 Productos más vendidos · RF-08.4 Franjas más demandadas.</w:t>
            </w:r>
          </w:p>
        </w:tc>
        <w:tc>
          <w:tcPr>
            <w:tcW w:w="1450" w:type="dxa"/>
          </w:tcPr>
          <w:p w14:paraId="506B013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1.8; anexo II, CA-01 y CA-02.</w:t>
            </w:r>
          </w:p>
          <w:p w14:paraId="341AA945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RF-08.</w:t>
            </w:r>
          </w:p>
        </w:tc>
        <w:tc>
          <w:tcPr>
            <w:tcW w:w="1200" w:type="dxa"/>
          </w:tcPr>
          <w:p w14:paraId="7DDC936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Media</w:t>
            </w:r>
          </w:p>
        </w:tc>
        <w:tc>
          <w:tcPr>
            <w:tcW w:w="3350" w:type="dxa"/>
          </w:tcPr>
          <w:p w14:paraId="1210DB3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RF-08.1 a RF-08.4: cada informe agrega la venta por periodo comercial de TuSuper, nunca por mes natural, y sus cifras cuadran con la venta en línea que registra el ERP (CA-01).</w:t>
            </w:r>
          </w:p>
          <w:p w14:paraId="2BB6E1B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Los cuatro se demuestran con datos reales de las tiendas, cargados desde el ERP y sincronizados con él, sin datos de muestra (CA-02).</w:t>
            </w:r>
          </w:p>
          <w:p w14:paraId="21FDF25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formato de los informes está por acordar con quien firma la aceptación.</w:t>
            </w:r>
          </w:p>
        </w:tc>
        <w:tc>
          <w:tcPr>
            <w:tcW w:w="1650" w:type="dxa"/>
          </w:tcPr>
          <w:p w14:paraId="2645AFD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Responsable de tiendas (I-05) y Jefe de Sistemas de TI (I-06), conjuntamente</w:t>
            </w:r>
          </w:p>
        </w:tc>
        <w:tc>
          <w:tcPr>
            <w:tcW w:w="1425" w:type="dxa"/>
          </w:tcPr>
          <w:p w14:paraId="5A76CD1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 0 % · C 0 % · V 0 %</w:t>
            </w:r>
          </w:p>
          <w:p w14:paraId="1AA63E2D" w14:textId="75F077EA" w:rsidR="003620A7" w:rsidRDefault="00000000" w:rsidP="00D175D3">
            <w:pPr>
              <w:spacing w:before="40" w:after="40"/>
              <w:ind w:left="708" w:hanging="708"/>
            </w:pPr>
            <w:r>
              <w:rPr>
                <w:sz w:val="17"/>
                <w:szCs w:val="17"/>
                <w:lang w:val="es-ES"/>
              </w:rPr>
              <w:t>Aceptación: pendiente</w:t>
            </w:r>
          </w:p>
        </w:tc>
      </w:tr>
      <w:tr w:rsidR="003620A7" w14:paraId="4E879844" w14:textId="77777777">
        <w:trPr>
          <w:cantSplit/>
        </w:trPr>
        <w:tc>
          <w:tcPr>
            <w:tcW w:w="14425" w:type="dxa"/>
            <w:gridSpan w:val="8"/>
            <w:shd w:val="clear" w:color="auto" w:fill="F2F2F2"/>
          </w:tcPr>
          <w:p w14:paraId="4103EC28" w14:textId="77777777" w:rsidR="003620A7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Elementos transversales del catálogo (informe de requisitos, apartado 6.2)</w:t>
            </w:r>
          </w:p>
        </w:tc>
      </w:tr>
      <w:tr w:rsidR="003620A7" w14:paraId="389D9F32" w14:textId="77777777">
        <w:tc>
          <w:tcPr>
            <w:tcW w:w="1200" w:type="dxa"/>
          </w:tcPr>
          <w:p w14:paraId="42E94B75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EP-01</w:t>
            </w:r>
          </w:p>
        </w:tc>
        <w:tc>
          <w:tcPr>
            <w:tcW w:w="1250" w:type="dxa"/>
          </w:tcPr>
          <w:p w14:paraId="0B00B0C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Transversal</w:t>
            </w:r>
          </w:p>
        </w:tc>
        <w:tc>
          <w:tcPr>
            <w:tcW w:w="2900" w:type="dxa"/>
          </w:tcPr>
          <w:p w14:paraId="348AA400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Especificación funcional y criterios de aceptación</w:t>
            </w:r>
          </w:p>
          <w:p w14:paraId="45C2687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especificación funcional común a toda la plataforma y el marco de criterios de aceptación acordado con el cliente. Se cierra en la planificación.</w:t>
            </w:r>
          </w:p>
        </w:tc>
        <w:tc>
          <w:tcPr>
            <w:tcW w:w="1450" w:type="dxa"/>
          </w:tcPr>
          <w:p w14:paraId="4E2DAC1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cláusula 7.3 y anexo II.</w:t>
            </w:r>
          </w:p>
          <w:p w14:paraId="492FBD8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EP-01.</w:t>
            </w:r>
          </w:p>
        </w:tc>
        <w:tc>
          <w:tcPr>
            <w:tcW w:w="1200" w:type="dxa"/>
          </w:tcPr>
          <w:p w14:paraId="4787CA3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3F64E9A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marco de criterios de aceptación está acordado por escrito con cada interlocutor que firma y TuSuper lo aprueba con el alcance detallado (cláusula 7.3).</w:t>
            </w:r>
          </w:p>
          <w:p w14:paraId="1D64B7C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RNF-04 (protección de datos): ver RF-01.</w:t>
            </w:r>
          </w:p>
        </w:tc>
        <w:tc>
          <w:tcPr>
            <w:tcW w:w="1650" w:type="dxa"/>
          </w:tcPr>
          <w:p w14:paraId="3BEB671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Sin línea de aceptación. Criterios acordados con los firmantes del anexo II: Dirección de Expansión Digital (I-02); Responsable de tiendas (I-05) y Jefe de Sistemas de TI (I-06), conjuntamente.</w:t>
            </w:r>
          </w:p>
        </w:tc>
        <w:tc>
          <w:tcPr>
            <w:tcW w:w="1425" w:type="dxa"/>
          </w:tcPr>
          <w:p w14:paraId="50DFE69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Avance 0 %</w:t>
            </w:r>
          </w:p>
        </w:tc>
      </w:tr>
      <w:tr w:rsidR="003620A7" w14:paraId="1F278D21" w14:textId="77777777">
        <w:tc>
          <w:tcPr>
            <w:tcW w:w="1200" w:type="dxa"/>
          </w:tcPr>
          <w:p w14:paraId="11F11C6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EP-02</w:t>
            </w:r>
          </w:p>
        </w:tc>
        <w:tc>
          <w:tcPr>
            <w:tcW w:w="1250" w:type="dxa"/>
          </w:tcPr>
          <w:p w14:paraId="69DC649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Transversal</w:t>
            </w:r>
          </w:p>
        </w:tc>
        <w:tc>
          <w:tcPr>
            <w:tcW w:w="2900" w:type="dxa"/>
          </w:tcPr>
          <w:p w14:paraId="470B5995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Diseño de interacción, sistema de diseño e interfaz</w:t>
            </w:r>
          </w:p>
          <w:p w14:paraId="19787E7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sistema de diseño, las pautas de interacción y la interfaz común de la web y de la aplicación móvil.</w:t>
            </w:r>
          </w:p>
        </w:tc>
        <w:tc>
          <w:tcPr>
            <w:tcW w:w="1450" w:type="dxa"/>
          </w:tcPr>
          <w:p w14:paraId="3E98BD8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2.</w:t>
            </w:r>
          </w:p>
          <w:p w14:paraId="04ABA82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EP-02.</w:t>
            </w:r>
          </w:p>
        </w:tc>
        <w:tc>
          <w:tcPr>
            <w:tcW w:w="1200" w:type="dxa"/>
          </w:tcPr>
          <w:p w14:paraId="485EBE4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75B68906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sistema de diseño y las pautas de interacción se aplican a todas las pantallas de la web y de la aplicación.</w:t>
            </w:r>
          </w:p>
          <w:p w14:paraId="76B3A635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RNF-05: una auditoría de accesibilidad de los flujos de registro, búsqueda, compra y pago no encuentra incumplimientos del nivel AA de WCAG 2.1.</w:t>
            </w:r>
          </w:p>
          <w:p w14:paraId="64FC495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 xml:space="preserve">RNF-06: los flujos principales superan las pruebas en los navegadores de uso común, </w:t>
            </w:r>
            <w:r>
              <w:rPr>
                <w:sz w:val="17"/>
                <w:szCs w:val="17"/>
                <w:lang w:val="es-ES"/>
              </w:rPr>
              <w:lastRenderedPageBreak/>
              <w:t>en sus dos últimas versiones, y en la aplicación para Android y para iOS.</w:t>
            </w:r>
          </w:p>
          <w:p w14:paraId="3D96AC2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RNF-07: todos los textos de la web, de la aplicación y de las notificaciones están en castellano.</w:t>
            </w:r>
          </w:p>
        </w:tc>
        <w:tc>
          <w:tcPr>
            <w:tcW w:w="1650" w:type="dxa"/>
          </w:tcPr>
          <w:p w14:paraId="58583A2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Línea RF-01 a RF-04: Dirección de Expansión Digital (I-02)</w:t>
            </w:r>
          </w:p>
        </w:tc>
        <w:tc>
          <w:tcPr>
            <w:tcW w:w="1425" w:type="dxa"/>
          </w:tcPr>
          <w:p w14:paraId="4BBCA58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Avance 0 %</w:t>
            </w:r>
          </w:p>
        </w:tc>
      </w:tr>
      <w:tr w:rsidR="003620A7" w14:paraId="655B341F" w14:textId="77777777">
        <w:tc>
          <w:tcPr>
            <w:tcW w:w="1200" w:type="dxa"/>
          </w:tcPr>
          <w:p w14:paraId="4B5DF75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EP-03</w:t>
            </w:r>
          </w:p>
        </w:tc>
        <w:tc>
          <w:tcPr>
            <w:tcW w:w="1250" w:type="dxa"/>
          </w:tcPr>
          <w:p w14:paraId="6EE6A1F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Transversal</w:t>
            </w:r>
          </w:p>
        </w:tc>
        <w:tc>
          <w:tcPr>
            <w:tcW w:w="2900" w:type="dxa"/>
          </w:tcPr>
          <w:p w14:paraId="20E06703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Arquitectura, entorno de desarrollo y canalización de integración continua</w:t>
            </w:r>
          </w:p>
          <w:p w14:paraId="5BDC8F5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arquitectura técnica de la plataforma sobre el entorno técnico estándar de la consultora, el repositorio, el entorno de desarrollo, el entorno de integración continua y la canalización que despliega en él, con sus pruebas automáticas.</w:t>
            </w:r>
          </w:p>
        </w:tc>
        <w:tc>
          <w:tcPr>
            <w:tcW w:w="1450" w:type="dxa"/>
          </w:tcPr>
          <w:p w14:paraId="3772FD3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2.</w:t>
            </w:r>
          </w:p>
          <w:p w14:paraId="51697C0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EP-03; NOR-24.</w:t>
            </w:r>
          </w:p>
        </w:tc>
        <w:tc>
          <w:tcPr>
            <w:tcW w:w="1200" w:type="dxa"/>
          </w:tcPr>
          <w:p w14:paraId="56C6F55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29BF400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arquitectura está documentada sobre el entorno técnico estándar (NOR-24), o su apartamiento está aprobado por la Oficina de Proyectos.</w:t>
            </w:r>
          </w:p>
          <w:p w14:paraId="29075D0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canalización despliega en el entorno de integración continua y ejecuta las pruebas automáticas en cada integración.</w:t>
            </w:r>
          </w:p>
          <w:p w14:paraId="1A898AC6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RNF-01: la arquitectura admite 2.000 compradores a la vez con respuesta en menos de 2 segundos en el 95 % de las peticiones (se comprueba en EP-05).</w:t>
            </w:r>
          </w:p>
          <w:p w14:paraId="299D999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RNF-03: todas las comunicaciones van cifradas y el acceso al ERP cumple las normas de seguridad de Sistemas de TI (se comprueba en EP-05).</w:t>
            </w:r>
          </w:p>
        </w:tc>
        <w:tc>
          <w:tcPr>
            <w:tcW w:w="1650" w:type="dxa"/>
          </w:tcPr>
          <w:p w14:paraId="1E1ABAA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Línea RF-05 a RF-08: Responsable de tiendas (I-05) y Jefe de Sistemas de TI (I-06), conjuntamente</w:t>
            </w:r>
          </w:p>
        </w:tc>
        <w:tc>
          <w:tcPr>
            <w:tcW w:w="1425" w:type="dxa"/>
          </w:tcPr>
          <w:p w14:paraId="02788A3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Avance 0 %</w:t>
            </w:r>
          </w:p>
        </w:tc>
      </w:tr>
      <w:tr w:rsidR="003620A7" w14:paraId="690FA6D6" w14:textId="77777777">
        <w:tc>
          <w:tcPr>
            <w:tcW w:w="1200" w:type="dxa"/>
          </w:tcPr>
          <w:p w14:paraId="76EB88C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EP-04</w:t>
            </w:r>
          </w:p>
        </w:tc>
        <w:tc>
          <w:tcPr>
            <w:tcW w:w="1250" w:type="dxa"/>
          </w:tcPr>
          <w:p w14:paraId="44EBA41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Transversal</w:t>
            </w:r>
          </w:p>
        </w:tc>
        <w:tc>
          <w:tcPr>
            <w:tcW w:w="2900" w:type="dxa"/>
          </w:tcPr>
          <w:p w14:paraId="1F021597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Integración con el ERP heredado (adaptación propia)</w:t>
            </w:r>
          </w:p>
          <w:p w14:paraId="2E030D8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trabajo de Taracea para integrar la plataforma con el ERP de TuSuper: especificación de la interfaz, adaptaciones, pruebas de integración y carga inicial de datos. Comprende la sincronización de catálogo, precios y existencias y el volcado de pedidos y devoluciones. No comprende el conector.</w:t>
            </w:r>
          </w:p>
        </w:tc>
        <w:tc>
          <w:tcPr>
            <w:tcW w:w="1450" w:type="dxa"/>
          </w:tcPr>
          <w:p w14:paraId="462B05C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apartados 3 y 4; anexo II, CA-02 y RT-03.</w:t>
            </w:r>
          </w:p>
          <w:p w14:paraId="7B89884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EP-04.</w:t>
            </w:r>
          </w:p>
        </w:tc>
        <w:tc>
          <w:tcPr>
            <w:tcW w:w="1200" w:type="dxa"/>
          </w:tcPr>
          <w:p w14:paraId="663E9FC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0B83885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Un cambio de precio o de existencias hecho en el ERP se refleja en la plataforma sin intervención manual, con un retardo máximo de 5 minutos (umbral propuesto, a acordar con Sistemas de TI).</w:t>
            </w:r>
          </w:p>
          <w:p w14:paraId="5012CB5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Cada pedido cursado y cada devolución figura en el ERP con sus datos completos, y el total de venta en línea coincide entre la plataforma y el ERP.</w:t>
            </w:r>
          </w:p>
          <w:p w14:paraId="7C0FE95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Carga inicial: los datos de las 32 tiendas están cargados desde el ERP, reales y no de muestra (CA-02), y el número de productos coincide con el del ERP.</w:t>
            </w:r>
          </w:p>
          <w:p w14:paraId="097706B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RT-03: el conector es de un proveedor homologado por el fabricante del ERP, consta por escrito, y no hay otro conector en ningún entorno. El ERP no se modifica.</w:t>
            </w:r>
          </w:p>
        </w:tc>
        <w:tc>
          <w:tcPr>
            <w:tcW w:w="1650" w:type="dxa"/>
          </w:tcPr>
          <w:p w14:paraId="364A8EF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Línea RF-05 a RF-08: Responsable de tiendas (I-05) y Jefe de Sistemas de TI (I-06), conjuntamente. Interviene: fabricante del ERP (I-03).</w:t>
            </w:r>
          </w:p>
        </w:tc>
        <w:tc>
          <w:tcPr>
            <w:tcW w:w="1425" w:type="dxa"/>
          </w:tcPr>
          <w:p w14:paraId="655AD7A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Avance 0 %</w:t>
            </w:r>
          </w:p>
        </w:tc>
      </w:tr>
      <w:tr w:rsidR="003620A7" w14:paraId="7A5900C2" w14:textId="77777777">
        <w:tc>
          <w:tcPr>
            <w:tcW w:w="1200" w:type="dxa"/>
          </w:tcPr>
          <w:p w14:paraId="18804E0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EP-05</w:t>
            </w:r>
          </w:p>
        </w:tc>
        <w:tc>
          <w:tcPr>
            <w:tcW w:w="1250" w:type="dxa"/>
          </w:tcPr>
          <w:p w14:paraId="0D3E978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Transversal</w:t>
            </w:r>
          </w:p>
        </w:tc>
        <w:tc>
          <w:tcPr>
            <w:tcW w:w="2900" w:type="dxa"/>
          </w:tcPr>
          <w:p w14:paraId="3546B004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Verificación y validación: pruebas de sistema y de aceptación</w:t>
            </w:r>
          </w:p>
          <w:p w14:paraId="73DB4ADD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 xml:space="preserve">El plan de pruebas, las pruebas de sistema de la plataforma en su conjunto, incluidas las de carga y </w:t>
            </w:r>
            <w:r>
              <w:rPr>
                <w:sz w:val="17"/>
                <w:szCs w:val="17"/>
                <w:lang w:val="es-ES"/>
              </w:rPr>
              <w:lastRenderedPageBreak/>
              <w:t>seguridad, el apoyo a las pruebas de aceptación del cliente y el seguimiento técnico del piloto en las tres tiendas.</w:t>
            </w:r>
          </w:p>
        </w:tc>
        <w:tc>
          <w:tcPr>
            <w:tcW w:w="1450" w:type="dxa"/>
          </w:tcPr>
          <w:p w14:paraId="3ED3F01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Contrato TS-CTR-0112, anexo I, apartados 2 y 4; anexo II, CA-03, RT-01 y RT-02.</w:t>
            </w:r>
          </w:p>
          <w:p w14:paraId="63AE096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Informe TSL-2627-REQ-01, EP-05.</w:t>
            </w:r>
          </w:p>
        </w:tc>
        <w:tc>
          <w:tcPr>
            <w:tcW w:w="1200" w:type="dxa"/>
          </w:tcPr>
          <w:p w14:paraId="26ABA1F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Alta</w:t>
            </w:r>
          </w:p>
        </w:tc>
        <w:tc>
          <w:tcPr>
            <w:tcW w:w="3350" w:type="dxa"/>
          </w:tcPr>
          <w:p w14:paraId="217149A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Hay un plan de pruebas y las pruebas de sistema se superan sobre el entorno de verificación de TuSuper.</w:t>
            </w:r>
          </w:p>
          <w:p w14:paraId="1222C1F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 xml:space="preserve">RNF-01: en una prueba de carga con 2.000 compradores simultáneos, el 95 % de las </w:t>
            </w:r>
            <w:r>
              <w:rPr>
                <w:sz w:val="17"/>
                <w:szCs w:val="17"/>
                <w:lang w:val="es-ES"/>
              </w:rPr>
              <w:lastRenderedPageBreak/>
              <w:t>peticiones responde en menos de 2 segundos.</w:t>
            </w:r>
          </w:p>
          <w:p w14:paraId="5A76F837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RNF-03: las pruebas de seguridad no dejan vulnerabilidades críticas abiertas.</w:t>
            </w:r>
          </w:p>
          <w:p w14:paraId="211D42A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RNF-06: se prueban los flujos principales en cada navegador y sistema móvil exigidos.</w:t>
            </w:r>
          </w:p>
          <w:p w14:paraId="7A91DC7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Piloto (CA-03): cubre los apartados 1.1 a 1.6 del anexo I, con el conector con el ERP en funcionamiento y al menos dos ciclos completos de reposición de las tiendas participantes, sin incidencia que impida cursar pedidos.</w:t>
            </w:r>
          </w:p>
        </w:tc>
        <w:tc>
          <w:tcPr>
            <w:tcW w:w="1650" w:type="dxa"/>
          </w:tcPr>
          <w:p w14:paraId="48C4F55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 xml:space="preserve">Línea RF-01 a RF-04: Dirección de Expansión Digital (I-02). Interviene en el piloto: Director de </w:t>
            </w:r>
            <w:r>
              <w:rPr>
                <w:sz w:val="17"/>
                <w:szCs w:val="17"/>
                <w:lang w:val="es-ES"/>
              </w:rPr>
              <w:lastRenderedPageBreak/>
              <w:t>Operaciones (I-07).</w:t>
            </w:r>
          </w:p>
        </w:tc>
        <w:tc>
          <w:tcPr>
            <w:tcW w:w="1425" w:type="dxa"/>
          </w:tcPr>
          <w:p w14:paraId="4703DD99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lastRenderedPageBreak/>
              <w:t>Avance 0 %</w:t>
            </w:r>
          </w:p>
        </w:tc>
      </w:tr>
      <w:tr w:rsidR="003620A7" w14:paraId="075BA0B4" w14:textId="77777777">
        <w:tc>
          <w:tcPr>
            <w:tcW w:w="1200" w:type="dxa"/>
          </w:tcPr>
          <w:p w14:paraId="437F0BE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EP-06</w:t>
            </w:r>
          </w:p>
        </w:tc>
        <w:tc>
          <w:tcPr>
            <w:tcW w:w="1250" w:type="dxa"/>
          </w:tcPr>
          <w:p w14:paraId="7BF9BA9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Transversal</w:t>
            </w:r>
          </w:p>
        </w:tc>
        <w:tc>
          <w:tcPr>
            <w:tcW w:w="2900" w:type="dxa"/>
          </w:tcPr>
          <w:p w14:paraId="36785334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Despliegue e infraestructura de producción</w:t>
            </w:r>
          </w:p>
          <w:p w14:paraId="411CC0A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configuración de la plataforma en los entornos de preproducción y producción, el procedimiento de despliegue y el paso a producción, incluido el de las tiendas piloto.</w:t>
            </w:r>
          </w:p>
        </w:tc>
        <w:tc>
          <w:tcPr>
            <w:tcW w:w="1450" w:type="dxa"/>
          </w:tcPr>
          <w:p w14:paraId="071729C0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cláusula 3 y anexo I, apartado 4.</w:t>
            </w:r>
          </w:p>
          <w:p w14:paraId="1EA959E2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EP-06.</w:t>
            </w:r>
          </w:p>
        </w:tc>
        <w:tc>
          <w:tcPr>
            <w:tcW w:w="1200" w:type="dxa"/>
          </w:tcPr>
          <w:p w14:paraId="61E9F03E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66B25CC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Tras superar el piloto, la plataforma está desplegada y abierta a los compradores de las 32 tiendas en la fecha del calendario aceptado por TuSuper, anterior al 15/03/2027, con margen para estabilizarla.</w:t>
            </w:r>
          </w:p>
          <w:p w14:paraId="639D36F8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RNF-02: la disponibilidad es igual o superior al 99,5 % del tiempo, contando las 24 horas de todos los días, en el periodo de medición que se acuerde con TuSuper.</w:t>
            </w:r>
          </w:p>
          <w:p w14:paraId="2152C6A6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plataforma se configura con las credenciales de producción de la pasarela cuando TuSuper las recibe (RF-04.4).</w:t>
            </w:r>
          </w:p>
        </w:tc>
        <w:tc>
          <w:tcPr>
            <w:tcW w:w="1650" w:type="dxa"/>
          </w:tcPr>
          <w:p w14:paraId="7F9BA01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Línea RF-05 a RF-08: Responsable de tiendas (I-05) y Jefe de Sistemas de TI (I-06), conjuntamente</w:t>
            </w:r>
          </w:p>
        </w:tc>
        <w:tc>
          <w:tcPr>
            <w:tcW w:w="1425" w:type="dxa"/>
          </w:tcPr>
          <w:p w14:paraId="105AD2F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Avance 0 %</w:t>
            </w:r>
          </w:p>
        </w:tc>
      </w:tr>
      <w:tr w:rsidR="003620A7" w14:paraId="0B469D41" w14:textId="77777777">
        <w:tc>
          <w:tcPr>
            <w:tcW w:w="1200" w:type="dxa"/>
          </w:tcPr>
          <w:p w14:paraId="6130C67F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EP-07</w:t>
            </w:r>
          </w:p>
        </w:tc>
        <w:tc>
          <w:tcPr>
            <w:tcW w:w="1250" w:type="dxa"/>
          </w:tcPr>
          <w:p w14:paraId="273BDD5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Transversal</w:t>
            </w:r>
          </w:p>
        </w:tc>
        <w:tc>
          <w:tcPr>
            <w:tcW w:w="2900" w:type="dxa"/>
          </w:tcPr>
          <w:p w14:paraId="3EA62479" w14:textId="77777777" w:rsidR="003620A7" w:rsidRDefault="00000000">
            <w:pPr>
              <w:spacing w:before="40" w:after="40"/>
            </w:pPr>
            <w:r>
              <w:rPr>
                <w:b/>
                <w:sz w:val="17"/>
                <w:szCs w:val="17"/>
                <w:lang w:val="es-ES"/>
              </w:rPr>
              <w:t>Documentación de usuario y formación de las tiendas</w:t>
            </w:r>
          </w:p>
          <w:p w14:paraId="06D20AB4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La documentación que necesita el departamento de formación de la consultora y el acceso a un piloto de la plataforma. El departamento redacta el manual de uso para el personal de las tiendas y la guía para los repartidores, y forma al personal de las tres tiendas del piloto.</w:t>
            </w:r>
          </w:p>
        </w:tc>
        <w:tc>
          <w:tcPr>
            <w:tcW w:w="1450" w:type="dxa"/>
          </w:tcPr>
          <w:p w14:paraId="42F15F93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Contrato TS-CTR-0112, anexo I, apartado 4; cláusula 10.</w:t>
            </w:r>
          </w:p>
          <w:p w14:paraId="40EC6F7B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Informe TSL-2627-REQ-01, EP-07; NOR-26.</w:t>
            </w:r>
          </w:p>
        </w:tc>
        <w:tc>
          <w:tcPr>
            <w:tcW w:w="1200" w:type="dxa"/>
          </w:tcPr>
          <w:p w14:paraId="497D9CC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Alta</w:t>
            </w:r>
          </w:p>
        </w:tc>
        <w:tc>
          <w:tcPr>
            <w:tcW w:w="3350" w:type="dxa"/>
          </w:tcPr>
          <w:p w14:paraId="72F51326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El manual de uso y la guía para los repartidores se entregan a TuSuper y se aceptan según los criterios que se acuerden con la oferta del departamento de formación.</w:t>
            </w:r>
          </w:p>
          <w:p w14:paraId="3EEC9F3A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Se imparte la formación al personal de las tres tiendas del piloto, con asistencia registrada, y ese personal completa en una prueba práctica el ciclo del pedido en el panel.</w:t>
            </w:r>
          </w:p>
        </w:tc>
        <w:tc>
          <w:tcPr>
            <w:tcW w:w="1650" w:type="dxa"/>
          </w:tcPr>
          <w:p w14:paraId="16A548D1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Línea RF-05 a RF-08: Responsable de tiendas (I-05) y Jefe de Sistemas de TI (I-06), conjuntamente. Interviene: departamento de formación de Taracea (I-10).</w:t>
            </w:r>
          </w:p>
        </w:tc>
        <w:tc>
          <w:tcPr>
            <w:tcW w:w="1425" w:type="dxa"/>
          </w:tcPr>
          <w:p w14:paraId="5DE73E1C" w14:textId="77777777" w:rsidR="003620A7" w:rsidRDefault="00000000">
            <w:pPr>
              <w:spacing w:before="40" w:after="40"/>
            </w:pPr>
            <w:r>
              <w:rPr>
                <w:sz w:val="17"/>
                <w:szCs w:val="17"/>
                <w:lang w:val="es-ES"/>
              </w:rPr>
              <w:t>Avance 0 %</w:t>
            </w:r>
          </w:p>
        </w:tc>
      </w:tr>
    </w:tbl>
    <w:p w14:paraId="7718C622" w14:textId="25354BB0" w:rsidR="003620A7" w:rsidRDefault="003620A7">
      <w:pPr>
        <w:spacing w:before="60" w:after="40"/>
      </w:pPr>
    </w:p>
    <w:sectPr w:rsidR="003620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0A6B" w14:textId="77777777" w:rsidR="00F22A86" w:rsidRDefault="00F22A86" w:rsidP="00837F2F">
      <w:pPr>
        <w:spacing w:after="0" w:line="240" w:lineRule="auto"/>
      </w:pPr>
      <w:r>
        <w:separator/>
      </w:r>
    </w:p>
  </w:endnote>
  <w:endnote w:type="continuationSeparator" w:id="0">
    <w:p w14:paraId="3546C65C" w14:textId="77777777" w:rsidR="00F22A86" w:rsidRDefault="00F22A86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2C3D9" w14:textId="77777777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C302928" w14:textId="77777777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11EB8" w14:textId="77777777" w:rsidR="00F22A86" w:rsidRDefault="00F22A86" w:rsidP="00837F2F">
      <w:pPr>
        <w:spacing w:after="0" w:line="240" w:lineRule="auto"/>
      </w:pPr>
      <w:r>
        <w:separator/>
      </w:r>
    </w:p>
  </w:footnote>
  <w:footnote w:type="continuationSeparator" w:id="0">
    <w:p w14:paraId="1C9656B0" w14:textId="77777777" w:rsidR="00F22A86" w:rsidRDefault="00F22A86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E627" w14:textId="77777777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FD3"/>
    <w:multiLevelType w:val="multilevel"/>
    <w:tmpl w:val="77B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F5D89"/>
    <w:multiLevelType w:val="hybridMultilevel"/>
    <w:tmpl w:val="A6A456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7A7350"/>
    <w:multiLevelType w:val="hybridMultilevel"/>
    <w:tmpl w:val="0AA00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339774">
    <w:abstractNumId w:val="2"/>
  </w:num>
  <w:num w:numId="2" w16cid:durableId="1184324524">
    <w:abstractNumId w:val="0"/>
  </w:num>
  <w:num w:numId="3" w16cid:durableId="122730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6155"/>
    <w:rsid w:val="00105DAE"/>
    <w:rsid w:val="00131E1D"/>
    <w:rsid w:val="00142C73"/>
    <w:rsid w:val="00162139"/>
    <w:rsid w:val="001879E2"/>
    <w:rsid w:val="00204A21"/>
    <w:rsid w:val="002064D6"/>
    <w:rsid w:val="00217C94"/>
    <w:rsid w:val="0023613A"/>
    <w:rsid w:val="00261721"/>
    <w:rsid w:val="0028298D"/>
    <w:rsid w:val="00296934"/>
    <w:rsid w:val="002C5B64"/>
    <w:rsid w:val="002E2219"/>
    <w:rsid w:val="00355532"/>
    <w:rsid w:val="003620A7"/>
    <w:rsid w:val="00387B0B"/>
    <w:rsid w:val="003D218D"/>
    <w:rsid w:val="003E16E9"/>
    <w:rsid w:val="004078F5"/>
    <w:rsid w:val="00456964"/>
    <w:rsid w:val="00462333"/>
    <w:rsid w:val="00476230"/>
    <w:rsid w:val="00495156"/>
    <w:rsid w:val="004B1F41"/>
    <w:rsid w:val="004D078B"/>
    <w:rsid w:val="004D4B0D"/>
    <w:rsid w:val="0051331B"/>
    <w:rsid w:val="0055087B"/>
    <w:rsid w:val="00557815"/>
    <w:rsid w:val="005910C2"/>
    <w:rsid w:val="005C6798"/>
    <w:rsid w:val="005E08FB"/>
    <w:rsid w:val="005E29B5"/>
    <w:rsid w:val="00617076"/>
    <w:rsid w:val="0064503C"/>
    <w:rsid w:val="00684048"/>
    <w:rsid w:val="006A4329"/>
    <w:rsid w:val="006B191B"/>
    <w:rsid w:val="006B2A51"/>
    <w:rsid w:val="006C6B81"/>
    <w:rsid w:val="006F2844"/>
    <w:rsid w:val="0070486A"/>
    <w:rsid w:val="0071790F"/>
    <w:rsid w:val="00751950"/>
    <w:rsid w:val="0075554B"/>
    <w:rsid w:val="0079596E"/>
    <w:rsid w:val="00796E26"/>
    <w:rsid w:val="00796EAD"/>
    <w:rsid w:val="007C620A"/>
    <w:rsid w:val="007D2C1A"/>
    <w:rsid w:val="007E4C58"/>
    <w:rsid w:val="00833AAB"/>
    <w:rsid w:val="00837F2F"/>
    <w:rsid w:val="00891B24"/>
    <w:rsid w:val="008958E4"/>
    <w:rsid w:val="008A55CB"/>
    <w:rsid w:val="008A6DAB"/>
    <w:rsid w:val="008B708A"/>
    <w:rsid w:val="00921038"/>
    <w:rsid w:val="00924DFE"/>
    <w:rsid w:val="0095401D"/>
    <w:rsid w:val="00954EB8"/>
    <w:rsid w:val="00993060"/>
    <w:rsid w:val="0099587A"/>
    <w:rsid w:val="009B57BF"/>
    <w:rsid w:val="00A3146B"/>
    <w:rsid w:val="00A45DF9"/>
    <w:rsid w:val="00A579A3"/>
    <w:rsid w:val="00A95442"/>
    <w:rsid w:val="00AA2C51"/>
    <w:rsid w:val="00AB56D0"/>
    <w:rsid w:val="00AD5DD1"/>
    <w:rsid w:val="00AE409B"/>
    <w:rsid w:val="00B57964"/>
    <w:rsid w:val="00B729F6"/>
    <w:rsid w:val="00B94E9B"/>
    <w:rsid w:val="00B95FB6"/>
    <w:rsid w:val="00BD4FA7"/>
    <w:rsid w:val="00BE3CDA"/>
    <w:rsid w:val="00BF037F"/>
    <w:rsid w:val="00C441A8"/>
    <w:rsid w:val="00C532BA"/>
    <w:rsid w:val="00CE6186"/>
    <w:rsid w:val="00CF46C3"/>
    <w:rsid w:val="00CF78D0"/>
    <w:rsid w:val="00D00C17"/>
    <w:rsid w:val="00D175D3"/>
    <w:rsid w:val="00D22DE6"/>
    <w:rsid w:val="00D37C41"/>
    <w:rsid w:val="00D815D5"/>
    <w:rsid w:val="00DE7D9A"/>
    <w:rsid w:val="00DF09F4"/>
    <w:rsid w:val="00E247D6"/>
    <w:rsid w:val="00E566F8"/>
    <w:rsid w:val="00EA25E4"/>
    <w:rsid w:val="00EA4A2A"/>
    <w:rsid w:val="00EF1A26"/>
    <w:rsid w:val="00F10776"/>
    <w:rsid w:val="00F17693"/>
    <w:rsid w:val="00F22A86"/>
    <w:rsid w:val="00F76F0A"/>
    <w:rsid w:val="00F90956"/>
    <w:rsid w:val="00F96C66"/>
    <w:rsid w:val="00F97A20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223F64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2219"/>
    <w:pPr>
      <w:ind w:left="720"/>
      <w:contextualSpacing/>
    </w:pPr>
  </w:style>
  <w:style w:type="paragraph" w:styleId="Sinespaciado">
    <w:name w:val="No Spacing"/>
    <w:uiPriority w:val="1"/>
    <w:qFormat/>
    <w:rsid w:val="00A3146B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2799</Words>
  <Characters>15400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Daniel</cp:lastModifiedBy>
  <cp:revision>15</cp:revision>
  <dcterms:created xsi:type="dcterms:W3CDTF">2025-10-06T11:08:00Z</dcterms:created>
  <dcterms:modified xsi:type="dcterms:W3CDTF">2026-10-07T18:19:00Z</dcterms:modified>
</cp:coreProperties>
</file>