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bkjh8tvh55p" w:id="0"/>
      <w:bookmarkEnd w:id="0"/>
      <w:r w:rsidDel="00000000" w:rsidR="00000000" w:rsidRPr="00000000">
        <w:rPr>
          <w:rtl w:val="0"/>
        </w:rPr>
        <w:t xml:space="preserve">Mercado</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77ulibycljcw" w:id="1"/>
      <w:bookmarkEnd w:id="1"/>
      <w:r w:rsidDel="00000000" w:rsidR="00000000" w:rsidRPr="00000000">
        <w:rPr>
          <w:b w:val="1"/>
          <w:bCs w:val="1"/>
          <w:color w:val="000000"/>
          <w:sz w:val="26"/>
          <w:szCs w:val="26"/>
          <w:rtl w:val="0"/>
        </w:rPr>
        <w:t xml:space="preserve">. Requisitos Funcionales Troncales (Lo común en el mercado)</w:t>
      </w:r>
    </w:p>
    <w:p w:rsidR="00000000" w:rsidDel="00000000" w:rsidP="00000000" w:rsidRDefault="00000000" w:rsidRPr="00000000" w14:paraId="00000004">
      <w:pPr>
        <w:spacing w:after="240" w:lineRule="auto"/>
        <w:rPr/>
      </w:pPr>
      <w:r w:rsidDel="00000000" w:rsidR="00000000" w:rsidRPr="00000000">
        <w:rPr>
          <w:rtl w:val="0"/>
        </w:rPr>
        <w:t xml:space="preserve">Independientemente de su enfoque (terreno u oficina), todos estos sistemas de clase mundial comparten los siguientes </w:t>
      </w:r>
      <w:r w:rsidDel="00000000" w:rsidR="00000000" w:rsidRPr="00000000">
        <w:rPr>
          <w:b w:val="1"/>
          <w:bCs w:val="1"/>
          <w:rtl w:val="0"/>
        </w:rPr>
        <w:t xml:space="preserve">requisitos clave</w:t>
      </w:r>
      <w:r w:rsidDel="00000000" w:rsidR="00000000" w:rsidRPr="00000000">
        <w:rPr>
          <w:rtl w:val="0"/>
        </w:rPr>
        <w:t xml:space="preserve">:</w:t>
      </w:r>
    </w:p>
    <w:p w:rsidR="00000000" w:rsidDel="00000000" w:rsidP="00000000" w:rsidRDefault="00000000" w:rsidRPr="00000000" w14:paraId="00000005">
      <w:pPr>
        <w:numPr>
          <w:ilvl w:val="0"/>
          <w:numId w:val="6"/>
        </w:numPr>
        <w:spacing w:after="0" w:afterAutospacing="0" w:lineRule="auto"/>
        <w:ind w:left="720" w:hanging="360"/>
      </w:pPr>
      <w:r w:rsidDel="00000000" w:rsidR="00000000" w:rsidRPr="00000000">
        <w:rPr>
          <w:b w:val="1"/>
          <w:bCs w:val="1"/>
          <w:rtl w:val="0"/>
        </w:rPr>
        <w:t xml:space="preserve">Captura Omnicanal y Offline:</w:t>
      </w:r>
      <w:r w:rsidDel="00000000" w:rsidR="00000000" w:rsidRPr="00000000">
        <w:rPr>
          <w:rtl w:val="0"/>
        </w:rPr>
        <w:t xml:space="preserve"> Capacidad de ingresar datos desde aplicaciones móviles (incluso sin internet) o plataformas web, estandarizando la entrada de información para eliminar el papel.</w:t>
      </w:r>
    </w:p>
    <w:p w:rsidR="00000000" w:rsidDel="00000000" w:rsidP="00000000" w:rsidRDefault="00000000" w:rsidRPr="00000000" w14:paraId="00000006">
      <w:pPr>
        <w:numPr>
          <w:ilvl w:val="0"/>
          <w:numId w:val="6"/>
        </w:numPr>
        <w:spacing w:after="0" w:afterAutospacing="0" w:lineRule="auto"/>
        <w:ind w:left="720" w:hanging="360"/>
      </w:pPr>
      <w:r w:rsidDel="00000000" w:rsidR="00000000" w:rsidRPr="00000000">
        <w:rPr>
          <w:b w:val="1"/>
          <w:bCs w:val="1"/>
          <w:rtl w:val="0"/>
        </w:rPr>
        <w:t xml:space="preserve">Motor de Flujos de Trabajo (Workflows):</w:t>
      </w:r>
      <w:r w:rsidDel="00000000" w:rsidR="00000000" w:rsidRPr="00000000">
        <w:rPr>
          <w:rtl w:val="0"/>
        </w:rPr>
        <w:t xml:space="preserve"> Todos cuentan con un sistema de estados (Ej: Borrador $\rightarrow$ En Revisión $\rightarrow$ Aprobado $\rightarrow$ Cerrado). La transición de un estado a otro detona notificaciones o bloqueos lógicos.</w:t>
      </w:r>
    </w:p>
    <w:p w:rsidR="00000000" w:rsidDel="00000000" w:rsidP="00000000" w:rsidRDefault="00000000" w:rsidRPr="00000000" w14:paraId="00000007">
      <w:pPr>
        <w:numPr>
          <w:ilvl w:val="0"/>
          <w:numId w:val="6"/>
        </w:numPr>
        <w:spacing w:after="0" w:afterAutospacing="0" w:lineRule="auto"/>
        <w:ind w:left="720" w:hanging="360"/>
      </w:pPr>
      <w:r w:rsidDel="00000000" w:rsidR="00000000" w:rsidRPr="00000000">
        <w:rPr>
          <w:b w:val="1"/>
          <w:bCs w:val="1"/>
          <w:rtl w:val="0"/>
        </w:rPr>
        <w:t xml:space="preserve">Trazabilidad y Auditoría (Log de eventos):</w:t>
      </w:r>
      <w:r w:rsidDel="00000000" w:rsidR="00000000" w:rsidRPr="00000000">
        <w:rPr>
          <w:rtl w:val="0"/>
        </w:rPr>
        <w:t xml:space="preserve"> Registro inmutable de quién creó, modificó, aprobó o firmó un documento, junto con la fecha y hora exacta.</w:t>
      </w:r>
    </w:p>
    <w:p w:rsidR="00000000" w:rsidDel="00000000" w:rsidP="00000000" w:rsidRDefault="00000000" w:rsidRPr="00000000" w14:paraId="00000008">
      <w:pPr>
        <w:numPr>
          <w:ilvl w:val="0"/>
          <w:numId w:val="6"/>
        </w:numPr>
        <w:spacing w:after="0" w:afterAutospacing="0" w:lineRule="auto"/>
        <w:ind w:left="720" w:hanging="360"/>
      </w:pPr>
      <w:r w:rsidDel="00000000" w:rsidR="00000000" w:rsidRPr="00000000">
        <w:rPr>
          <w:b w:val="1"/>
          <w:bCs w:val="1"/>
          <w:rtl w:val="0"/>
        </w:rPr>
        <w:t xml:space="preserve">Validación mediante Firma Digital:</w:t>
      </w:r>
      <w:r w:rsidDel="00000000" w:rsidR="00000000" w:rsidRPr="00000000">
        <w:rPr>
          <w:rtl w:val="0"/>
        </w:rPr>
        <w:t xml:space="preserve"> Capacidad de requerir firmas electrónicas como condición obligatoria para cerrar un proceso o autorizar un avance.</w:t>
      </w:r>
    </w:p>
    <w:p w:rsidR="00000000" w:rsidDel="00000000" w:rsidP="00000000" w:rsidRDefault="00000000" w:rsidRPr="00000000" w14:paraId="00000009">
      <w:pPr>
        <w:numPr>
          <w:ilvl w:val="0"/>
          <w:numId w:val="6"/>
        </w:numPr>
        <w:spacing w:after="240" w:lineRule="auto"/>
        <w:ind w:left="720" w:hanging="360"/>
      </w:pPr>
      <w:r w:rsidDel="00000000" w:rsidR="00000000" w:rsidRPr="00000000">
        <w:rPr>
          <w:b w:val="1"/>
          <w:bCs w:val="1"/>
          <w:rtl w:val="0"/>
        </w:rPr>
        <w:t xml:space="preserve">Clasificación por Metadatos:</w:t>
      </w:r>
      <w:r w:rsidDel="00000000" w:rsidR="00000000" w:rsidRPr="00000000">
        <w:rPr>
          <w:rtl w:val="0"/>
        </w:rPr>
        <w:t xml:space="preserve"> Abandono del sistema tradicional de archivos a favor de etiquetas dinámicas (Categorías, Subtipos, Proyecto, Área) para buscar y filtrar información rápidamente.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upevzf2ynsh3" w:id="2"/>
      <w:bookmarkEnd w:id="2"/>
      <w:r w:rsidDel="00000000" w:rsidR="00000000" w:rsidRPr="00000000">
        <w:rPr>
          <w:b w:val="1"/>
          <w:bCs w:val="1"/>
          <w:color w:val="000000"/>
          <w:sz w:val="26"/>
          <w:szCs w:val="26"/>
          <w:rtl w:val="0"/>
        </w:rPr>
        <w:t xml:space="preserve">3. Capas Principales del Sistema (Arquitectura Estándar del Mercado)</w:t>
      </w:r>
    </w:p>
    <w:p w:rsidR="00000000" w:rsidDel="00000000" w:rsidP="00000000" w:rsidRDefault="00000000" w:rsidRPr="00000000" w14:paraId="0000000C">
      <w:pPr>
        <w:spacing w:after="240" w:lineRule="auto"/>
        <w:rPr/>
      </w:pPr>
      <w:r w:rsidDel="00000000" w:rsidR="00000000" w:rsidRPr="00000000">
        <w:rPr>
          <w:rtl w:val="0"/>
        </w:rPr>
        <w:t xml:space="preserve">Si hacemos una "radiografía" a la arquitectura de estos 4 sistemas, todos operan bajo un modelo de capas muy similar al que ustedes deben implementar con React y SharePoint:</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Capa de Presentación / Captura (Frontend):</w:t>
      </w:r>
      <w:r w:rsidDel="00000000" w:rsidR="00000000" w:rsidRPr="00000000">
        <w:rPr>
          <w:rtl w:val="0"/>
        </w:rPr>
        <w:t xml:space="preserve"> Interfaces de usuario (Web y App Móvil). Debe ser responsiva, intuitiva (para personal de terreno no técnico) y tener capacidad de caché para almacenamiento temporal offline.</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Capa de Orquestación y Lógica de Negocio (Middleware/Backend):</w:t>
      </w:r>
      <w:r w:rsidDel="00000000" w:rsidR="00000000" w:rsidRPr="00000000">
        <w:rPr>
          <w:rtl w:val="0"/>
        </w:rPr>
        <w:t xml:space="preserve"> El "cerebro" del sistema. Aquí viven las reglas del negocio (ej. "Si no hay firma, no avanza"), el enrutamiento de los flujos de trabajo y la asignación de permisos según el rol del usuario.</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b w:val="1"/>
          <w:bCs w:val="1"/>
          <w:rtl w:val="0"/>
        </w:rPr>
        <w:t xml:space="preserve">Capa de Almacenamiento (Base de Datos / Repositorio):</w:t>
      </w:r>
      <w:r w:rsidDel="00000000" w:rsidR="00000000" w:rsidRPr="00000000">
        <w:rPr>
          <w:rtl w:val="0"/>
        </w:rPr>
        <w:t xml:space="preserve"> Repositorios en la nube seguros (equivalente a los </w:t>
      </w:r>
      <w:r w:rsidDel="00000000" w:rsidR="00000000" w:rsidRPr="00000000">
        <w:rPr>
          <w:i w:val="1"/>
          <w:iCs w:val="1"/>
          <w:rtl w:val="0"/>
        </w:rPr>
        <w:t xml:space="preserve">Document Sets</w:t>
      </w:r>
      <w:r w:rsidDel="00000000" w:rsidR="00000000" w:rsidRPr="00000000">
        <w:rPr>
          <w:rtl w:val="0"/>
        </w:rPr>
        <w:t xml:space="preserve"> y Listas de SharePoint) donde se guardan los archivos físicos anclados a sus respectivos metadatos.</w:t>
      </w:r>
    </w:p>
    <w:p w:rsidR="00000000" w:rsidDel="00000000" w:rsidP="00000000" w:rsidRDefault="00000000" w:rsidRPr="00000000" w14:paraId="00000010">
      <w:pPr>
        <w:numPr>
          <w:ilvl w:val="0"/>
          <w:numId w:val="1"/>
        </w:numPr>
        <w:spacing w:after="240" w:lineRule="auto"/>
        <w:ind w:left="720" w:hanging="360"/>
      </w:pPr>
      <w:r w:rsidDel="00000000" w:rsidR="00000000" w:rsidRPr="00000000">
        <w:rPr>
          <w:b w:val="1"/>
          <w:bCs w:val="1"/>
          <w:rtl w:val="0"/>
        </w:rPr>
        <w:t xml:space="preserve">Capa de Integración y Analítica (APIs):</w:t>
      </w:r>
      <w:r w:rsidDel="00000000" w:rsidR="00000000" w:rsidRPr="00000000">
        <w:rPr>
          <w:rtl w:val="0"/>
        </w:rPr>
        <w:t xml:space="preserve"> Puertas de enlace que permiten a estos sistemas enviar sus datos en tiempo real a ERPs, CRMs o herramientas de Inteligencia de Negocios (como Power BI) para generar reportes.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1aabl3wtdupr" w:id="3"/>
      <w:bookmarkEnd w:id="3"/>
      <w:r w:rsidDel="00000000" w:rsidR="00000000" w:rsidRPr="00000000">
        <w:rPr>
          <w:b w:val="1"/>
          <w:bCs w:val="1"/>
          <w:color w:val="000000"/>
          <w:sz w:val="26"/>
          <w:szCs w:val="26"/>
          <w:rtl w:val="0"/>
        </w:rPr>
        <w:t xml:space="preserve">4. Módulos Principales (El estándar de la industria)</w:t>
      </w:r>
    </w:p>
    <w:p w:rsidR="00000000" w:rsidDel="00000000" w:rsidP="00000000" w:rsidRDefault="00000000" w:rsidRPr="00000000" w14:paraId="00000013">
      <w:pPr>
        <w:spacing w:after="240" w:lineRule="auto"/>
        <w:rPr/>
      </w:pPr>
      <w:r w:rsidDel="00000000" w:rsidR="00000000" w:rsidRPr="00000000">
        <w:rPr>
          <w:rtl w:val="0"/>
        </w:rPr>
        <w:t xml:space="preserve">Cualquier sistema de gestión documental competitivo en la actualidad se divide en al menos estos módulos base:</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b w:val="1"/>
          <w:bCs w:val="1"/>
          <w:rtl w:val="0"/>
        </w:rPr>
        <w:t xml:space="preserve">Módulo de Administración (Mantenedores):</w:t>
      </w:r>
      <w:r w:rsidDel="00000000" w:rsidR="00000000" w:rsidRPr="00000000">
        <w:rPr>
          <w:rtl w:val="0"/>
        </w:rPr>
        <w:t xml:space="preserve"> Donde se gestionan los usuarios, roles (Lectura/Colaborador), áreas, contratistas, categorías y subtipos.</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b w:val="1"/>
          <w:bCs w:val="1"/>
          <w:rtl w:val="0"/>
        </w:rPr>
        <w:t xml:space="preserve">Módulo de Creación / Formularios:</w:t>
      </w:r>
      <w:r w:rsidDel="00000000" w:rsidR="00000000" w:rsidRPr="00000000">
        <w:rPr>
          <w:rtl w:val="0"/>
        </w:rPr>
        <w:t xml:space="preserve"> La interfaz donde el usuario final (ej. Contratista) sube su documento, llena los campos requeridos y estampa su firma.</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b w:val="1"/>
          <w:bCs w:val="1"/>
          <w:rtl w:val="0"/>
        </w:rPr>
        <w:t xml:space="preserve">Módulo de Bandeja de Tareas (Workflow):</w:t>
      </w:r>
      <w:r w:rsidDel="00000000" w:rsidR="00000000" w:rsidRPr="00000000">
        <w:rPr>
          <w:rtl w:val="0"/>
        </w:rPr>
        <w:t xml:space="preserve"> Un panel donde los supervisores o aprobadores ven los requerimientos pendientes, "En Progreso" o bloqueados, para gestionarlos.</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b w:val="1"/>
          <w:bCs w:val="1"/>
          <w:rtl w:val="0"/>
        </w:rPr>
        <w:t xml:space="preserve">Módulo de Búsqueda Documental:</w:t>
      </w:r>
      <w:r w:rsidDel="00000000" w:rsidR="00000000" w:rsidRPr="00000000">
        <w:rPr>
          <w:rtl w:val="0"/>
        </w:rPr>
        <w:t xml:space="preserve"> Un buscador avanzado que utiliza los metadatos para encontrar rápidamente expedientes históricos.</w:t>
      </w:r>
    </w:p>
    <w:p w:rsidR="00000000" w:rsidDel="00000000" w:rsidP="00000000" w:rsidRDefault="00000000" w:rsidRPr="00000000" w14:paraId="00000018">
      <w:pPr>
        <w:numPr>
          <w:ilvl w:val="0"/>
          <w:numId w:val="2"/>
        </w:numPr>
        <w:spacing w:after="240" w:lineRule="auto"/>
        <w:ind w:left="720" w:hanging="360"/>
      </w:pPr>
      <w:r w:rsidDel="00000000" w:rsidR="00000000" w:rsidRPr="00000000">
        <w:rPr>
          <w:b w:val="1"/>
          <w:bCs w:val="1"/>
          <w:rtl w:val="0"/>
        </w:rPr>
        <w:t xml:space="preserve">Módulo de Dashboards / Reportería:</w:t>
      </w:r>
      <w:r w:rsidDel="00000000" w:rsidR="00000000" w:rsidRPr="00000000">
        <w:rPr>
          <w:rtl w:val="0"/>
        </w:rPr>
        <w:t xml:space="preserve"> Panel gráfico (integrado nativamente o vía Power BI/similares) que muestra métricas clave (requerimientos abiertos vs. cerrados, rendimiento por contratista, etc.).</w:t>
      </w:r>
    </w:p>
    <w:p w:rsidR="00000000" w:rsidDel="00000000" w:rsidP="00000000" w:rsidRDefault="00000000" w:rsidRPr="00000000" w14:paraId="00000019">
      <w:pPr>
        <w:pStyle w:val="Heading1"/>
        <w:rPr/>
      </w:pPr>
      <w:bookmarkStart w:colFirst="0" w:colLast="0" w:name="_xyjpegmr8ji8" w:id="4"/>
      <w:bookmarkEnd w:id="4"/>
      <w:r w:rsidDel="00000000" w:rsidR="00000000" w:rsidRPr="00000000">
        <w:rPr>
          <w:rtl w:val="0"/>
        </w:rPr>
        <w:t xml:space="preserve">Diferenciadores de nuestra problemática</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aoegmos8snpb" w:id="5"/>
      <w:bookmarkEnd w:id="5"/>
      <w:r w:rsidDel="00000000" w:rsidR="00000000" w:rsidRPr="00000000">
        <w:rPr>
          <w:b w:val="1"/>
          <w:bCs w:val="1"/>
          <w:color w:val="000000"/>
          <w:sz w:val="26"/>
          <w:szCs w:val="26"/>
          <w:rtl w:val="0"/>
        </w:rPr>
        <w:t xml:space="preserve">1. Aprovechamiento de Infraestructura y Cero Costo de Licenciamiento SaaS (TCO)</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b w:val="1"/>
          <w:bCs w:val="1"/>
          <w:rtl w:val="0"/>
        </w:rPr>
        <w:t xml:space="preserve">Lo que hace la competencia:</w:t>
      </w:r>
      <w:r w:rsidDel="00000000" w:rsidR="00000000" w:rsidRPr="00000000">
        <w:rPr>
          <w:rtl w:val="0"/>
        </w:rPr>
        <w:t xml:space="preserve"> Sistemas como Kizeo, DataScope o DocuWare operan bajo un modelo SaaS (Software as a Service), cobrando licencias mensuales por cada usuario activo, lo que encarece el Costo Total de Propiedad (TCO) a largo plazo cuando hay muchos trabajadores en terreno.</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b w:val="1"/>
          <w:bCs w:val="1"/>
          <w:rtl w:val="0"/>
        </w:rPr>
        <w:t xml:space="preserve">El diferenciador del proyecto:</w:t>
      </w:r>
      <w:r w:rsidDel="00000000" w:rsidR="00000000" w:rsidRPr="00000000">
        <w:rPr>
          <w:rtl w:val="0"/>
        </w:rPr>
        <w:t xml:space="preserve"> El sistema propuesto se construye de manera nativa sobre el framework SPFx. Esto significa que se "cuelga" de las licencias de Microsoft 365 que el cliente ya paga por su Tenant corporativo. No hay cobros extras por usuarios ni por almacenamiento a terceros, logrando una eficiencia económica inigualable.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ckoxrotqrtr5" w:id="6"/>
      <w:bookmarkEnd w:id="6"/>
      <w:r w:rsidDel="00000000" w:rsidR="00000000" w:rsidRPr="00000000">
        <w:rPr>
          <w:b w:val="1"/>
          <w:bCs w:val="1"/>
          <w:color w:val="000000"/>
          <w:sz w:val="26"/>
          <w:szCs w:val="26"/>
          <w:rtl w:val="0"/>
        </w:rPr>
        <w:t xml:space="preserve">2. Soberanía Absoluta y Privacidad del Dato</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b w:val="1"/>
          <w:bCs w:val="1"/>
          <w:rtl w:val="0"/>
        </w:rPr>
        <w:t xml:space="preserve">Lo que hace la competencia:</w:t>
      </w:r>
      <w:r w:rsidDel="00000000" w:rsidR="00000000" w:rsidRPr="00000000">
        <w:rPr>
          <w:rtl w:val="0"/>
        </w:rPr>
        <w:t xml:space="preserve"> Al usar soluciones de mercado, los datos sensibles del negocio (planos, firmas, coordenadas) se almacenan en los servidores en la nube de dichas empresas (AWS, Google Cloud, etc.), fuera del control directo del departamento de TI del cliente.</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b w:val="1"/>
          <w:bCs w:val="1"/>
          <w:rtl w:val="0"/>
        </w:rPr>
        <w:t xml:space="preserve">El diferenciador del proyecto:</w:t>
      </w:r>
      <w:r w:rsidDel="00000000" w:rsidR="00000000" w:rsidRPr="00000000">
        <w:rPr>
          <w:rtl w:val="0"/>
        </w:rPr>
        <w:t xml:space="preserve"> Al utilizar Listas y </w:t>
      </w:r>
      <w:r w:rsidDel="00000000" w:rsidR="00000000" w:rsidRPr="00000000">
        <w:rPr>
          <w:i w:val="1"/>
          <w:iCs w:val="1"/>
          <w:rtl w:val="0"/>
        </w:rPr>
        <w:t xml:space="preserve">Document Sets</w:t>
      </w:r>
      <w:r w:rsidDel="00000000" w:rsidR="00000000" w:rsidRPr="00000000">
        <w:rPr>
          <w:rtl w:val="0"/>
        </w:rPr>
        <w:t xml:space="preserve"> nativos, la información física y sus metadatos nunca abandonan el ecosistema de Microsoft del cliente. Esto garantiza la soberanía del dato y el cumplimiento inmediato de las políticas de ciberseguridad internas de la empresa.</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1sa68joq1zcg" w:id="7"/>
      <w:bookmarkEnd w:id="7"/>
      <w:r w:rsidDel="00000000" w:rsidR="00000000" w:rsidRPr="00000000">
        <w:rPr>
          <w:b w:val="1"/>
          <w:bCs w:val="1"/>
          <w:color w:val="000000"/>
          <w:sz w:val="26"/>
          <w:szCs w:val="26"/>
          <w:rtl w:val="0"/>
        </w:rPr>
        <w:t xml:space="preserve">3. Determinismo Estricto en la Lógica de Negocio (Restricción de IA)</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b w:val="1"/>
          <w:bCs w:val="1"/>
          <w:rtl w:val="0"/>
        </w:rPr>
        <w:t xml:space="preserve">Lo que hace la competencia:</w:t>
      </w:r>
      <w:r w:rsidDel="00000000" w:rsidR="00000000" w:rsidRPr="00000000">
        <w:rPr>
          <w:rtl w:val="0"/>
        </w:rPr>
        <w:t xml:space="preserve"> Plataformas como M-Files o DocuWare centran gran parte de su valor en el Procesamiento Inteligente de Documentos (IDP) mediante Inteligencia Artificial, delegando en algoritmos la clasificación o el enrutamiento de flujos.</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b w:val="1"/>
          <w:bCs w:val="1"/>
          <w:rtl w:val="0"/>
        </w:rPr>
        <w:t xml:space="preserve">El diferenciador del proyecto:</w:t>
      </w:r>
      <w:r w:rsidDel="00000000" w:rsidR="00000000" w:rsidRPr="00000000">
        <w:rPr>
          <w:rtl w:val="0"/>
        </w:rPr>
        <w:t xml:space="preserve"> Existe un requisito de exclusión explícito: la IA no debe tomar decisiones sobre la lógica central del negocio para evitar errores operativos críticos. El sistema garantiza un modelo 100% determinista; por ejemplo, la regla de "bloqueo de construcción por falta de firma" es un código duro e inquebrantable, brindando la seguridad operativa exacta que exige el cliente.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8e2mv3apam25" w:id="8"/>
      <w:bookmarkEnd w:id="8"/>
      <w:r w:rsidDel="00000000" w:rsidR="00000000" w:rsidRPr="00000000">
        <w:rPr>
          <w:b w:val="1"/>
          <w:bCs w:val="1"/>
          <w:color w:val="000000"/>
          <w:sz w:val="26"/>
          <w:szCs w:val="26"/>
          <w:rtl w:val="0"/>
        </w:rPr>
        <w:t xml:space="preserve">4. Interfaz de Usuario (Frontend) 100% a Medida</w:t>
      </w:r>
    </w:p>
    <w:p w:rsidR="00000000" w:rsidDel="00000000" w:rsidP="00000000" w:rsidRDefault="00000000" w:rsidRPr="00000000" w14:paraId="00000024">
      <w:pPr>
        <w:numPr>
          <w:ilvl w:val="0"/>
          <w:numId w:val="8"/>
        </w:numPr>
        <w:spacing w:after="0" w:afterAutospacing="0" w:before="240" w:lineRule="auto"/>
        <w:ind w:left="720" w:hanging="360"/>
      </w:pPr>
      <w:r w:rsidDel="00000000" w:rsidR="00000000" w:rsidRPr="00000000">
        <w:rPr>
          <w:b w:val="1"/>
          <w:bCs w:val="1"/>
          <w:rtl w:val="0"/>
        </w:rPr>
        <w:t xml:space="preserve">Lo que hace la competencia:</w:t>
      </w:r>
      <w:r w:rsidDel="00000000" w:rsidR="00000000" w:rsidRPr="00000000">
        <w:rPr>
          <w:rtl w:val="0"/>
        </w:rPr>
        <w:t xml:space="preserve"> Los constructores de formularios (DataScope, GoCanvas, Kizeo) utilizan plantillas genéricas. La interfaz (UI) y la experiencia de usuario (UX) son rígidas y no se pueden alterar más allá de cambiar colores o agregar logos.</w:t>
      </w:r>
    </w:p>
    <w:p w:rsidR="00000000" w:rsidDel="00000000" w:rsidP="00000000" w:rsidRDefault="00000000" w:rsidRPr="00000000" w14:paraId="00000025">
      <w:pPr>
        <w:numPr>
          <w:ilvl w:val="0"/>
          <w:numId w:val="8"/>
        </w:numPr>
        <w:spacing w:after="240" w:before="0" w:beforeAutospacing="0" w:lineRule="auto"/>
        <w:ind w:left="720" w:hanging="360"/>
      </w:pPr>
      <w:r w:rsidDel="00000000" w:rsidR="00000000" w:rsidRPr="00000000">
        <w:rPr>
          <w:b w:val="1"/>
          <w:bCs w:val="1"/>
          <w:rtl w:val="0"/>
        </w:rPr>
        <w:t xml:space="preserve">El diferenciador del proyecto:</w:t>
      </w:r>
      <w:r w:rsidDel="00000000" w:rsidR="00000000" w:rsidRPr="00000000">
        <w:rPr>
          <w:rtl w:val="0"/>
        </w:rPr>
        <w:t xml:space="preserve"> Al desarrollar la capa de presentación exclusivamente con la biblioteca React, el equipo de desarrollo tiene libertad absoluta sobre cada píxel de la pantalla. Esto permite crear una experiencia de usuario hiper-optimizada para el trabajador en terreno, eliminando botones innecesarios o flujos confusos que los sistemas "enlatados" traen por defecto.</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erpmz7t9sx3y" w:id="9"/>
      <w:bookmarkEnd w:id="9"/>
      <w:r w:rsidDel="00000000" w:rsidR="00000000" w:rsidRPr="00000000">
        <w:rPr>
          <w:b w:val="1"/>
          <w:bCs w:val="1"/>
          <w:color w:val="000000"/>
          <w:sz w:val="26"/>
          <w:szCs w:val="26"/>
          <w:rtl w:val="0"/>
        </w:rPr>
        <w:t xml:space="preserve">5. Integración Analítica Nativa y sin Conectores Externos</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b w:val="1"/>
          <w:bCs w:val="1"/>
          <w:rtl w:val="0"/>
        </w:rPr>
        <w:t xml:space="preserve">Lo que hace la competencia:</w:t>
      </w:r>
      <w:r w:rsidDel="00000000" w:rsidR="00000000" w:rsidRPr="00000000">
        <w:rPr>
          <w:rtl w:val="0"/>
        </w:rPr>
        <w:t xml:space="preserve"> Para sacar datos de Kizeo o SafetyCulture y llevarlos a un panel de control corporativo, se requiere pagar APIs premium, usar conectores de terceros (como Zapier) o realizar exportaciones manuales, lo que introduce latencia e inestabilidad.</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b w:val="1"/>
          <w:bCs w:val="1"/>
          <w:rtl w:val="0"/>
        </w:rPr>
        <w:t xml:space="preserve">El diferenciador del proyecto:</w:t>
      </w:r>
      <w:r w:rsidDel="00000000" w:rsidR="00000000" w:rsidRPr="00000000">
        <w:rPr>
          <w:rtl w:val="0"/>
        </w:rPr>
        <w:t xml:space="preserve"> Como los datos viven en SharePoint Online, la conexión con Power BI para el módulo de reportes es completamente nativa, bidireccional y en tiempo real. No requiere middleware, mantenimientos de API ni costos extra de integración.</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