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22"/>
        <w:gridCol w:w="1536"/>
        <w:gridCol w:w="1536"/>
        <w:gridCol w:w="2281"/>
        <w:gridCol w:w="1817"/>
        <w:gridCol w:w="2110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Start date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End date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Target 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Coverage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Vaccination rate (% per day)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2011-01-20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2011-01-25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905,618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84.90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14.15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2011-11-22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2011-11-28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235,082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11.76</w:t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2012-01-23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2012-01-29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1,170,258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13.41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2013-02-22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2013-03-02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1,017,295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10.82</w:t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2013-06-20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2013-06-24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503,426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2013-08-27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2013-09-01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663,900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15.67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2014-01-03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2014-01-09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245,716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14.55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2014-05-20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2014-05-24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504,394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21.00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2016-02-02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2016-04-30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6,583,216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</w:t>
            </w:r>
          </w:p>
        </w:tc>
      </w:tr>
      <w:tr>
        <w:trPr>
          <w:trHeight w:val="61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2016-05-19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2016-06-07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668,236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4.70</w:t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2016-05-26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2016-06-04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3,955,467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10.68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2017-10-11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2017-10-20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2,023,556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89.09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8.91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2017-12-01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2017-12-10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1,563,005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8.00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2018-03-10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2018-03-19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1,933,644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8.88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2018-03-19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2018-03-28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1,343,413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9.10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2018-08-09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2018-08-18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208,285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7.40</w:t>
            </w:r>
          </w:p>
        </w:tc>
      </w:tr>
      <w:tr>
        <w:trPr>
          <w:trHeight w:val="61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2018-10-13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2018-10-19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99.20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14.17</w:t>
            </w:r>
          </w:p>
        </w:tc>
      </w:tr>
      <w:tr>
        <w:trPr>
          <w:trHeight w:val="615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2018-11-16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2018-11-23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1,307,908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12.83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2018-12-18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2018-12-24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1,444,149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17.16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2019-03-25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2019-03-29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19,578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2019-09-07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2019-09-19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1,529,111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5.62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704,005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2021-12-21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568,467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18.84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2022-01-19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2022-01-30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1,117,848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2022-02-26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2022-03-02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603,394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89.31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17.86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2022-07-23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2022-08-01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1,422,600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5.16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2022-11-02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2022-11-19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345,920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5.65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2024-02-13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2024-02-21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406,699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7.87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2024-03-19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201,570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2026-06-29T20:40:46Z</dcterms:modified>
  <cp:category/>
</cp:coreProperties>
</file>