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**Table 1.** Sociodemographic characteristics of participants by sex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529"/>
        <w:gridCol w:w="1719"/>
        <w:gridCol w:w="1719"/>
        <w:gridCol w:w="1719"/>
        <w:gridCol w:w="1181"/>
      </w:tblGrid>
      <w:tr>
        <w:trPr>
          <w:trHeight w:val="734" w:hRule="auto"/>
          <w:tblHeader/>
        </w:trPr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Overall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= 88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Male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= 42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Female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= 46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p-value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Age (years)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33.41 (12.23)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33.00 (12.58)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33.78 (12.04)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</w:t>
            </w:r>
          </w:p>
        </w:tc>
      </w:tr>
      <w:tr>
        <w:trPr>
          <w:trHeight w:val="61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Age 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18–29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39 (44%)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 (45%)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 (43%)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30–39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 (30%)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 (33%)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 (26%)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40–49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 (17%)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 (14%)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 (20%)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50–59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 (5.7%)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(2.4%)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(8.7%)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60+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(3.4%)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(4.8%)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(2.2%)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Education (years)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5.92 (4.25)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6.81 (4.15)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5.11 (4.22)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0.082</w:t>
            </w:r>
          </w:p>
        </w:tc>
      </w:tr>
      <w:tr>
        <w:trPr>
          <w:trHeight w:val="57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Education level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 schooling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 (18%)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 (12%)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 (24%)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Primary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 (38%)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 (38%)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 (37%)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Secondary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 (40%)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 (43%)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 (37%)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Higher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(4.5%)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(7.1%)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(2.2%)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Monthly income (COP)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0–200K COP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62 (70%)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 (62%)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36 (78%)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200–400K COP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 (22%)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 (26%)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 (17%)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400–600K COP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 (5.7%)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(7.1%)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(4.3%)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600–800K COP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800K–1M COP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(1.1%)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(2.4%)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&gt;1M COP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(1.1%)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(2.4%)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Occupation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Agriculture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 (20%)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 (40%)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(2.2%)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Homemaker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 (23%)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 (43%)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Crafts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39 (44%)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 (36%)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 (52%)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Leadership/Other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 (13%)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 (24%)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(2.2%)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Civil status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Without partner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 (25%)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 (21%)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 (28%)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With partner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66 (75%)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 (79%)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 (72%)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Alcohol use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 regular use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68 (77%)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 (74%)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37 (80%)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Regular use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 (23%)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 (26%)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 (20%)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Employment outside community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 (45%)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 (36%)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 (54%)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Internet access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 (10%)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 (14%)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(6.5%)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BMI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23.90 (2.63)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24.00 (2.75)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23.80 (2.54)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</w:t>
            </w:r>
          </w:p>
        </w:tc>
      </w:tr>
      <w:tr>
        <w:trPr>
          <w:trHeight w:val="617" w:hRule="auto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Acculturation score (16–80)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38.63 (9.55)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38.29 (8.61)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38.93 (10.43)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</w:t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Mean (SD); n (%)</w:t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2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Wilcoxon rank sum test; Pearson's Chi-squared test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2026-05-01T20:35:45Z</dcterms:modified>
  <cp:category/>
</cp:coreProperties>
</file>