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right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Ficha de “objeto museal”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right"/>
        <w:rPr>
          <w:rFonts w:ascii="Calibri" w:cs="Calibri" w:eastAsia="Calibri" w:hAnsi="Calibri"/>
          <w:b w:val="1"/>
          <w:bCs w:val="1"/>
          <w:sz w:val="20"/>
          <w:szCs w:val="20"/>
          <w:shd w:fill="fce5cd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shd w:fill="fce5cd" w:val="clear"/>
          <w:rtl w:val="0"/>
        </w:rPr>
        <w:t xml:space="preserve">Copiar el archivo y llenarlo, luego colocarlo en la carpeta “Fichas” y nombrar al archivo: “nombres_apellidos” del autor/a.</w:t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30"/>
        <w:gridCol w:w="5970"/>
        <w:tblGridChange w:id="0">
          <w:tblGrid>
            <w:gridCol w:w="3030"/>
            <w:gridCol w:w="59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Título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Waqay vida II (Vida de dolor II)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Autor/a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Violeta Quispe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Año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2020</w:t>
            </w:r>
          </w:p>
        </w:tc>
      </w:tr>
      <w:tr>
        <w:trPr>
          <w:cantSplit w:val="0"/>
          <w:trHeight w:val="78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Imagen(es)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</w:rPr>
              <w:drawing>
                <wp:inline distB="114300" distT="114300" distL="114300" distR="114300">
                  <wp:extent cx="3657600" cy="48514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4851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Técnica/Materiales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Policromado mixto, tierra y pigmento natural con acrílicos sobre MDF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Medidas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210 x 25 cm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Colección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Alexandra Bryce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Contacto (Para coordinaciones)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+51 994 662 287 (Alexandra Bryce)</w:t>
            </w:r>
          </w:p>
        </w:tc>
      </w:tr>
      <w:tr>
        <w:trPr>
          <w:cantSplit w:val="0"/>
          <w:trHeight w:val="1279.140624999999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Observaciones (montaje u otros)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widowControl w:val="0"/>
        <w:spacing w:line="240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