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0"/>
        <w:gridCol w:w="5970"/>
        <w:tblGridChange w:id="0">
          <w:tblGrid>
            <w:gridCol w:w="3030"/>
            <w:gridCol w:w="59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Bandera VIII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Autor/a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Eduardo Tokeshi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2000</w:t>
            </w:r>
          </w:p>
        </w:tc>
      </w:tr>
      <w:tr>
        <w:trPr>
          <w:cantSplit w:val="0"/>
          <w:trHeight w:val="78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Imagen(es)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657600" cy="267970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67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Técnica/Materiales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Técnica mixta: parantes de acero, soporte acerado, bolsas de transferencia, miel, sal, colorantes naturales, sangre RH negativa, alambres acerados y tensadores.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 x 175 x 54 cm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Colección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Micromuseo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Contacto (Para coordinaciones)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+51 996 666 700 (Eduardo Tokeshi)</w:t>
            </w:r>
          </w:p>
        </w:tc>
      </w:tr>
      <w:tr>
        <w:trPr>
          <w:cantSplit w:val="0"/>
          <w:trHeight w:val="1279.140624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Observaciones (montaje u otros)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