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30"/>
        <w:gridCol w:w="5970"/>
        <w:tblGridChange w:id="0">
          <w:tblGrid>
            <w:gridCol w:w="3030"/>
            <w:gridCol w:w="59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Título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Fragmentos potenciales de obras para desplegar fractal y cíclicamente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Autor/a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Paola Vela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Año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2019</w:t>
            </w:r>
          </w:p>
        </w:tc>
      </w:tr>
      <w:tr>
        <w:trPr>
          <w:cantSplit w:val="0"/>
          <w:trHeight w:val="78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Imagen(es)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</w:rPr>
              <w:drawing>
                <wp:inline distB="114300" distT="114300" distL="114300" distR="114300">
                  <wp:extent cx="3657600" cy="20574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2057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Técnica/Materiales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Holanda - Perú / 2019 / HD con sonido / 16 minutos / b &amp; n / 16: 9 / formato de proyección: HD ProRes.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Medidas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Video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Colección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MALI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Contacto (Para coordinaciones)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+51 992 193 442 (Paola Vela)</w:t>
            </w:r>
          </w:p>
        </w:tc>
      </w:tr>
      <w:tr>
        <w:trPr>
          <w:cantSplit w:val="0"/>
          <w:trHeight w:val="1279.140624999999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Observaciones (montaje u otros)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widowControl w:val="0"/>
        <w:spacing w:line="240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