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42EAD" w14:textId="77777777" w:rsidR="000F4455" w:rsidRDefault="00000000">
      <w:r>
        <w:rPr>
          <w:b/>
          <w:lang w:val="es-ES_tradnl"/>
        </w:rPr>
        <w:t xml:space="preserve">Nombre: </w:t>
      </w:r>
      <w:r w:rsidRPr="0027040E">
        <w:rPr>
          <w:bCs/>
          <w:lang w:val="es-ES_tradnl"/>
        </w:rPr>
        <w:t>Carlos Drogba Zumba Hidalgo</w:t>
      </w:r>
    </w:p>
    <w:p w14:paraId="675F7FAF" w14:textId="3A2300C9" w:rsidR="000F4455" w:rsidRDefault="00000000">
      <w:r>
        <w:rPr>
          <w:b/>
          <w:lang w:val="es-ES_tradnl"/>
        </w:rPr>
        <w:t>Paralelo: A</w:t>
      </w:r>
      <w:r>
        <w:rPr>
          <w:b/>
          <w:lang w:val="es-ES_tradnl"/>
        </w:rPr>
        <w:tab/>
      </w:r>
      <w:r>
        <w:rPr>
          <w:b/>
          <w:lang w:val="es-ES_tradnl"/>
        </w:rPr>
        <w:tab/>
      </w:r>
      <w:r>
        <w:rPr>
          <w:b/>
          <w:lang w:val="es-ES_tradnl"/>
        </w:rPr>
        <w:tab/>
        <w:t>Fecha: 13/10/2026</w:t>
      </w:r>
    </w:p>
    <w:p w14:paraId="55B2386F" w14:textId="77777777" w:rsidR="000F4455" w:rsidRDefault="00000000">
      <w:r>
        <w:rPr>
          <w:b/>
          <w:lang w:val="es-ES_tradnl"/>
        </w:rPr>
        <w:t>Asignatura: Sistemas Operativos</w:t>
      </w:r>
    </w:p>
    <w:p w14:paraId="312BEEB0" w14:textId="77777777" w:rsidR="000F4455" w:rsidRDefault="00000000">
      <w:r>
        <w:rPr>
          <w:b/>
          <w:lang w:val="es-ES_tradnl"/>
        </w:rPr>
        <w:t>Docente: Ing. Hernán Leonardo Torres Carrión M.Sc.</w:t>
      </w:r>
    </w:p>
    <w:p w14:paraId="7D70B325" w14:textId="77777777" w:rsidR="000F4455" w:rsidRDefault="00000000">
      <w:pPr>
        <w:jc w:val="center"/>
      </w:pPr>
      <w:r>
        <w:rPr>
          <w:b/>
          <w:lang w:val="es-ES_tradnl"/>
        </w:rPr>
        <w:t>ENSAYO Nº 1</w:t>
      </w:r>
    </w:p>
    <w:p w14:paraId="67959125" w14:textId="77777777" w:rsidR="000F4455" w:rsidRDefault="00000000">
      <w:pPr>
        <w:pStyle w:val="Prrafodelista"/>
        <w:keepNext/>
        <w:numPr>
          <w:ilvl w:val="0"/>
          <w:numId w:val="4"/>
        </w:numPr>
        <w:jc w:val="both"/>
      </w:pPr>
      <w:r>
        <w:rPr>
          <w:b/>
          <w:lang w:val="es-ES_tradnl"/>
        </w:rPr>
        <w:t>Tema</w:t>
      </w:r>
    </w:p>
    <w:p w14:paraId="6FEE1846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Revisión literaria sobre los tipos de memoria caché y su funcionamiento, con énfasis en la caché a nivel de procesador y su importancia en la gestión de procesos.</w:t>
      </w:r>
    </w:p>
    <w:p w14:paraId="1C261B7C" w14:textId="77777777" w:rsidR="000F4455" w:rsidRDefault="00000000">
      <w:pPr>
        <w:pStyle w:val="Prrafodelista"/>
        <w:keepNext/>
        <w:numPr>
          <w:ilvl w:val="0"/>
          <w:numId w:val="4"/>
        </w:numPr>
        <w:jc w:val="both"/>
      </w:pPr>
      <w:r>
        <w:rPr>
          <w:b/>
          <w:lang w:val="es-ES_tradnl"/>
        </w:rPr>
        <w:t>Antecedentes</w:t>
      </w:r>
    </w:p>
    <w:p w14:paraId="7CF926CE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La velocidad de los procesadores ha crecido mucho más rápido que la de la memoria principal (DRAM), lo que produce la llamada brecha procesador–memoria [1], [5]. Para reducirla se usa la memoria caché: una memoria pequeña y muy rápida, situada entre la CPU y la RAM, que guarda copias de los datos e instrucciones más usados [2], [6]. Funciona gracias al principio de localidad: temporal (lo usado recientemente tiende a usarse otra vez) y espacial (se suelen usar datos cercanos a los ya accedidos) [1], [2].</w:t>
      </w:r>
    </w:p>
    <w:p w14:paraId="7D52A6F7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Para la formación profesional en sistemas, este tema es clave porque el sistema operativo (SO) administra procesos e hilos sobre procesadores con varios núcleos y varios niveles de caché; decisiones como el cambio de contexto o la asignación de procesos a núcleos afectan directamente el rendimiento [3], [4]. Este conocimiento se aplica al optimizar programas, configurar servidores y máquinas virtuales y diagnosticar problemas de rendimiento. En este ensayo se resume la literatura principalmente mediante diagramas y un cuadro de elaboración propia.</w:t>
      </w:r>
    </w:p>
    <w:p w14:paraId="66DC54EE" w14:textId="77777777" w:rsidR="000F4455" w:rsidRDefault="00000000">
      <w:pPr>
        <w:pStyle w:val="Prrafodelista"/>
        <w:keepNext/>
        <w:numPr>
          <w:ilvl w:val="0"/>
          <w:numId w:val="4"/>
        </w:numPr>
        <w:jc w:val="both"/>
      </w:pPr>
      <w:r>
        <w:rPr>
          <w:b/>
          <w:lang w:val="es-ES_tradnl"/>
        </w:rPr>
        <w:t>Descripción</w:t>
      </w:r>
    </w:p>
    <w:p w14:paraId="2DB30A66" w14:textId="77777777" w:rsidR="000F4455" w:rsidRDefault="00000000">
      <w:pPr>
        <w:pStyle w:val="Prrafodelista"/>
        <w:keepNext/>
        <w:spacing w:before="120" w:after="60"/>
        <w:contextualSpacing w:val="0"/>
        <w:jc w:val="both"/>
      </w:pPr>
      <w:r>
        <w:rPr>
          <w:b/>
          <w:lang w:val="es-ES_tradnl"/>
        </w:rPr>
        <w:t>3.1. Jerarquía de memoria y latencias</w:t>
      </w:r>
    </w:p>
    <w:p w14:paraId="48A2C006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Cuanto más cerca de la CPU, la memoria es más rápida, más pequeña y más costosa por bit (Fig. 1) [1], [2]. La Fig. 2 muestra el orden de magnitud de las latencias: un acierto en L1 tarda cerca de un nanosegundo, mientras que la RAM y el almacenamiento están varios órdenes de magnitud por encima [1], [5].</w:t>
      </w:r>
    </w:p>
    <w:p w14:paraId="26AD7F45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12DE2833" wp14:editId="6FB8ED30">
            <wp:extent cx="5120640" cy="3329765"/>
            <wp:effectExtent l="0" t="0" r="0" b="0"/>
            <wp:docPr id="101" name="Imagen 1" descr="Pirámide de la jerarquía de memoria: registros, caché L1, L2, L3, RAM y almacenamiento, con capacidad y latencia típic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52C8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1. Jerarquía de memoria de un computador (valores típicos aproximados). Elaboración propia a partir de [1], [2].</w:t>
      </w:r>
    </w:p>
    <w:p w14:paraId="198C9EE5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4704147" wp14:editId="0184F792">
            <wp:extent cx="4663440" cy="2311217"/>
            <wp:effectExtent l="0" t="0" r="0" b="0"/>
            <wp:docPr id="102" name="Imagen 2" descr="Gráfico de barras en escala logarítmica con la latencia aproximada de L1, L2, L3, RAM, SSD y HD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31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81AC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2. Latencia aproximada de acceso por nivel de memoria (escala logarítmica). Órdenes de magnitud basados en [1], [5].</w:t>
      </w:r>
    </w:p>
    <w:p w14:paraId="3B536C17" w14:textId="77777777" w:rsidR="000F4455" w:rsidRDefault="00000000">
      <w:pPr>
        <w:pStyle w:val="Prrafodelista"/>
        <w:keepNext/>
        <w:spacing w:before="120" w:after="60"/>
        <w:contextualSpacing w:val="0"/>
        <w:jc w:val="both"/>
      </w:pPr>
      <w:r>
        <w:rPr>
          <w:b/>
          <w:lang w:val="es-ES_tradnl"/>
        </w:rPr>
        <w:t>3.2. Tipos de memoria caché</w:t>
      </w:r>
    </w:p>
    <w:p w14:paraId="0A668893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Las cachés pueden clasificarse según varios criterios (Fig. 3) [2], [3]. Este ensayo se centra en las cachés de hardware del procesador; sin embargo, el SO también mantiene cachés en software (por ejemplo, la caché de páginas o de buffers en RAM), y el hardware incluye el TLB, una caché especializada en traducciones de direcciones virtuales a físicas [3], [4].</w:t>
      </w:r>
    </w:p>
    <w:p w14:paraId="1A921731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51A470C" wp14:editId="3C247B3E">
            <wp:extent cx="4754880" cy="4278563"/>
            <wp:effectExtent l="0" t="0" r="0" b="0"/>
            <wp:docPr id="103" name="Imagen 3" descr="Cuadro sinóptico de la clasificación de la memoria caché por nivel, contenido, mapeo, política de escritura y ub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7795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3. Clasificación de la memoria caché según distintos criterios. Elaboración propia a partir de [2], [3].</w:t>
      </w:r>
    </w:p>
    <w:p w14:paraId="4E488597" w14:textId="77777777" w:rsidR="000F4455" w:rsidRDefault="00000000">
      <w:pPr>
        <w:pStyle w:val="Prrafodelista"/>
        <w:keepNext/>
        <w:spacing w:before="120" w:after="60"/>
        <w:contextualSpacing w:val="0"/>
        <w:jc w:val="both"/>
      </w:pPr>
      <w:r>
        <w:rPr>
          <w:b/>
          <w:lang w:val="es-ES_tradnl"/>
        </w:rPr>
        <w:t>3.3. Caché a nivel de procesador</w:t>
      </w:r>
    </w:p>
    <w:p w14:paraId="4F39D270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En un procesador multinúcleo, la L1 es privada de cada núcleo y normalmente se divide en instrucciones y datos; la L2 es mayor y suele ser privada; la L3 es compartida y actúa como último nivel antes de la RAM (Fig. 4 y Tabla I) [1], [2].</w:t>
      </w:r>
    </w:p>
    <w:p w14:paraId="784AF1B2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E98BD55" wp14:editId="24A44E7B">
            <wp:extent cx="4846320" cy="3436559"/>
            <wp:effectExtent l="0" t="0" r="0" b="0"/>
            <wp:docPr id="104" name="Imagen 4" descr="Diagrama de dos núcleos con registros, L1 de instrucciones y datos, L2 privada, L3 compartida, controlador de memoria y 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43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1FCA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4. Organización de la caché multinivel en un procesador multinúcleo. Elaboración propia a partir de [1], [2].</w:t>
      </w:r>
    </w:p>
    <w:p w14:paraId="6DFB7866" w14:textId="77777777" w:rsidR="000F4455" w:rsidRDefault="00000000">
      <w:pPr>
        <w:keepNext/>
        <w:spacing w:before="120" w:after="0"/>
        <w:jc w:val="center"/>
      </w:pPr>
      <w:r>
        <w:rPr>
          <w:smallCaps/>
          <w:sz w:val="18"/>
          <w:szCs w:val="18"/>
          <w:lang w:val="es-ES_tradnl"/>
        </w:rPr>
        <w:t>TABLA I</w:t>
      </w:r>
    </w:p>
    <w:p w14:paraId="6346D02C" w14:textId="77777777" w:rsidR="000F4455" w:rsidRDefault="00000000">
      <w:pPr>
        <w:keepNext/>
        <w:spacing w:after="80"/>
        <w:jc w:val="center"/>
      </w:pPr>
      <w:r>
        <w:rPr>
          <w:smallCaps/>
          <w:sz w:val="18"/>
          <w:szCs w:val="18"/>
          <w:lang w:val="es-ES_tradnl"/>
        </w:rPr>
        <w:t>Valores típicos aproximados de la jerarquía de caché</w:t>
      </w:r>
    </w:p>
    <w:tbl>
      <w:tblPr>
        <w:tblW w:w="8505" w:type="dxa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800"/>
        <w:gridCol w:w="1700"/>
        <w:gridCol w:w="2100"/>
        <w:gridCol w:w="1805"/>
      </w:tblGrid>
      <w:tr w:rsidR="000F4455" w14:paraId="3DF9C762" w14:textId="77777777">
        <w:trPr>
          <w:cantSplit/>
          <w:jc w:val="center"/>
        </w:trPr>
        <w:tc>
          <w:tcPr>
            <w:tcW w:w="1100" w:type="dxa"/>
            <w:shd w:val="clear" w:color="auto" w:fill="DCE8F7"/>
            <w:vAlign w:val="center"/>
          </w:tcPr>
          <w:p w14:paraId="2EAD1036" w14:textId="77777777" w:rsidR="000F4455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lang w:val="es-ES_tradnl"/>
              </w:rPr>
              <w:t>Nivel</w:t>
            </w:r>
          </w:p>
        </w:tc>
        <w:tc>
          <w:tcPr>
            <w:tcW w:w="1800" w:type="dxa"/>
            <w:shd w:val="clear" w:color="auto" w:fill="DCE8F7"/>
            <w:vAlign w:val="center"/>
          </w:tcPr>
          <w:p w14:paraId="4053B47E" w14:textId="77777777" w:rsidR="000F4455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lang w:val="es-ES_tradnl"/>
              </w:rPr>
              <w:t>Tamaño típico</w:t>
            </w:r>
          </w:p>
        </w:tc>
        <w:tc>
          <w:tcPr>
            <w:tcW w:w="1700" w:type="dxa"/>
            <w:shd w:val="clear" w:color="auto" w:fill="DCE8F7"/>
            <w:vAlign w:val="center"/>
          </w:tcPr>
          <w:p w14:paraId="66402D8C" w14:textId="77777777" w:rsidR="000F4455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lang w:val="es-ES_tradnl"/>
              </w:rPr>
              <w:t>Latencia típica</w:t>
            </w:r>
          </w:p>
        </w:tc>
        <w:tc>
          <w:tcPr>
            <w:tcW w:w="2100" w:type="dxa"/>
            <w:shd w:val="clear" w:color="auto" w:fill="DCE8F7"/>
            <w:vAlign w:val="center"/>
          </w:tcPr>
          <w:p w14:paraId="472043A7" w14:textId="77777777" w:rsidR="000F4455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lang w:val="es-ES_tradnl"/>
              </w:rPr>
              <w:t>Alcance</w:t>
            </w:r>
          </w:p>
        </w:tc>
        <w:tc>
          <w:tcPr>
            <w:tcW w:w="1805" w:type="dxa"/>
            <w:shd w:val="clear" w:color="auto" w:fill="DCE8F7"/>
            <w:vAlign w:val="center"/>
          </w:tcPr>
          <w:p w14:paraId="3BD037CF" w14:textId="77777777" w:rsidR="000F4455" w:rsidRDefault="00000000">
            <w:pPr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  <w:lang w:val="es-ES_tradnl"/>
              </w:rPr>
              <w:t>Contenido</w:t>
            </w:r>
          </w:p>
        </w:tc>
      </w:tr>
      <w:tr w:rsidR="000F4455" w14:paraId="42648CC3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262C382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L1</w:t>
            </w:r>
          </w:p>
        </w:tc>
        <w:tc>
          <w:tcPr>
            <w:tcW w:w="1800" w:type="dxa"/>
            <w:vAlign w:val="center"/>
          </w:tcPr>
          <w:p w14:paraId="11F321F4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32–64 KB por núcleo</w:t>
            </w:r>
          </w:p>
        </w:tc>
        <w:tc>
          <w:tcPr>
            <w:tcW w:w="1700" w:type="dxa"/>
            <w:vAlign w:val="center"/>
          </w:tcPr>
          <w:p w14:paraId="376A4B4F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~1–4 ciclos</w:t>
            </w:r>
          </w:p>
        </w:tc>
        <w:tc>
          <w:tcPr>
            <w:tcW w:w="2100" w:type="dxa"/>
            <w:vAlign w:val="center"/>
          </w:tcPr>
          <w:p w14:paraId="03D7DBFC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Privada por núcleo</w:t>
            </w:r>
          </w:p>
        </w:tc>
        <w:tc>
          <w:tcPr>
            <w:tcW w:w="1805" w:type="dxa"/>
            <w:vAlign w:val="center"/>
          </w:tcPr>
          <w:p w14:paraId="0B1F1490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Instrucciones y datos (separadas)</w:t>
            </w:r>
          </w:p>
        </w:tc>
      </w:tr>
      <w:tr w:rsidR="000F4455" w14:paraId="3138910E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2678F460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L2</w:t>
            </w:r>
          </w:p>
        </w:tc>
        <w:tc>
          <w:tcPr>
            <w:tcW w:w="1800" w:type="dxa"/>
            <w:vAlign w:val="center"/>
          </w:tcPr>
          <w:p w14:paraId="0943D10F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256 KB–2 MB</w:t>
            </w:r>
          </w:p>
        </w:tc>
        <w:tc>
          <w:tcPr>
            <w:tcW w:w="1700" w:type="dxa"/>
            <w:vAlign w:val="center"/>
          </w:tcPr>
          <w:p w14:paraId="09B7D92F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~10–15 ciclos</w:t>
            </w:r>
          </w:p>
        </w:tc>
        <w:tc>
          <w:tcPr>
            <w:tcW w:w="2100" w:type="dxa"/>
            <w:vAlign w:val="center"/>
          </w:tcPr>
          <w:p w14:paraId="6D13A468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Normalmente privada</w:t>
            </w:r>
          </w:p>
        </w:tc>
        <w:tc>
          <w:tcPr>
            <w:tcW w:w="1805" w:type="dxa"/>
            <w:vAlign w:val="center"/>
          </w:tcPr>
          <w:p w14:paraId="25971CCC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Unificada</w:t>
            </w:r>
          </w:p>
        </w:tc>
      </w:tr>
      <w:tr w:rsidR="000F4455" w14:paraId="4F9C20B6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6221A2D8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L3 (LLC)</w:t>
            </w:r>
          </w:p>
        </w:tc>
        <w:tc>
          <w:tcPr>
            <w:tcW w:w="1800" w:type="dxa"/>
            <w:vAlign w:val="center"/>
          </w:tcPr>
          <w:p w14:paraId="3F7133BA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4–64 MB o más</w:t>
            </w:r>
          </w:p>
        </w:tc>
        <w:tc>
          <w:tcPr>
            <w:tcW w:w="1700" w:type="dxa"/>
            <w:vAlign w:val="center"/>
          </w:tcPr>
          <w:p w14:paraId="74DA38B0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~30–50 ciclos</w:t>
            </w:r>
          </w:p>
        </w:tc>
        <w:tc>
          <w:tcPr>
            <w:tcW w:w="2100" w:type="dxa"/>
            <w:vAlign w:val="center"/>
          </w:tcPr>
          <w:p w14:paraId="72BDBB22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Compartida entre núcleos</w:t>
            </w:r>
          </w:p>
        </w:tc>
        <w:tc>
          <w:tcPr>
            <w:tcW w:w="1805" w:type="dxa"/>
            <w:vAlign w:val="center"/>
          </w:tcPr>
          <w:p w14:paraId="73C109A6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Unificada</w:t>
            </w:r>
          </w:p>
        </w:tc>
      </w:tr>
      <w:tr w:rsidR="000F4455" w14:paraId="684C8B09" w14:textId="77777777">
        <w:trPr>
          <w:cantSplit/>
          <w:jc w:val="center"/>
        </w:trPr>
        <w:tc>
          <w:tcPr>
            <w:tcW w:w="1100" w:type="dxa"/>
            <w:vAlign w:val="center"/>
          </w:tcPr>
          <w:p w14:paraId="339FC640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RAM</w:t>
            </w:r>
          </w:p>
        </w:tc>
        <w:tc>
          <w:tcPr>
            <w:tcW w:w="1800" w:type="dxa"/>
            <w:vAlign w:val="center"/>
          </w:tcPr>
          <w:p w14:paraId="138560D1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Varios GB</w:t>
            </w:r>
          </w:p>
        </w:tc>
        <w:tc>
          <w:tcPr>
            <w:tcW w:w="1700" w:type="dxa"/>
            <w:vAlign w:val="center"/>
          </w:tcPr>
          <w:p w14:paraId="7EDFE40D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~200 ciclos o más</w:t>
            </w:r>
          </w:p>
        </w:tc>
        <w:tc>
          <w:tcPr>
            <w:tcW w:w="2100" w:type="dxa"/>
            <w:vAlign w:val="center"/>
          </w:tcPr>
          <w:p w14:paraId="6E3CB46A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Compartida por todo el sistema</w:t>
            </w:r>
          </w:p>
        </w:tc>
        <w:tc>
          <w:tcPr>
            <w:tcW w:w="1805" w:type="dxa"/>
            <w:vAlign w:val="center"/>
          </w:tcPr>
          <w:p w14:paraId="29E243B7" w14:textId="77777777" w:rsidR="000F4455" w:rsidRDefault="00000000">
            <w:pPr>
              <w:spacing w:before="40" w:after="40" w:line="240" w:lineRule="auto"/>
            </w:pPr>
            <w:r>
              <w:rPr>
                <w:sz w:val="18"/>
                <w:szCs w:val="18"/>
                <w:lang w:val="es-ES_tradnl"/>
              </w:rPr>
              <w:t>Todo el sistema (DRAM)</w:t>
            </w:r>
          </w:p>
        </w:tc>
      </w:tr>
    </w:tbl>
    <w:p w14:paraId="5B7EC404" w14:textId="77777777" w:rsidR="000F4455" w:rsidRDefault="00000000">
      <w:pPr>
        <w:spacing w:before="40"/>
        <w:jc w:val="center"/>
      </w:pPr>
      <w:r>
        <w:rPr>
          <w:sz w:val="16"/>
          <w:szCs w:val="16"/>
          <w:lang w:val="es-ES_tradnl"/>
        </w:rPr>
        <w:t>Los valores varían según el modelo de procesador; fuente: adaptado de [1], [2].</w:t>
      </w:r>
    </w:p>
    <w:p w14:paraId="2932AEF0" w14:textId="77777777" w:rsidR="000F4455" w:rsidRDefault="00000000">
      <w:pPr>
        <w:pStyle w:val="Prrafodelista"/>
        <w:keepNext/>
        <w:spacing w:before="120" w:after="60"/>
        <w:contextualSpacing w:val="0"/>
        <w:jc w:val="both"/>
      </w:pPr>
      <w:r>
        <w:rPr>
          <w:b/>
          <w:lang w:val="es-ES_tradnl"/>
        </w:rPr>
        <w:t>3.4. Funcionamiento: aciertos, fallos, mapeo y reemplazo</w:t>
      </w:r>
    </w:p>
    <w:p w14:paraId="186DECBB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Cuando la CPU pide un dato, el hardware lo busca en L1, luego en L2 y en L3. Si lo encuentra hay un acierto (hit); si no, un fallo (miss) y se accede a la RAM, trayendo una línea completa (por ejemplo, 64 bytes) para aprovechar la localidad espacial (Fig. 5) [1], [2].</w:t>
      </w:r>
    </w:p>
    <w:p w14:paraId="4C1F769C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E638E0A" wp14:editId="5C4CE8CD">
            <wp:extent cx="4297680" cy="4147300"/>
            <wp:effectExtent l="0" t="0" r="0" b="0"/>
            <wp:docPr id="105" name="Imagen 5" descr="Diagrama de flujo de una lectura: consulta a L1, L2 y L3; si falla, acceso a RAM, carga de la línea y entrega del dato a la CP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14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0CBF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5. Flujo de una lectura: acierto (hit) o fallo (miss) en la jerarquía de caché. Elaboración propia a partir de [1], [2].</w:t>
      </w:r>
    </w:p>
    <w:p w14:paraId="5EF3DF90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El mapeo define en qué líneas puede guardarse un bloque (Fig. 6): directo (una sola línea posible), asociativo por conjuntos (varias líneas dentro de un conjunto) o totalmente asociativo (cualquier línea) [1], [2]. Si no hay espacio, una política de reemplazo (por ejemplo, LRU) elige la línea víctima, y la política de escritura (write-through o write-back) define cuándo se actualiza la RAM [2], [6].</w:t>
      </w:r>
    </w:p>
    <w:p w14:paraId="4CD491F8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D8BF224" wp14:editId="4CD5179C">
            <wp:extent cx="5303520" cy="2483129"/>
            <wp:effectExtent l="0" t="0" r="0" b="0"/>
            <wp:docPr id="106" name="Imagen 6" descr="Tres paneles que muestran el mapeo directo, asociativo por conjuntos de 2 vías y totalmente asociativo de un bloque a 8 líneas de cach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BE33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6. Esquemas de mapeo de un bloque a líneas de caché (ejemplo: bloque 13, caché de 8 líneas). Elaboración propia a partir de [1], [2].</w:t>
      </w:r>
    </w:p>
    <w:p w14:paraId="5BBD5B9B" w14:textId="77777777" w:rsidR="000F4455" w:rsidRDefault="00000000">
      <w:pPr>
        <w:pStyle w:val="Prrafodelista"/>
        <w:keepNext/>
        <w:spacing w:before="120" w:after="60"/>
        <w:contextualSpacing w:val="0"/>
        <w:jc w:val="both"/>
      </w:pPr>
      <w:r>
        <w:rPr>
          <w:b/>
          <w:lang w:val="es-ES_tradnl"/>
        </w:rPr>
        <w:t>3.5. Coherencia entre cachés</w:t>
      </w:r>
    </w:p>
    <w:p w14:paraId="0A70222D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En sistemas multinúcleo varias cachés pueden tener copias del mismo dato. Los protocolos de coherencia, como MESI, mantienen cada línea en uno de cuatro estados (Modificado, Exclusivo, Compartido o Inválido) para que todos los núcleos vean valores consistentes (Fig. 7) [2], [7].</w:t>
      </w:r>
    </w:p>
    <w:p w14:paraId="0ADBDC29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5F78EEB" wp14:editId="25329FA5">
            <wp:extent cx="4937760" cy="3134173"/>
            <wp:effectExtent l="0" t="0" r="0" b="0"/>
            <wp:docPr id="107" name="Imagen 7" descr="Diagrama de estados del protocolo MESI con los estados I, E, S y M y sus transiciones principa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D322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7. Diagrama simplificado de estados del protocolo de coherencia MESI. Elaboración propia a partir de [7].</w:t>
      </w:r>
    </w:p>
    <w:p w14:paraId="3B4588B5" w14:textId="77777777" w:rsidR="000F4455" w:rsidRDefault="00000000">
      <w:pPr>
        <w:pStyle w:val="Prrafodelista"/>
        <w:keepNext/>
        <w:spacing w:before="120" w:after="60"/>
        <w:contextualSpacing w:val="0"/>
        <w:jc w:val="both"/>
      </w:pPr>
      <w:r>
        <w:rPr>
          <w:b/>
          <w:lang w:val="es-ES_tradnl"/>
        </w:rPr>
        <w:lastRenderedPageBreak/>
        <w:t>3.6. Importancia para la gestión de procesos</w:t>
      </w:r>
    </w:p>
    <w:p w14:paraId="759A5AEC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Aunque la caché la controla el hardware, el SO influye en su rendimiento mediante la planificación de procesos [3], [4]. Tras un cambio de contexto, el nuevo proceso encuentra una caché con datos del anterior y sufre una ráfaga de fallos hasta “calentarla” (Fig. 8); por eso un quantum demasiado corto puede perjudicar el rendimiento [3], [5].</w:t>
      </w:r>
    </w:p>
    <w:p w14:paraId="3D9F0167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223415A" wp14:editId="3D8EED51">
            <wp:extent cx="4572000" cy="2353536"/>
            <wp:effectExtent l="0" t="0" r="0" b="0"/>
            <wp:docPr id="108" name="Imagen 8" descr="Gráfica ilustrativa de la tasa de fallos de caché, con picos tras cada cambio de contexto entre el proceso A y el proceso 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9507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8. Efecto conceptual del cambio de contexto en la tasa de fallos de caché (ilustración, no medición). Elaboración propia a partir de [3], [5].</w:t>
      </w:r>
    </w:p>
    <w:p w14:paraId="2932E165" w14:textId="77777777" w:rsidR="000F4455" w:rsidRDefault="00000000">
      <w:pPr>
        <w:pStyle w:val="Prrafodelista"/>
        <w:spacing w:after="120"/>
        <w:contextualSpacing w:val="0"/>
        <w:jc w:val="both"/>
      </w:pPr>
      <w:r>
        <w:rPr>
          <w:lang w:val="es-ES_tradnl"/>
        </w:rPr>
        <w:t>Además, si el planificador migra un proceso a otro núcleo, este pierde los datos acumulados en la caché del núcleo anterior; por eso los SO modernos pueden favorecer la afinidad al procesador (Fig. 9) [3], [4]. También conviene considerar que el TLB puede requerir invalidación al cambiar de espacio de direcciones, salvo que use identificadores de espacio (ASID) [4], y que dos hilos que escriben en una misma línea de caché generan tráfico de coherencia innecesario (falso compartido) [5], [7].</w:t>
      </w:r>
    </w:p>
    <w:p w14:paraId="1FFDADD8" w14:textId="77777777" w:rsidR="000F4455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F330B2D" wp14:editId="54409384">
            <wp:extent cx="5212080" cy="2646688"/>
            <wp:effectExtent l="0" t="0" r="0" b="0"/>
            <wp:docPr id="109" name="Imagen 9" descr="Comparación de un proceso que migra de núcleo (caché fría, muchos fallos) frente a uno que permanece en su núcleo (caché caliente, acierto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4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C40" w14:textId="77777777" w:rsidR="000F4455" w:rsidRDefault="00000000">
      <w:pPr>
        <w:jc w:val="center"/>
      </w:pPr>
      <w:r>
        <w:rPr>
          <w:sz w:val="18"/>
          <w:szCs w:val="18"/>
          <w:lang w:val="es-ES_tradnl"/>
        </w:rPr>
        <w:t>Fig. 9. Afinidad al procesador: migrar un proceso de núcleo descarta su caché caliente (ilustración conceptual). Elaboración propia a partir de [3], [4].</w:t>
      </w:r>
    </w:p>
    <w:p w14:paraId="279419B7" w14:textId="77777777" w:rsidR="000F4455" w:rsidRDefault="00000000">
      <w:pPr>
        <w:pStyle w:val="Prrafodelista"/>
        <w:keepNext/>
        <w:numPr>
          <w:ilvl w:val="0"/>
          <w:numId w:val="4"/>
        </w:numPr>
        <w:jc w:val="both"/>
      </w:pPr>
      <w:r>
        <w:rPr>
          <w:b/>
          <w:lang w:val="es-ES_tradnl"/>
        </w:rPr>
        <w:t>Conclusiones</w:t>
      </w:r>
    </w:p>
    <w:p w14:paraId="55E14F6E" w14:textId="12D191BF" w:rsidR="0027040E" w:rsidRDefault="0027040E">
      <w:pPr>
        <w:pStyle w:val="Prrafodelista"/>
        <w:spacing w:after="120"/>
        <w:contextualSpacing w:val="0"/>
        <w:jc w:val="both"/>
        <w:rPr>
          <w:lang w:val="es-ES_tradnl"/>
        </w:rPr>
      </w:pPr>
      <w:r>
        <w:rPr>
          <w:lang w:val="es-ES_tradnl"/>
        </w:rPr>
        <w:t>Se ha concluido que:</w:t>
      </w:r>
    </w:p>
    <w:p w14:paraId="77AB3B9F" w14:textId="6BE1F0D7" w:rsidR="000F4455" w:rsidRDefault="00000000" w:rsidP="0027040E">
      <w:pPr>
        <w:pStyle w:val="Prrafodelista"/>
        <w:numPr>
          <w:ilvl w:val="0"/>
          <w:numId w:val="5"/>
        </w:numPr>
        <w:spacing w:after="120"/>
        <w:contextualSpacing w:val="0"/>
        <w:jc w:val="both"/>
      </w:pPr>
      <w:r>
        <w:rPr>
          <w:lang w:val="es-ES_tradnl"/>
        </w:rPr>
        <w:t>La memoria caché reduce la brecha entre la velocidad de la CPU y la de la RAM aprovechando la localidad temporal y espacial de los programas.</w:t>
      </w:r>
    </w:p>
    <w:p w14:paraId="7F1B412A" w14:textId="77777777" w:rsidR="000F4455" w:rsidRDefault="00000000" w:rsidP="0027040E">
      <w:pPr>
        <w:pStyle w:val="Prrafodelista"/>
        <w:numPr>
          <w:ilvl w:val="0"/>
          <w:numId w:val="5"/>
        </w:numPr>
        <w:spacing w:after="120"/>
        <w:contextualSpacing w:val="0"/>
        <w:jc w:val="both"/>
      </w:pPr>
      <w:r>
        <w:rPr>
          <w:lang w:val="es-ES_tradnl"/>
        </w:rPr>
        <w:t>En el procesador, la jerarquía L1–L2–L3 (privada y compartida) funciona mediante aciertos y fallos, mapeo, políticas de reemplazo y de escritura, y requiere protocolos de coherencia en sistemas multinúcleo.</w:t>
      </w:r>
    </w:p>
    <w:p w14:paraId="539FD295" w14:textId="77777777" w:rsidR="000F4455" w:rsidRDefault="00000000" w:rsidP="0027040E">
      <w:pPr>
        <w:pStyle w:val="Prrafodelista"/>
        <w:numPr>
          <w:ilvl w:val="0"/>
          <w:numId w:val="5"/>
        </w:numPr>
        <w:spacing w:after="120"/>
        <w:contextualSpacing w:val="0"/>
        <w:jc w:val="both"/>
      </w:pPr>
      <w:r>
        <w:rPr>
          <w:lang w:val="es-ES_tradnl"/>
        </w:rPr>
        <w:t>El SO no controla directamente la caché, pero sus decisiones de planificación (cambios de contexto, quantum y afinidad al procesador) determinan qué tan bien se aprovecha.</w:t>
      </w:r>
    </w:p>
    <w:p w14:paraId="355E6E61" w14:textId="77777777" w:rsidR="000F4455" w:rsidRDefault="00000000" w:rsidP="0027040E">
      <w:pPr>
        <w:pStyle w:val="Prrafodelista"/>
        <w:numPr>
          <w:ilvl w:val="0"/>
          <w:numId w:val="5"/>
        </w:numPr>
        <w:spacing w:after="120"/>
        <w:contextualSpacing w:val="0"/>
        <w:jc w:val="both"/>
      </w:pPr>
      <w:r>
        <w:rPr>
          <w:lang w:val="es-ES_tradnl"/>
        </w:rPr>
        <w:t>Comprender estos conceptos ayuda a escribir programas más eficientes y a configurar y diagnosticar sistemas con mejor criterio.</w:t>
      </w:r>
    </w:p>
    <w:p w14:paraId="02BD4753" w14:textId="77777777" w:rsidR="000F4455" w:rsidRDefault="00000000">
      <w:pPr>
        <w:pStyle w:val="Prrafodelista"/>
        <w:keepNext/>
        <w:numPr>
          <w:ilvl w:val="0"/>
          <w:numId w:val="4"/>
        </w:numPr>
        <w:jc w:val="both"/>
      </w:pPr>
      <w:r>
        <w:rPr>
          <w:b/>
          <w:lang w:val="es-ES_tradnl"/>
        </w:rPr>
        <w:t>Bibliografía</w:t>
      </w:r>
    </w:p>
    <w:p w14:paraId="3265E497" w14:textId="77777777" w:rsidR="000F4455" w:rsidRPr="0027040E" w:rsidRDefault="00000000">
      <w:pPr>
        <w:pStyle w:val="Prrafodelista"/>
        <w:spacing w:after="80"/>
        <w:ind w:left="1000" w:hanging="500"/>
        <w:contextualSpacing w:val="0"/>
        <w:rPr>
          <w:lang w:val="en-US"/>
        </w:rPr>
      </w:pPr>
      <w:r w:rsidRPr="0027040E">
        <w:rPr>
          <w:lang w:val="en-US"/>
        </w:rPr>
        <w:t xml:space="preserve">[1] J. L. Hennessy and D. A. Patterson, </w:t>
      </w:r>
      <w:r w:rsidRPr="0027040E">
        <w:rPr>
          <w:i/>
          <w:lang w:val="en-US"/>
        </w:rPr>
        <w:t>Computer Architecture: A Quantitative Approach</w:t>
      </w:r>
      <w:r w:rsidRPr="0027040E">
        <w:rPr>
          <w:lang w:val="en-US"/>
        </w:rPr>
        <w:t>, 6th ed. Cambridge, MA, USA: Morgan Kaufmann, 2019.</w:t>
      </w:r>
    </w:p>
    <w:p w14:paraId="09FF397F" w14:textId="77777777" w:rsidR="000F4455" w:rsidRPr="0027040E" w:rsidRDefault="00000000">
      <w:pPr>
        <w:pStyle w:val="Prrafodelista"/>
        <w:spacing w:after="80"/>
        <w:ind w:left="1000" w:hanging="500"/>
        <w:contextualSpacing w:val="0"/>
        <w:rPr>
          <w:lang w:val="en-US"/>
        </w:rPr>
      </w:pPr>
      <w:r w:rsidRPr="0027040E">
        <w:rPr>
          <w:lang w:val="en-US"/>
        </w:rPr>
        <w:t xml:space="preserve">[2] W. Stallings, </w:t>
      </w:r>
      <w:r w:rsidRPr="0027040E">
        <w:rPr>
          <w:i/>
          <w:lang w:val="en-US"/>
        </w:rPr>
        <w:t>Computer Organization and Architecture: Designing for Performance</w:t>
      </w:r>
      <w:r w:rsidRPr="0027040E">
        <w:rPr>
          <w:lang w:val="en-US"/>
        </w:rPr>
        <w:t>, 10th ed. Hoboken, NJ, USA: Pearson, 2016.</w:t>
      </w:r>
    </w:p>
    <w:p w14:paraId="1F4D6FF1" w14:textId="77777777" w:rsidR="000F4455" w:rsidRPr="0027040E" w:rsidRDefault="00000000">
      <w:pPr>
        <w:pStyle w:val="Prrafodelista"/>
        <w:spacing w:after="80"/>
        <w:ind w:left="1000" w:hanging="500"/>
        <w:contextualSpacing w:val="0"/>
        <w:rPr>
          <w:lang w:val="en-US"/>
        </w:rPr>
      </w:pPr>
      <w:r w:rsidRPr="0027040E">
        <w:rPr>
          <w:lang w:val="en-US"/>
        </w:rPr>
        <w:t xml:space="preserve">[3] A. Silberschatz, P. B. Galvin, and G. Gagne, </w:t>
      </w:r>
      <w:r w:rsidRPr="0027040E">
        <w:rPr>
          <w:i/>
          <w:lang w:val="en-US"/>
        </w:rPr>
        <w:t>Operating System Concepts</w:t>
      </w:r>
      <w:r w:rsidRPr="0027040E">
        <w:rPr>
          <w:lang w:val="en-US"/>
        </w:rPr>
        <w:t>, 10th ed. Hoboken, NJ, USA: Wiley, 2018.</w:t>
      </w:r>
    </w:p>
    <w:p w14:paraId="78CC29DE" w14:textId="77777777" w:rsidR="000F4455" w:rsidRPr="0027040E" w:rsidRDefault="00000000">
      <w:pPr>
        <w:pStyle w:val="Prrafodelista"/>
        <w:spacing w:after="80"/>
        <w:ind w:left="1000" w:hanging="500"/>
        <w:contextualSpacing w:val="0"/>
        <w:rPr>
          <w:lang w:val="en-US"/>
        </w:rPr>
      </w:pPr>
      <w:r w:rsidRPr="0027040E">
        <w:rPr>
          <w:lang w:val="en-US"/>
        </w:rPr>
        <w:t xml:space="preserve">[4] A. S. Tanenbaum and H. Bos, </w:t>
      </w:r>
      <w:r w:rsidRPr="0027040E">
        <w:rPr>
          <w:i/>
          <w:lang w:val="en-US"/>
        </w:rPr>
        <w:t>Modern Operating Systems</w:t>
      </w:r>
      <w:r w:rsidRPr="0027040E">
        <w:rPr>
          <w:lang w:val="en-US"/>
        </w:rPr>
        <w:t>, 4th ed. Boston, MA, USA: Pearson, 2015.</w:t>
      </w:r>
    </w:p>
    <w:p w14:paraId="4B6F2821" w14:textId="77777777" w:rsidR="000F4455" w:rsidRPr="0027040E" w:rsidRDefault="00000000">
      <w:pPr>
        <w:pStyle w:val="Prrafodelista"/>
        <w:spacing w:after="80"/>
        <w:ind w:left="1000" w:hanging="500"/>
        <w:contextualSpacing w:val="0"/>
        <w:rPr>
          <w:lang w:val="en-US"/>
        </w:rPr>
      </w:pPr>
      <w:r w:rsidRPr="0027040E">
        <w:rPr>
          <w:lang w:val="en-US"/>
        </w:rPr>
        <w:lastRenderedPageBreak/>
        <w:t xml:space="preserve">[5] U. </w:t>
      </w:r>
      <w:proofErr w:type="spellStart"/>
      <w:r w:rsidRPr="0027040E">
        <w:rPr>
          <w:lang w:val="en-US"/>
        </w:rPr>
        <w:t>Drepper</w:t>
      </w:r>
      <w:proofErr w:type="spellEnd"/>
      <w:r w:rsidRPr="0027040E">
        <w:rPr>
          <w:lang w:val="en-US"/>
        </w:rPr>
        <w:t>, “What every programmer should know about memory,” Red Hat, Inc., Raleigh, NC, USA, Nov. 2007.</w:t>
      </w:r>
    </w:p>
    <w:p w14:paraId="026344D9" w14:textId="77777777" w:rsidR="000F4455" w:rsidRPr="0027040E" w:rsidRDefault="00000000">
      <w:pPr>
        <w:pStyle w:val="Prrafodelista"/>
        <w:spacing w:after="80"/>
        <w:ind w:left="1000" w:hanging="500"/>
        <w:contextualSpacing w:val="0"/>
        <w:rPr>
          <w:lang w:val="en-US"/>
        </w:rPr>
      </w:pPr>
      <w:r w:rsidRPr="0027040E">
        <w:rPr>
          <w:lang w:val="en-US"/>
        </w:rPr>
        <w:t xml:space="preserve">[6] A. J. Smith, “Cache memories,” </w:t>
      </w:r>
      <w:r w:rsidRPr="0027040E">
        <w:rPr>
          <w:i/>
          <w:lang w:val="en-US"/>
        </w:rPr>
        <w:t xml:space="preserve">ACM </w:t>
      </w:r>
      <w:proofErr w:type="spellStart"/>
      <w:r w:rsidRPr="0027040E">
        <w:rPr>
          <w:i/>
          <w:lang w:val="en-US"/>
        </w:rPr>
        <w:t>Comput</w:t>
      </w:r>
      <w:proofErr w:type="spellEnd"/>
      <w:r w:rsidRPr="0027040E">
        <w:rPr>
          <w:i/>
          <w:lang w:val="en-US"/>
        </w:rPr>
        <w:t xml:space="preserve">. </w:t>
      </w:r>
      <w:proofErr w:type="spellStart"/>
      <w:r w:rsidRPr="0027040E">
        <w:rPr>
          <w:i/>
          <w:lang w:val="en-US"/>
        </w:rPr>
        <w:t>Surv</w:t>
      </w:r>
      <w:proofErr w:type="spellEnd"/>
      <w:r w:rsidRPr="0027040E">
        <w:rPr>
          <w:i/>
          <w:lang w:val="en-US"/>
        </w:rPr>
        <w:t>.</w:t>
      </w:r>
      <w:r w:rsidRPr="0027040E">
        <w:rPr>
          <w:lang w:val="en-US"/>
        </w:rPr>
        <w:t>, vol. 14, no. 3, pp. 473–530, Sep. 1982.</w:t>
      </w:r>
    </w:p>
    <w:p w14:paraId="3554D78E" w14:textId="77777777" w:rsidR="000F4455" w:rsidRDefault="00000000">
      <w:pPr>
        <w:pStyle w:val="Prrafodelista"/>
        <w:spacing w:after="80"/>
        <w:ind w:left="1000" w:hanging="500"/>
        <w:contextualSpacing w:val="0"/>
      </w:pPr>
      <w:r w:rsidRPr="0027040E">
        <w:rPr>
          <w:lang w:val="en-US"/>
        </w:rPr>
        <w:t xml:space="preserve">[7] D. J. Sorin, M. D. Hill, and D. A. Wood, </w:t>
      </w:r>
      <w:r w:rsidRPr="0027040E">
        <w:rPr>
          <w:i/>
          <w:lang w:val="en-US"/>
        </w:rPr>
        <w:t>A Primer on Memory Consistency and Cache Coherence</w:t>
      </w:r>
      <w:r w:rsidRPr="0027040E">
        <w:rPr>
          <w:lang w:val="en-US"/>
        </w:rPr>
        <w:t xml:space="preserve">. </w:t>
      </w:r>
      <w:r>
        <w:rPr>
          <w:lang w:val="es-ES_tradnl"/>
        </w:rPr>
        <w:t>San Rafael, CA, USA: Morgan &amp; Claypool, 2011.</w:t>
      </w:r>
    </w:p>
    <w:sectPr w:rsidR="000F4455" w:rsidSect="0066306D">
      <w:headerReference w:type="default" r:id="rId16"/>
      <w:pgSz w:w="11907" w:h="16839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0075C" w14:textId="77777777" w:rsidR="00E54E0D" w:rsidRDefault="00E54E0D" w:rsidP="00102FA9">
      <w:pPr>
        <w:spacing w:after="0" w:line="240" w:lineRule="auto"/>
      </w:pPr>
      <w:r>
        <w:separator/>
      </w:r>
    </w:p>
  </w:endnote>
  <w:endnote w:type="continuationSeparator" w:id="0">
    <w:p w14:paraId="668B33A2" w14:textId="77777777" w:rsidR="00E54E0D" w:rsidRDefault="00E54E0D" w:rsidP="0010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D477E" w14:textId="77777777" w:rsidR="00E54E0D" w:rsidRDefault="00E54E0D" w:rsidP="00102FA9">
      <w:pPr>
        <w:spacing w:after="0" w:line="240" w:lineRule="auto"/>
      </w:pPr>
      <w:r>
        <w:separator/>
      </w:r>
    </w:p>
  </w:footnote>
  <w:footnote w:type="continuationSeparator" w:id="0">
    <w:p w14:paraId="098A2F1E" w14:textId="77777777" w:rsidR="00E54E0D" w:rsidRDefault="00E54E0D" w:rsidP="0010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953"/>
      <w:gridCol w:w="2552"/>
    </w:tblGrid>
    <w:tr w:rsidR="005E6312" w:rsidRPr="00C61E4B" w14:paraId="7A8619A8" w14:textId="77777777" w:rsidTr="000A0D1A">
      <w:trPr>
        <w:trHeight w:val="1629"/>
      </w:trPr>
      <w:tc>
        <w:tcPr>
          <w:tcW w:w="3500" w:type="pct"/>
          <w:tcBorders>
            <w:bottom w:val="single" w:sz="4" w:space="0" w:color="auto"/>
          </w:tcBorders>
          <w:vAlign w:val="bottom"/>
        </w:tcPr>
        <w:p w14:paraId="616A83D1" w14:textId="77777777" w:rsidR="005E6312" w:rsidRPr="00C61E4B" w:rsidRDefault="005E6312" w:rsidP="005E6312">
          <w:pPr>
            <w:pStyle w:val="Encabezado"/>
            <w:jc w:val="center"/>
            <w:rPr>
              <w:rFonts w:cstheme="minorHAnsi"/>
              <w:b/>
              <w:sz w:val="14"/>
              <w:szCs w:val="14"/>
            </w:rPr>
          </w:pPr>
          <w:r>
            <w:rPr>
              <w:rFonts w:cstheme="minorHAnsi"/>
              <w:b/>
              <w:noProof/>
              <w:sz w:val="14"/>
              <w:szCs w:val="14"/>
              <w:lang w:val="es-EC" w:eastAsia="es-EC"/>
            </w:rPr>
            <w:drawing>
              <wp:inline distT="0" distB="0" distL="0" distR="0" wp14:anchorId="5BBABD14" wp14:editId="25F49BCF">
                <wp:extent cx="381000" cy="406831"/>
                <wp:effectExtent l="0" t="0" r="0" b="0"/>
                <wp:docPr id="5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UNL3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993" cy="4239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4FD439" w14:textId="77777777" w:rsidR="005E6312" w:rsidRPr="00C61E4B" w:rsidRDefault="005E6312" w:rsidP="005E6312">
          <w:pPr>
            <w:pStyle w:val="Encabezado"/>
            <w:jc w:val="center"/>
            <w:rPr>
              <w:rFonts w:cstheme="minorHAnsi"/>
              <w:b/>
              <w:color w:val="000000"/>
              <w:sz w:val="14"/>
              <w:szCs w:val="14"/>
            </w:rPr>
          </w:pPr>
          <w:r w:rsidRPr="00C61E4B">
            <w:rPr>
              <w:rFonts w:cstheme="minorHAnsi"/>
              <w:b/>
              <w:color w:val="000000"/>
              <w:sz w:val="14"/>
              <w:szCs w:val="14"/>
            </w:rPr>
            <w:t>UNIVERSIDAD NACIONAL DE LOJA</w:t>
          </w:r>
        </w:p>
        <w:p w14:paraId="678D6CBD" w14:textId="77777777" w:rsidR="005E6312" w:rsidRPr="00C61E4B" w:rsidRDefault="005E6312" w:rsidP="005E6312">
          <w:pPr>
            <w:pStyle w:val="Encabezado"/>
            <w:jc w:val="center"/>
            <w:rPr>
              <w:rFonts w:cstheme="minorHAnsi"/>
              <w:b/>
              <w:color w:val="000000"/>
              <w:sz w:val="14"/>
              <w:szCs w:val="14"/>
            </w:rPr>
          </w:pPr>
          <w:r>
            <w:rPr>
              <w:rFonts w:cstheme="minorHAnsi"/>
              <w:b/>
              <w:color w:val="000000"/>
              <w:sz w:val="14"/>
              <w:szCs w:val="14"/>
            </w:rPr>
            <w:t>FACULTAD</w:t>
          </w:r>
          <w:r w:rsidRPr="00C61E4B">
            <w:rPr>
              <w:rFonts w:cstheme="minorHAnsi"/>
              <w:b/>
              <w:color w:val="000000"/>
              <w:sz w:val="14"/>
              <w:szCs w:val="14"/>
            </w:rPr>
            <w:t xml:space="preserve"> DE ENERGÍA, </w:t>
          </w:r>
          <w:r>
            <w:rPr>
              <w:rFonts w:cstheme="minorHAnsi"/>
              <w:b/>
              <w:color w:val="000000"/>
              <w:sz w:val="14"/>
              <w:szCs w:val="14"/>
            </w:rPr>
            <w:t xml:space="preserve">LAS </w:t>
          </w:r>
          <w:r w:rsidRPr="00C61E4B">
            <w:rPr>
              <w:rFonts w:cstheme="minorHAnsi"/>
              <w:b/>
              <w:color w:val="000000"/>
              <w:sz w:val="14"/>
              <w:szCs w:val="14"/>
            </w:rPr>
            <w:t xml:space="preserve">INDUSTRIAS </w:t>
          </w:r>
          <w:r>
            <w:rPr>
              <w:rFonts w:cstheme="minorHAnsi"/>
              <w:b/>
              <w:color w:val="000000"/>
              <w:sz w:val="14"/>
              <w:szCs w:val="14"/>
            </w:rPr>
            <w:t xml:space="preserve">Y  LOS  RECURSOS NATURALES NO </w:t>
          </w:r>
          <w:r w:rsidRPr="00C61E4B">
            <w:rPr>
              <w:rFonts w:cstheme="minorHAnsi"/>
              <w:b/>
              <w:color w:val="000000"/>
              <w:sz w:val="14"/>
              <w:szCs w:val="14"/>
            </w:rPr>
            <w:t>RENOVABLES</w:t>
          </w:r>
        </w:p>
        <w:p w14:paraId="37918D4A" w14:textId="77777777" w:rsidR="005E6312" w:rsidRPr="00342564" w:rsidRDefault="005E6312" w:rsidP="005E6312">
          <w:pPr>
            <w:pStyle w:val="Encabezado"/>
            <w:jc w:val="center"/>
            <w:rPr>
              <w:rFonts w:cstheme="minorHAnsi"/>
              <w:b/>
              <w:color w:val="525252" w:themeColor="accent3" w:themeShade="80"/>
              <w:sz w:val="14"/>
              <w:szCs w:val="14"/>
            </w:rPr>
          </w:pPr>
          <w:r w:rsidRPr="00342564">
            <w:rPr>
              <w:rFonts w:cstheme="minorHAnsi"/>
              <w:b/>
              <w:color w:val="525252" w:themeColor="accent3" w:themeShade="80"/>
              <w:sz w:val="14"/>
              <w:szCs w:val="14"/>
            </w:rPr>
            <w:t xml:space="preserve">CARRERA DE </w:t>
          </w:r>
          <w:r>
            <w:rPr>
              <w:rFonts w:cstheme="minorHAnsi"/>
              <w:b/>
              <w:color w:val="525252" w:themeColor="accent3" w:themeShade="80"/>
              <w:sz w:val="14"/>
              <w:szCs w:val="14"/>
            </w:rPr>
            <w:t>COMPUTACIÓN</w:t>
          </w:r>
        </w:p>
      </w:tc>
      <w:tc>
        <w:tcPr>
          <w:tcW w:w="1500" w:type="pct"/>
          <w:tcBorders>
            <w:bottom w:val="single" w:sz="4" w:space="0" w:color="943634"/>
          </w:tcBorders>
          <w:shd w:val="clear" w:color="auto" w:fill="EDEDED" w:themeFill="accent3" w:themeFillTint="33"/>
          <w:vAlign w:val="bottom"/>
        </w:tcPr>
        <w:p w14:paraId="65E628AC" w14:textId="77777777" w:rsidR="005E6312" w:rsidRPr="00C95AC3" w:rsidRDefault="005E6312" w:rsidP="005E6312">
          <w:pPr>
            <w:pStyle w:val="Encabezado"/>
            <w:jc w:val="center"/>
            <w:rPr>
              <w:rFonts w:cstheme="minorHAnsi"/>
              <w:b/>
              <w:color w:val="000000" w:themeColor="text1"/>
              <w:sz w:val="14"/>
              <w:szCs w:val="14"/>
            </w:rPr>
          </w:pPr>
          <w:r>
            <w:rPr>
              <w:noProof/>
              <w:lang w:val="es-EC" w:eastAsia="es-EC"/>
            </w:rPr>
            <w:drawing>
              <wp:anchor distT="0" distB="0" distL="114300" distR="114300" simplePos="0" relativeHeight="251659264" behindDoc="0" locked="0" layoutInCell="1" allowOverlap="1" wp14:anchorId="340A0B1F" wp14:editId="00598393">
                <wp:simplePos x="0" y="0"/>
                <wp:positionH relativeFrom="column">
                  <wp:posOffset>408940</wp:posOffset>
                </wp:positionH>
                <wp:positionV relativeFrom="paragraph">
                  <wp:posOffset>132080</wp:posOffset>
                </wp:positionV>
                <wp:extent cx="702945" cy="702945"/>
                <wp:effectExtent l="0" t="0" r="0" b="0"/>
                <wp:wrapTopAndBottom/>
                <wp:docPr id="1" name="Imagen 11" descr="Computación UNL on Twitter: &quot;Atención! se notificará a su e-mail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omputación UNL on Twitter: &quot;Atención! se notificará a su e-mail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2945" cy="702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cstheme="minorHAnsi"/>
              <w:b/>
              <w:color w:val="000000" w:themeColor="text1"/>
              <w:sz w:val="14"/>
              <w:szCs w:val="14"/>
            </w:rPr>
            <w:t xml:space="preserve">CARRERA DE </w:t>
          </w:r>
          <w:r w:rsidR="00FD1238">
            <w:rPr>
              <w:rFonts w:cstheme="minorHAnsi"/>
              <w:b/>
              <w:color w:val="000000" w:themeColor="text1"/>
              <w:sz w:val="14"/>
              <w:szCs w:val="14"/>
            </w:rPr>
            <w:t>COMPUTACIÓN</w:t>
          </w:r>
        </w:p>
        <w:p w14:paraId="49B331B0" w14:textId="77777777" w:rsidR="005E6312" w:rsidRPr="00102FA9" w:rsidRDefault="005E6312" w:rsidP="005E6312">
          <w:pPr>
            <w:jc w:val="center"/>
            <w:rPr>
              <w:rFonts w:cstheme="minorHAnsi"/>
              <w:color w:val="000000" w:themeColor="text1"/>
              <w:sz w:val="14"/>
              <w:szCs w:val="14"/>
            </w:rPr>
          </w:pPr>
          <w:r>
            <w:rPr>
              <w:rFonts w:cstheme="minorHAnsi"/>
              <w:color w:val="000000" w:themeColor="text1"/>
              <w:sz w:val="14"/>
              <w:szCs w:val="14"/>
            </w:rPr>
            <w:t xml:space="preserve">   HE-CIS-202</w:t>
          </w:r>
          <w:r w:rsidR="00B707AA">
            <w:rPr>
              <w:rFonts w:cstheme="minorHAnsi"/>
              <w:color w:val="000000" w:themeColor="text1"/>
              <w:sz w:val="14"/>
              <w:szCs w:val="14"/>
            </w:rPr>
            <w:t>2</w:t>
          </w:r>
        </w:p>
      </w:tc>
    </w:tr>
  </w:tbl>
  <w:p w14:paraId="05933161" w14:textId="77777777" w:rsidR="009762F2" w:rsidRDefault="009762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5A2"/>
    <w:multiLevelType w:val="hybridMultilevel"/>
    <w:tmpl w:val="48625A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7273"/>
    <w:multiLevelType w:val="hybridMultilevel"/>
    <w:tmpl w:val="F2A2D1E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2E970DD"/>
    <w:multiLevelType w:val="hybridMultilevel"/>
    <w:tmpl w:val="2F927E4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F4DF1"/>
    <w:multiLevelType w:val="hybridMultilevel"/>
    <w:tmpl w:val="114E5E9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F642E"/>
    <w:multiLevelType w:val="hybridMultilevel"/>
    <w:tmpl w:val="114E5E9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449409">
    <w:abstractNumId w:val="3"/>
  </w:num>
  <w:num w:numId="2" w16cid:durableId="91321411">
    <w:abstractNumId w:val="4"/>
  </w:num>
  <w:num w:numId="3" w16cid:durableId="100808648">
    <w:abstractNumId w:val="2"/>
  </w:num>
  <w:num w:numId="4" w16cid:durableId="1395354575">
    <w:abstractNumId w:val="0"/>
  </w:num>
  <w:num w:numId="5" w16cid:durableId="1485463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A9"/>
    <w:rsid w:val="000033D4"/>
    <w:rsid w:val="00036C01"/>
    <w:rsid w:val="000427AE"/>
    <w:rsid w:val="00090545"/>
    <w:rsid w:val="00096300"/>
    <w:rsid w:val="0009703C"/>
    <w:rsid w:val="000E5096"/>
    <w:rsid w:val="000F4455"/>
    <w:rsid w:val="00102FA9"/>
    <w:rsid w:val="00117935"/>
    <w:rsid w:val="001317F2"/>
    <w:rsid w:val="001348B8"/>
    <w:rsid w:val="00152DA2"/>
    <w:rsid w:val="00153748"/>
    <w:rsid w:val="001B1ABF"/>
    <w:rsid w:val="001C168E"/>
    <w:rsid w:val="001F4E3C"/>
    <w:rsid w:val="00207FBB"/>
    <w:rsid w:val="0021764A"/>
    <w:rsid w:val="00247D8D"/>
    <w:rsid w:val="0025026C"/>
    <w:rsid w:val="0027040E"/>
    <w:rsid w:val="002B377D"/>
    <w:rsid w:val="002E666A"/>
    <w:rsid w:val="00326282"/>
    <w:rsid w:val="003A0160"/>
    <w:rsid w:val="003F2C1A"/>
    <w:rsid w:val="0042292D"/>
    <w:rsid w:val="00457419"/>
    <w:rsid w:val="004647DF"/>
    <w:rsid w:val="004736BA"/>
    <w:rsid w:val="004F57D9"/>
    <w:rsid w:val="005213C3"/>
    <w:rsid w:val="00521BAE"/>
    <w:rsid w:val="00533E13"/>
    <w:rsid w:val="005363A2"/>
    <w:rsid w:val="00566A5B"/>
    <w:rsid w:val="0059386F"/>
    <w:rsid w:val="005B1EB9"/>
    <w:rsid w:val="005C6CD9"/>
    <w:rsid w:val="005E3FD3"/>
    <w:rsid w:val="005E6312"/>
    <w:rsid w:val="00601448"/>
    <w:rsid w:val="00610561"/>
    <w:rsid w:val="00612F0F"/>
    <w:rsid w:val="00614A60"/>
    <w:rsid w:val="00617621"/>
    <w:rsid w:val="0066306D"/>
    <w:rsid w:val="006B130B"/>
    <w:rsid w:val="006D6410"/>
    <w:rsid w:val="006E54E7"/>
    <w:rsid w:val="006F54B4"/>
    <w:rsid w:val="00795F5C"/>
    <w:rsid w:val="0079720E"/>
    <w:rsid w:val="007B4EDE"/>
    <w:rsid w:val="00804F35"/>
    <w:rsid w:val="00816528"/>
    <w:rsid w:val="0087086A"/>
    <w:rsid w:val="008B0100"/>
    <w:rsid w:val="008B68F7"/>
    <w:rsid w:val="008D10A3"/>
    <w:rsid w:val="008D74EE"/>
    <w:rsid w:val="00906306"/>
    <w:rsid w:val="00944717"/>
    <w:rsid w:val="009735EF"/>
    <w:rsid w:val="009762F2"/>
    <w:rsid w:val="00983B68"/>
    <w:rsid w:val="009A5061"/>
    <w:rsid w:val="009C643F"/>
    <w:rsid w:val="00A333E2"/>
    <w:rsid w:val="00A420F2"/>
    <w:rsid w:val="00AF3B3C"/>
    <w:rsid w:val="00B707AA"/>
    <w:rsid w:val="00BA0F93"/>
    <w:rsid w:val="00BA4C37"/>
    <w:rsid w:val="00BD45BD"/>
    <w:rsid w:val="00BF1D9B"/>
    <w:rsid w:val="00C27013"/>
    <w:rsid w:val="00C54C78"/>
    <w:rsid w:val="00C60BEA"/>
    <w:rsid w:val="00C7060C"/>
    <w:rsid w:val="00C76DE1"/>
    <w:rsid w:val="00C810AB"/>
    <w:rsid w:val="00C8398E"/>
    <w:rsid w:val="00C849D6"/>
    <w:rsid w:val="00CA119A"/>
    <w:rsid w:val="00CA34DF"/>
    <w:rsid w:val="00CB1B84"/>
    <w:rsid w:val="00CB3890"/>
    <w:rsid w:val="00CC2D0C"/>
    <w:rsid w:val="00D01342"/>
    <w:rsid w:val="00D36E5B"/>
    <w:rsid w:val="00D554F2"/>
    <w:rsid w:val="00D63C91"/>
    <w:rsid w:val="00D67596"/>
    <w:rsid w:val="00D80054"/>
    <w:rsid w:val="00E54E0D"/>
    <w:rsid w:val="00E76858"/>
    <w:rsid w:val="00EB765D"/>
    <w:rsid w:val="00EF46DA"/>
    <w:rsid w:val="00F04433"/>
    <w:rsid w:val="00F2297E"/>
    <w:rsid w:val="00F27A13"/>
    <w:rsid w:val="00F3127A"/>
    <w:rsid w:val="00FA1B05"/>
    <w:rsid w:val="00FD1238"/>
    <w:rsid w:val="00FE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BF34F"/>
  <w15:chartTrackingRefBased/>
  <w15:docId w15:val="{940BEE4B-4C40-4C9E-83F3-70F29173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09F"/>
    <w:pPr>
      <w:spacing w:after="200" w:line="276" w:lineRule="auto"/>
    </w:pPr>
    <w:rPr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27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2F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2FA9"/>
  </w:style>
  <w:style w:type="paragraph" w:styleId="Piedepgina">
    <w:name w:val="footer"/>
    <w:basedOn w:val="Normal"/>
    <w:link w:val="PiedepginaCar"/>
    <w:uiPriority w:val="99"/>
    <w:unhideWhenUsed/>
    <w:rsid w:val="00102F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2FA9"/>
  </w:style>
  <w:style w:type="paragraph" w:styleId="Textodeglobo">
    <w:name w:val="Balloon Text"/>
    <w:basedOn w:val="Normal"/>
    <w:link w:val="TextodegloboCar"/>
    <w:uiPriority w:val="99"/>
    <w:semiHidden/>
    <w:unhideWhenUsed/>
    <w:rsid w:val="00207F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07FB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3A016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0427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0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e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1160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</dc:creator>
  <cp:keywords/>
  <dc:description/>
  <cp:lastModifiedBy>carlos.d.zumba@unl.edu.ec</cp:lastModifiedBy>
  <cp:revision>3</cp:revision>
  <cp:lastPrinted>2017-08-23T22:50:00Z</cp:lastPrinted>
  <dcterms:created xsi:type="dcterms:W3CDTF">2026-10-14T01:03:00Z</dcterms:created>
  <dcterms:modified xsi:type="dcterms:W3CDTF">2026-10-14T01:08:00Z</dcterms:modified>
</cp:coreProperties>
</file>