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F5A2D" w14:textId="556D9EAC" w:rsidR="007520E0" w:rsidRDefault="007F5797">
      <w:pPr>
        <w:rPr>
          <w:rStyle w:val="Hyperlink"/>
        </w:rPr>
      </w:pPr>
      <w:r>
        <w:fldChar w:fldCharType="begin"/>
      </w:r>
      <w:r>
        <w:instrText xml:space="preserve"> HYPERLINK "https://github.com/Carloselrecharlie/ML_assessment_repeat.git" </w:instrText>
      </w:r>
      <w:r>
        <w:fldChar w:fldCharType="separate"/>
      </w:r>
      <w:proofErr w:type="spellStart"/>
      <w:r w:rsidR="007E0C76" w:rsidRPr="00133A61">
        <w:rPr>
          <w:rStyle w:val="Hyperlink"/>
        </w:rPr>
        <w:t>Github</w:t>
      </w:r>
      <w:proofErr w:type="spellEnd"/>
      <w:r w:rsidR="007E0C76" w:rsidRPr="00133A61">
        <w:rPr>
          <w:rStyle w:val="Hyperlink"/>
        </w:rPr>
        <w:t xml:space="preserve"> link</w:t>
      </w:r>
      <w:r>
        <w:rPr>
          <w:rStyle w:val="Hyperlink"/>
        </w:rPr>
        <w:fldChar w:fldCharType="end"/>
      </w:r>
    </w:p>
    <w:p w14:paraId="7D3D3338" w14:textId="2EA4D0E6" w:rsidR="00173628" w:rsidRDefault="00AA77F1" w:rsidP="00173628">
      <w:r>
        <w:t>Wordcount:1296</w:t>
      </w:r>
    </w:p>
    <w:p w14:paraId="01DF900B" w14:textId="77777777" w:rsidR="007F5797" w:rsidRDefault="007F5797" w:rsidP="00173628"/>
    <w:p w14:paraId="2780B5AD" w14:textId="77777777" w:rsidR="007F5797" w:rsidRDefault="007F5797" w:rsidP="00173628">
      <w:pPr>
        <w:rPr>
          <w:rStyle w:val="Hyperlink"/>
        </w:rPr>
      </w:pPr>
    </w:p>
    <w:p w14:paraId="6DFE43C3" w14:textId="77777777" w:rsidR="007F5797" w:rsidRDefault="007F5797" w:rsidP="00173628">
      <w:pPr>
        <w:rPr>
          <w:rStyle w:val="Hyperlink"/>
        </w:rPr>
      </w:pPr>
    </w:p>
    <w:p w14:paraId="6D0410E0" w14:textId="77777777" w:rsidR="007F5797" w:rsidRDefault="007F5797" w:rsidP="00173628">
      <w:pPr>
        <w:rPr>
          <w:rStyle w:val="Hyperlink"/>
        </w:rPr>
      </w:pPr>
    </w:p>
    <w:sdt>
      <w:sdtPr>
        <w:id w:val="1640000071"/>
        <w:docPartObj>
          <w:docPartGallery w:val="Table of Contents"/>
          <w:docPartUnique/>
        </w:docPartObj>
      </w:sdtPr>
      <w:sdtEndPr>
        <w:rPr>
          <w:rFonts w:asciiTheme="minorHAnsi" w:eastAsiaTheme="minorEastAsia" w:hAnsiTheme="minorHAnsi" w:cstheme="minorBidi"/>
          <w:b/>
          <w:bCs/>
          <w:noProof/>
          <w:color w:val="auto"/>
          <w:sz w:val="22"/>
          <w:szCs w:val="22"/>
          <w:lang w:eastAsia="zh-CN"/>
        </w:rPr>
      </w:sdtEndPr>
      <w:sdtContent>
        <w:p w14:paraId="55E69E1D" w14:textId="6D3F4FAE" w:rsidR="00AA77F1" w:rsidRDefault="00AA77F1">
          <w:pPr>
            <w:pStyle w:val="TOCHeading"/>
          </w:pPr>
          <w:r>
            <w:t>Contents</w:t>
          </w:r>
        </w:p>
        <w:p w14:paraId="7C41BCB6" w14:textId="689D43D0" w:rsidR="007F5797" w:rsidRDefault="00AA77F1">
          <w:pPr>
            <w:pStyle w:val="TOC1"/>
            <w:tabs>
              <w:tab w:val="left" w:pos="440"/>
              <w:tab w:val="right" w:leader="dot" w:pos="9350"/>
            </w:tabs>
            <w:rPr>
              <w:noProof/>
            </w:rPr>
          </w:pPr>
          <w:r>
            <w:fldChar w:fldCharType="begin"/>
          </w:r>
          <w:r>
            <w:instrText xml:space="preserve"> TOC \o "1-3" \h \z \u </w:instrText>
          </w:r>
          <w:r>
            <w:fldChar w:fldCharType="separate"/>
          </w:r>
          <w:hyperlink w:anchor="_Toc142256148" w:history="1">
            <w:r w:rsidR="007F5797" w:rsidRPr="0012063E">
              <w:rPr>
                <w:rStyle w:val="Hyperlink"/>
                <w:noProof/>
              </w:rPr>
              <w:t>1.</w:t>
            </w:r>
            <w:r w:rsidR="007F5797">
              <w:rPr>
                <w:noProof/>
              </w:rPr>
              <w:tab/>
            </w:r>
            <w:r w:rsidR="007F5797" w:rsidRPr="0012063E">
              <w:rPr>
                <w:rStyle w:val="Hyperlink"/>
                <w:noProof/>
              </w:rPr>
              <w:t>Introduction</w:t>
            </w:r>
            <w:r w:rsidR="007F5797">
              <w:rPr>
                <w:noProof/>
                <w:webHidden/>
              </w:rPr>
              <w:tab/>
            </w:r>
            <w:r w:rsidR="007F5797">
              <w:rPr>
                <w:noProof/>
                <w:webHidden/>
              </w:rPr>
              <w:fldChar w:fldCharType="begin"/>
            </w:r>
            <w:r w:rsidR="007F5797">
              <w:rPr>
                <w:noProof/>
                <w:webHidden/>
              </w:rPr>
              <w:instrText xml:space="preserve"> PAGEREF _Toc142256148 \h </w:instrText>
            </w:r>
            <w:r w:rsidR="007F5797">
              <w:rPr>
                <w:noProof/>
                <w:webHidden/>
              </w:rPr>
            </w:r>
            <w:r w:rsidR="007F5797">
              <w:rPr>
                <w:noProof/>
                <w:webHidden/>
              </w:rPr>
              <w:fldChar w:fldCharType="separate"/>
            </w:r>
            <w:r w:rsidR="007F5797">
              <w:rPr>
                <w:noProof/>
                <w:webHidden/>
              </w:rPr>
              <w:t>1</w:t>
            </w:r>
            <w:r w:rsidR="007F5797">
              <w:rPr>
                <w:noProof/>
                <w:webHidden/>
              </w:rPr>
              <w:fldChar w:fldCharType="end"/>
            </w:r>
          </w:hyperlink>
        </w:p>
        <w:p w14:paraId="00F19EC3" w14:textId="03137652" w:rsidR="007F5797" w:rsidRDefault="007F5797">
          <w:pPr>
            <w:pStyle w:val="TOC1"/>
            <w:tabs>
              <w:tab w:val="left" w:pos="440"/>
              <w:tab w:val="right" w:leader="dot" w:pos="9350"/>
            </w:tabs>
            <w:rPr>
              <w:noProof/>
            </w:rPr>
          </w:pPr>
          <w:hyperlink w:anchor="_Toc142256149" w:history="1">
            <w:r w:rsidRPr="0012063E">
              <w:rPr>
                <w:rStyle w:val="Hyperlink"/>
                <w:noProof/>
              </w:rPr>
              <w:t>2.</w:t>
            </w:r>
            <w:r>
              <w:rPr>
                <w:noProof/>
              </w:rPr>
              <w:tab/>
            </w:r>
            <w:r w:rsidRPr="0012063E">
              <w:rPr>
                <w:rStyle w:val="Hyperlink"/>
                <w:noProof/>
              </w:rPr>
              <w:t>EDA</w:t>
            </w:r>
            <w:r>
              <w:rPr>
                <w:noProof/>
                <w:webHidden/>
              </w:rPr>
              <w:tab/>
            </w:r>
            <w:r>
              <w:rPr>
                <w:noProof/>
                <w:webHidden/>
              </w:rPr>
              <w:fldChar w:fldCharType="begin"/>
            </w:r>
            <w:r>
              <w:rPr>
                <w:noProof/>
                <w:webHidden/>
              </w:rPr>
              <w:instrText xml:space="preserve"> PAGEREF _Toc142256149 \h </w:instrText>
            </w:r>
            <w:r>
              <w:rPr>
                <w:noProof/>
                <w:webHidden/>
              </w:rPr>
            </w:r>
            <w:r>
              <w:rPr>
                <w:noProof/>
                <w:webHidden/>
              </w:rPr>
              <w:fldChar w:fldCharType="separate"/>
            </w:r>
            <w:r>
              <w:rPr>
                <w:noProof/>
                <w:webHidden/>
              </w:rPr>
              <w:t>1</w:t>
            </w:r>
            <w:r>
              <w:rPr>
                <w:noProof/>
                <w:webHidden/>
              </w:rPr>
              <w:fldChar w:fldCharType="end"/>
            </w:r>
          </w:hyperlink>
        </w:p>
        <w:p w14:paraId="50645011" w14:textId="56B9FF2D" w:rsidR="007F5797" w:rsidRDefault="007F5797">
          <w:pPr>
            <w:pStyle w:val="TOC2"/>
            <w:tabs>
              <w:tab w:val="right" w:leader="dot" w:pos="9350"/>
            </w:tabs>
            <w:rPr>
              <w:noProof/>
            </w:rPr>
          </w:pPr>
          <w:hyperlink w:anchor="_Toc142256150" w:history="1">
            <w:r w:rsidRPr="0012063E">
              <w:rPr>
                <w:rStyle w:val="Hyperlink"/>
                <w:noProof/>
              </w:rPr>
              <w:t>2.1 Earnings</w:t>
            </w:r>
            <w:r>
              <w:rPr>
                <w:noProof/>
                <w:webHidden/>
              </w:rPr>
              <w:tab/>
            </w:r>
            <w:r>
              <w:rPr>
                <w:noProof/>
                <w:webHidden/>
              </w:rPr>
              <w:fldChar w:fldCharType="begin"/>
            </w:r>
            <w:r>
              <w:rPr>
                <w:noProof/>
                <w:webHidden/>
              </w:rPr>
              <w:instrText xml:space="preserve"> PAGEREF _Toc142256150 \h </w:instrText>
            </w:r>
            <w:r>
              <w:rPr>
                <w:noProof/>
                <w:webHidden/>
              </w:rPr>
            </w:r>
            <w:r>
              <w:rPr>
                <w:noProof/>
                <w:webHidden/>
              </w:rPr>
              <w:fldChar w:fldCharType="separate"/>
            </w:r>
            <w:r>
              <w:rPr>
                <w:noProof/>
                <w:webHidden/>
              </w:rPr>
              <w:t>7</w:t>
            </w:r>
            <w:r>
              <w:rPr>
                <w:noProof/>
                <w:webHidden/>
              </w:rPr>
              <w:fldChar w:fldCharType="end"/>
            </w:r>
          </w:hyperlink>
        </w:p>
        <w:p w14:paraId="336082FB" w14:textId="6E227115" w:rsidR="007F5797" w:rsidRDefault="007F5797">
          <w:pPr>
            <w:pStyle w:val="TOC1"/>
            <w:tabs>
              <w:tab w:val="left" w:pos="440"/>
              <w:tab w:val="right" w:leader="dot" w:pos="9350"/>
            </w:tabs>
            <w:rPr>
              <w:noProof/>
            </w:rPr>
          </w:pPr>
          <w:hyperlink w:anchor="_Toc142256151" w:history="1">
            <w:r w:rsidRPr="0012063E">
              <w:rPr>
                <w:rStyle w:val="Hyperlink"/>
                <w:noProof/>
              </w:rPr>
              <w:t>3.</w:t>
            </w:r>
            <w:r>
              <w:rPr>
                <w:noProof/>
              </w:rPr>
              <w:tab/>
            </w:r>
            <w:r w:rsidRPr="0012063E">
              <w:rPr>
                <w:rStyle w:val="Hyperlink"/>
                <w:noProof/>
              </w:rPr>
              <w:t>Forecast</w:t>
            </w:r>
            <w:r>
              <w:rPr>
                <w:noProof/>
                <w:webHidden/>
              </w:rPr>
              <w:tab/>
            </w:r>
            <w:r>
              <w:rPr>
                <w:noProof/>
                <w:webHidden/>
              </w:rPr>
              <w:fldChar w:fldCharType="begin"/>
            </w:r>
            <w:r>
              <w:rPr>
                <w:noProof/>
                <w:webHidden/>
              </w:rPr>
              <w:instrText xml:space="preserve"> PAGEREF _Toc142256151 \h </w:instrText>
            </w:r>
            <w:r>
              <w:rPr>
                <w:noProof/>
                <w:webHidden/>
              </w:rPr>
            </w:r>
            <w:r>
              <w:rPr>
                <w:noProof/>
                <w:webHidden/>
              </w:rPr>
              <w:fldChar w:fldCharType="separate"/>
            </w:r>
            <w:r>
              <w:rPr>
                <w:noProof/>
                <w:webHidden/>
              </w:rPr>
              <w:t>11</w:t>
            </w:r>
            <w:r>
              <w:rPr>
                <w:noProof/>
                <w:webHidden/>
              </w:rPr>
              <w:fldChar w:fldCharType="end"/>
            </w:r>
          </w:hyperlink>
        </w:p>
        <w:p w14:paraId="188D9E38" w14:textId="04C8A086" w:rsidR="007F5797" w:rsidRDefault="007F5797">
          <w:pPr>
            <w:pStyle w:val="TOC1"/>
            <w:tabs>
              <w:tab w:val="left" w:pos="440"/>
              <w:tab w:val="right" w:leader="dot" w:pos="9350"/>
            </w:tabs>
            <w:rPr>
              <w:noProof/>
            </w:rPr>
          </w:pPr>
          <w:hyperlink w:anchor="_Toc142256152" w:history="1">
            <w:r w:rsidRPr="0012063E">
              <w:rPr>
                <w:rStyle w:val="Hyperlink"/>
                <w:noProof/>
              </w:rPr>
              <w:t>4.</w:t>
            </w:r>
            <w:r>
              <w:rPr>
                <w:noProof/>
              </w:rPr>
              <w:tab/>
            </w:r>
            <w:r w:rsidRPr="0012063E">
              <w:rPr>
                <w:rStyle w:val="Hyperlink"/>
                <w:noProof/>
              </w:rPr>
              <w:t>Sentiment analysis</w:t>
            </w:r>
            <w:r>
              <w:rPr>
                <w:noProof/>
                <w:webHidden/>
              </w:rPr>
              <w:tab/>
            </w:r>
            <w:r>
              <w:rPr>
                <w:noProof/>
                <w:webHidden/>
              </w:rPr>
              <w:fldChar w:fldCharType="begin"/>
            </w:r>
            <w:r>
              <w:rPr>
                <w:noProof/>
                <w:webHidden/>
              </w:rPr>
              <w:instrText xml:space="preserve"> PAGEREF _Toc142256152 \h </w:instrText>
            </w:r>
            <w:r>
              <w:rPr>
                <w:noProof/>
                <w:webHidden/>
              </w:rPr>
            </w:r>
            <w:r>
              <w:rPr>
                <w:noProof/>
                <w:webHidden/>
              </w:rPr>
              <w:fldChar w:fldCharType="separate"/>
            </w:r>
            <w:r>
              <w:rPr>
                <w:noProof/>
                <w:webHidden/>
              </w:rPr>
              <w:t>12</w:t>
            </w:r>
            <w:r>
              <w:rPr>
                <w:noProof/>
                <w:webHidden/>
              </w:rPr>
              <w:fldChar w:fldCharType="end"/>
            </w:r>
          </w:hyperlink>
        </w:p>
        <w:p w14:paraId="0BFB8551" w14:textId="3BBAF813" w:rsidR="007F5797" w:rsidRDefault="007F5797">
          <w:pPr>
            <w:pStyle w:val="TOC1"/>
            <w:tabs>
              <w:tab w:val="left" w:pos="440"/>
              <w:tab w:val="right" w:leader="dot" w:pos="9350"/>
            </w:tabs>
            <w:rPr>
              <w:noProof/>
            </w:rPr>
          </w:pPr>
          <w:hyperlink w:anchor="_Toc142256153" w:history="1">
            <w:r w:rsidRPr="0012063E">
              <w:rPr>
                <w:rStyle w:val="Hyperlink"/>
                <w:noProof/>
              </w:rPr>
              <w:t>5.</w:t>
            </w:r>
            <w:r>
              <w:rPr>
                <w:noProof/>
              </w:rPr>
              <w:tab/>
            </w:r>
            <w:r w:rsidRPr="0012063E">
              <w:rPr>
                <w:rStyle w:val="Hyperlink"/>
                <w:noProof/>
              </w:rPr>
              <w:t>References</w:t>
            </w:r>
            <w:r>
              <w:rPr>
                <w:noProof/>
                <w:webHidden/>
              </w:rPr>
              <w:tab/>
            </w:r>
            <w:r>
              <w:rPr>
                <w:noProof/>
                <w:webHidden/>
              </w:rPr>
              <w:fldChar w:fldCharType="begin"/>
            </w:r>
            <w:r>
              <w:rPr>
                <w:noProof/>
                <w:webHidden/>
              </w:rPr>
              <w:instrText xml:space="preserve"> PAGEREF _Toc142256153 \h </w:instrText>
            </w:r>
            <w:r>
              <w:rPr>
                <w:noProof/>
                <w:webHidden/>
              </w:rPr>
            </w:r>
            <w:r>
              <w:rPr>
                <w:noProof/>
                <w:webHidden/>
              </w:rPr>
              <w:fldChar w:fldCharType="separate"/>
            </w:r>
            <w:r>
              <w:rPr>
                <w:noProof/>
                <w:webHidden/>
              </w:rPr>
              <w:t>12</w:t>
            </w:r>
            <w:r>
              <w:rPr>
                <w:noProof/>
                <w:webHidden/>
              </w:rPr>
              <w:fldChar w:fldCharType="end"/>
            </w:r>
          </w:hyperlink>
        </w:p>
        <w:p w14:paraId="4B362607" w14:textId="107F0BFF" w:rsidR="007F5797" w:rsidRDefault="007F5797">
          <w:pPr>
            <w:pStyle w:val="TOC1"/>
            <w:tabs>
              <w:tab w:val="right" w:leader="dot" w:pos="9350"/>
            </w:tabs>
            <w:rPr>
              <w:noProof/>
            </w:rPr>
          </w:pPr>
          <w:hyperlink w:anchor="_Toc142256154" w:history="1">
            <w:r w:rsidRPr="0012063E">
              <w:rPr>
                <w:rStyle w:val="Hyperlink"/>
                <w:noProof/>
              </w:rPr>
              <w:t>Appendix</w:t>
            </w:r>
            <w:r>
              <w:rPr>
                <w:noProof/>
                <w:webHidden/>
              </w:rPr>
              <w:tab/>
            </w:r>
            <w:r>
              <w:rPr>
                <w:noProof/>
                <w:webHidden/>
              </w:rPr>
              <w:fldChar w:fldCharType="begin"/>
            </w:r>
            <w:r>
              <w:rPr>
                <w:noProof/>
                <w:webHidden/>
              </w:rPr>
              <w:instrText xml:space="preserve"> PAGEREF _Toc142256154 \h </w:instrText>
            </w:r>
            <w:r>
              <w:rPr>
                <w:noProof/>
                <w:webHidden/>
              </w:rPr>
            </w:r>
            <w:r>
              <w:rPr>
                <w:noProof/>
                <w:webHidden/>
              </w:rPr>
              <w:fldChar w:fldCharType="separate"/>
            </w:r>
            <w:r>
              <w:rPr>
                <w:noProof/>
                <w:webHidden/>
              </w:rPr>
              <w:t>13</w:t>
            </w:r>
            <w:r>
              <w:rPr>
                <w:noProof/>
                <w:webHidden/>
              </w:rPr>
              <w:fldChar w:fldCharType="end"/>
            </w:r>
          </w:hyperlink>
        </w:p>
        <w:p w14:paraId="0B4C98D4" w14:textId="775DBDD2" w:rsidR="00AA77F1" w:rsidRDefault="00AA77F1">
          <w:r>
            <w:rPr>
              <w:b/>
              <w:bCs/>
              <w:noProof/>
            </w:rPr>
            <w:fldChar w:fldCharType="end"/>
          </w:r>
        </w:p>
      </w:sdtContent>
    </w:sdt>
    <w:p w14:paraId="40268B7C" w14:textId="590DBE32" w:rsidR="00173628" w:rsidRDefault="00173628" w:rsidP="00173628">
      <w:pPr>
        <w:rPr>
          <w:rStyle w:val="Hyperlink"/>
        </w:rPr>
      </w:pPr>
    </w:p>
    <w:p w14:paraId="4D02CB9C" w14:textId="77777777" w:rsidR="007F5797" w:rsidRDefault="007F5797" w:rsidP="00173628">
      <w:pPr>
        <w:rPr>
          <w:rStyle w:val="Hyperlink"/>
        </w:rPr>
      </w:pPr>
    </w:p>
    <w:p w14:paraId="568B0A84" w14:textId="77777777" w:rsidR="007F5797" w:rsidRDefault="007F5797" w:rsidP="00173628">
      <w:pPr>
        <w:rPr>
          <w:rStyle w:val="Hyperlink"/>
        </w:rPr>
      </w:pPr>
    </w:p>
    <w:p w14:paraId="5D244B37" w14:textId="34FCC687" w:rsidR="002471C4" w:rsidRDefault="004B1109" w:rsidP="00826EAE">
      <w:pPr>
        <w:pStyle w:val="Heading1"/>
        <w:numPr>
          <w:ilvl w:val="0"/>
          <w:numId w:val="2"/>
        </w:numPr>
      </w:pPr>
      <w:bookmarkStart w:id="0" w:name="_Toc142256148"/>
      <w:r>
        <w:t>Introduction</w:t>
      </w:r>
      <w:bookmarkEnd w:id="0"/>
    </w:p>
    <w:p w14:paraId="44501270" w14:textId="44BEFF65" w:rsidR="002F3FCB" w:rsidRDefault="002471C4" w:rsidP="004B1109">
      <w:r>
        <w:t xml:space="preserve">The </w:t>
      </w:r>
      <w:r w:rsidR="00173628">
        <w:t xml:space="preserve">source </w:t>
      </w:r>
      <w:r>
        <w:t xml:space="preserve">data from Ireland </w:t>
      </w:r>
      <w:r w:rsidR="004B12B1">
        <w:t>(</w:t>
      </w:r>
      <w:r w:rsidR="004B12B1">
        <w:rPr>
          <w:i/>
          <w:iCs/>
        </w:rPr>
        <w:t>EHQ10 - Public Sector Employment and earnings</w:t>
      </w:r>
      <w:r w:rsidR="004B12B1">
        <w:t xml:space="preserve"> 2023) </w:t>
      </w:r>
      <w:r w:rsidR="00424C01">
        <w:t>is l</w:t>
      </w:r>
      <w:r w:rsidR="00424C01" w:rsidRPr="00424C01">
        <w:t>icensed under</w:t>
      </w:r>
      <w:r w:rsidR="00424C01">
        <w:t xml:space="preserve"> </w:t>
      </w:r>
      <w:r w:rsidR="00424C01" w:rsidRPr="00424C01">
        <w:t>Creative Commons Attribution 4.0</w:t>
      </w:r>
      <w:r w:rsidR="00E742FE">
        <w:t xml:space="preserve">. </w:t>
      </w:r>
      <w:r w:rsidR="004B1109">
        <w:t>The data from Spain was taken from the National Institute of Statistics</w:t>
      </w:r>
      <w:r w:rsidR="00E931D8">
        <w:t xml:space="preserve"> following the instructions of </w:t>
      </w:r>
      <w:r w:rsidR="007347CA">
        <w:t>the section “</w:t>
      </w:r>
      <w:r w:rsidR="007347CA" w:rsidRPr="007347CA">
        <w:t>Re-use of the information contained on this website</w:t>
      </w:r>
      <w:r w:rsidR="007347CA">
        <w:t>” from the legal notice of their website</w:t>
      </w:r>
      <w:r w:rsidR="004D56F1">
        <w:t xml:space="preserve"> </w:t>
      </w:r>
      <w:r w:rsidR="009B0191">
        <w:t>(INE, no date)</w:t>
      </w:r>
      <w:r w:rsidR="006038A6">
        <w:t xml:space="preserve">. </w:t>
      </w:r>
      <w:r w:rsidR="00F70EBA">
        <w:t>And according to t</w:t>
      </w:r>
      <w:r w:rsidR="0015439B">
        <w:t>hat notice</w:t>
      </w:r>
      <w:r w:rsidR="006038A6">
        <w:t xml:space="preserve"> this </w:t>
      </w:r>
      <w:r w:rsidR="00837371">
        <w:t>document is referenced as “</w:t>
      </w:r>
      <w:r w:rsidR="00837371" w:rsidRPr="00837371">
        <w:t xml:space="preserve">Own compilation with data taken from the INE website: </w:t>
      </w:r>
      <w:hyperlink r:id="rId8" w:history="1">
        <w:r w:rsidR="00837371" w:rsidRPr="00F70F98">
          <w:rPr>
            <w:rStyle w:val="Hyperlink"/>
          </w:rPr>
          <w:t>www.ine.es</w:t>
        </w:r>
      </w:hyperlink>
      <w:r w:rsidR="00837371">
        <w:t>”</w:t>
      </w:r>
      <w:r w:rsidR="0015439B">
        <w:t xml:space="preserve">, being </w:t>
      </w:r>
      <w:r w:rsidR="00BA20BD">
        <w:t xml:space="preserve">the source data updated up to the first </w:t>
      </w:r>
      <w:r w:rsidR="002E700B">
        <w:t>quarter</w:t>
      </w:r>
      <w:r w:rsidR="00BA20BD">
        <w:t xml:space="preserve"> of </w:t>
      </w:r>
      <w:r w:rsidR="00BA20BD" w:rsidRPr="00BA20BD">
        <w:t>2023</w:t>
      </w:r>
      <w:r w:rsidR="00BA20BD">
        <w:t>.</w:t>
      </w:r>
      <w:r w:rsidR="00BB781D">
        <w:t xml:space="preserve"> </w:t>
      </w:r>
      <w:proofErr w:type="gramStart"/>
      <w:r w:rsidR="00BB781D">
        <w:t>Finally</w:t>
      </w:r>
      <w:proofErr w:type="gramEnd"/>
      <w:r w:rsidR="00BB781D">
        <w:t xml:space="preserve"> the data from the United Kingdom</w:t>
      </w:r>
      <w:r w:rsidR="00164646">
        <w:t xml:space="preserve"> (ONS 2023)</w:t>
      </w:r>
      <w:r w:rsidR="00527460">
        <w:t xml:space="preserve"> </w:t>
      </w:r>
      <w:r w:rsidR="00527460" w:rsidRPr="00527460">
        <w:t xml:space="preserve">is published under the Open Government </w:t>
      </w:r>
      <w:r w:rsidR="00540817" w:rsidRPr="00527460">
        <w:t>License</w:t>
      </w:r>
      <w:r w:rsidR="00527460" w:rsidRPr="00527460">
        <w:t xml:space="preserve"> (OGL)</w:t>
      </w:r>
      <w:r w:rsidR="00067C61">
        <w:t>.</w:t>
      </w:r>
    </w:p>
    <w:p w14:paraId="5FE40E01" w14:textId="6F2EC676" w:rsidR="009446C5" w:rsidRDefault="00BB781D" w:rsidP="004B1109">
      <w:r>
        <w:t xml:space="preserve"> </w:t>
      </w:r>
      <w:r w:rsidR="00781069" w:rsidRPr="00781069">
        <w:t xml:space="preserve">The </w:t>
      </w:r>
      <w:r w:rsidR="00781069">
        <w:t>data mining methodolog</w:t>
      </w:r>
      <w:r w:rsidR="00BA3297">
        <w:t>y</w:t>
      </w:r>
      <w:r w:rsidR="00781069">
        <w:t xml:space="preserve"> </w:t>
      </w:r>
      <w:r w:rsidR="0064284C">
        <w:t>chosen for this project is</w:t>
      </w:r>
      <w:r w:rsidR="00781069" w:rsidRPr="00781069">
        <w:t xml:space="preserve"> CRISP-DM</w:t>
      </w:r>
      <w:r w:rsidR="00BA3297">
        <w:t xml:space="preserve">, the main reason is because it includes business </w:t>
      </w:r>
      <w:r w:rsidR="0055686D">
        <w:t xml:space="preserve">understanding stage </w:t>
      </w:r>
      <w:r w:rsidR="002D4F49">
        <w:t xml:space="preserve">which is necessary to </w:t>
      </w:r>
      <w:r w:rsidR="00793E46">
        <w:t>clarify the expectations from the organization</w:t>
      </w:r>
      <w:r w:rsidR="00CB5A56">
        <w:t xml:space="preserve"> (</w:t>
      </w:r>
      <w:r w:rsidR="00A85740">
        <w:t>IBM 2016</w:t>
      </w:r>
      <w:r w:rsidR="00CB5A56">
        <w:t>)</w:t>
      </w:r>
      <w:r w:rsidR="00D404AB">
        <w:t xml:space="preserve">, </w:t>
      </w:r>
      <w:r w:rsidR="00FA7283">
        <w:t>a</w:t>
      </w:r>
      <w:r w:rsidR="00D404AB">
        <w:t xml:space="preserve"> state</w:t>
      </w:r>
      <w:r w:rsidR="00FA7283">
        <w:t xml:space="preserve"> in this case</w:t>
      </w:r>
      <w:r w:rsidR="00D404AB">
        <w:t xml:space="preserve">, </w:t>
      </w:r>
      <w:r w:rsidR="00FA7283">
        <w:t xml:space="preserve">and states </w:t>
      </w:r>
      <w:r w:rsidR="00D404AB">
        <w:t>al</w:t>
      </w:r>
      <w:r w:rsidR="00A37DB5">
        <w:t xml:space="preserve">so </w:t>
      </w:r>
      <w:r w:rsidR="00A24E26">
        <w:t xml:space="preserve">are </w:t>
      </w:r>
      <w:r w:rsidR="00A37DB5">
        <w:t>business</w:t>
      </w:r>
      <w:r w:rsidR="001A4C33">
        <w:t>es</w:t>
      </w:r>
      <w:r w:rsidR="00A37DB5">
        <w:t xml:space="preserve">, just like a big </w:t>
      </w:r>
      <w:r w:rsidR="00B6037E">
        <w:t xml:space="preserve">corporation </w:t>
      </w:r>
      <w:r w:rsidR="00A24E26">
        <w:t>with the same needs.</w:t>
      </w:r>
      <w:r w:rsidR="00062E10">
        <w:t xml:space="preserve"> This step </w:t>
      </w:r>
      <w:r w:rsidR="00E807C6">
        <w:t xml:space="preserve">really helps this project to point to a </w:t>
      </w:r>
      <w:r w:rsidR="006B1FC7">
        <w:t xml:space="preserve">successful </w:t>
      </w:r>
      <w:r w:rsidR="00E807C6">
        <w:t>direction.</w:t>
      </w:r>
    </w:p>
    <w:p w14:paraId="45C2E89A" w14:textId="33B24DAD" w:rsidR="004B1109" w:rsidRDefault="009446C5" w:rsidP="004B1109">
      <w:r>
        <w:t>It also includes the implementation stage which</w:t>
      </w:r>
      <w:r w:rsidR="00C110C9">
        <w:t xml:space="preserve"> focuses in taking advantage of </w:t>
      </w:r>
      <w:r w:rsidR="00500426">
        <w:t xml:space="preserve">what achieved </w:t>
      </w:r>
      <w:r w:rsidR="00404A05">
        <w:t xml:space="preserve">through the previous work. At least from the </w:t>
      </w:r>
      <w:r w:rsidR="000D49D0">
        <w:t>design</w:t>
      </w:r>
      <w:r w:rsidR="00404A05">
        <w:t xml:space="preserve"> point of view</w:t>
      </w:r>
      <w:r w:rsidR="000D49D0">
        <w:t>,</w:t>
      </w:r>
      <w:r w:rsidR="00404A05">
        <w:t xml:space="preserve"> this methodology is the most complete</w:t>
      </w:r>
      <w:r w:rsidR="00E807C6">
        <w:t xml:space="preserve"> </w:t>
      </w:r>
    </w:p>
    <w:p w14:paraId="5E400EAB" w14:textId="194F2610" w:rsidR="005D698A" w:rsidRDefault="002739EC" w:rsidP="002739EC">
      <w:pPr>
        <w:pStyle w:val="Heading1"/>
        <w:numPr>
          <w:ilvl w:val="0"/>
          <w:numId w:val="2"/>
        </w:numPr>
      </w:pPr>
      <w:bookmarkStart w:id="1" w:name="_Toc142256149"/>
      <w:r>
        <w:t>EDA</w:t>
      </w:r>
      <w:bookmarkEnd w:id="1"/>
    </w:p>
    <w:p w14:paraId="4D0A93CB" w14:textId="3996F5D5" w:rsidR="00970591" w:rsidRDefault="00671078" w:rsidP="004B1109">
      <w:r>
        <w:t xml:space="preserve">The charts </w:t>
      </w:r>
      <w:r w:rsidR="003D788F">
        <w:t>of time series</w:t>
      </w:r>
      <w:r w:rsidR="00970591">
        <w:t xml:space="preserve"> between </w:t>
      </w:r>
      <w:r w:rsidR="00E47870">
        <w:t>2008 and 2023</w:t>
      </w:r>
      <w:r w:rsidR="003D788F">
        <w:t xml:space="preserve"> from total public employment in Ireland shows </w:t>
      </w:r>
      <w:r w:rsidR="00970591">
        <w:t>two facts essentially:</w:t>
      </w:r>
    </w:p>
    <w:p w14:paraId="6E5D63C4" w14:textId="3BB4FF6E" w:rsidR="00970591" w:rsidRDefault="00E47870" w:rsidP="00970591">
      <w:pPr>
        <w:pStyle w:val="ListParagraph"/>
        <w:numPr>
          <w:ilvl w:val="0"/>
          <w:numId w:val="1"/>
        </w:numPr>
      </w:pPr>
      <w:r>
        <w:t>The trend changed from decre</w:t>
      </w:r>
      <w:r w:rsidR="0084014D">
        <w:t>asing to increasing</w:t>
      </w:r>
      <w:r w:rsidR="00065DE5">
        <w:t xml:space="preserve"> </w:t>
      </w:r>
      <w:r w:rsidR="00BE40C8">
        <w:t>since</w:t>
      </w:r>
      <w:r w:rsidR="00065DE5">
        <w:t xml:space="preserve"> the third quarter of 2014</w:t>
      </w:r>
    </w:p>
    <w:p w14:paraId="375D6EB0" w14:textId="4113DFEA" w:rsidR="007E0C23" w:rsidRDefault="008B78B0" w:rsidP="00481C64">
      <w:pPr>
        <w:pStyle w:val="ListParagraph"/>
        <w:numPr>
          <w:ilvl w:val="0"/>
          <w:numId w:val="1"/>
        </w:numPr>
      </w:pPr>
      <w:r>
        <w:t xml:space="preserve">The semi </w:t>
      </w:r>
      <w:r w:rsidR="00A01DFE">
        <w:t>state bodies are a significant part of the total public employment, which plot would same a similar shape than the</w:t>
      </w:r>
      <w:r w:rsidR="003E484D">
        <w:t xml:space="preserve"> corresponding ones below</w:t>
      </w:r>
      <w:r w:rsidR="00122163">
        <w:t xml:space="preserve">, given </w:t>
      </w:r>
      <w:r w:rsidR="00A74E29">
        <w:t xml:space="preserve">these two also have </w:t>
      </w:r>
      <w:r w:rsidR="009C199E">
        <w:t>very similar spikes.</w:t>
      </w:r>
    </w:p>
    <w:p w14:paraId="4C471B6F" w14:textId="0EFD92C8" w:rsidR="007E0C23" w:rsidRDefault="007E0C23" w:rsidP="004B1109">
      <w:r w:rsidRPr="007E0C23">
        <w:rPr>
          <w:noProof/>
        </w:rPr>
        <w:lastRenderedPageBreak/>
        <w:drawing>
          <wp:inline distT="0" distB="0" distL="0" distR="0" wp14:anchorId="30F4BCBA" wp14:editId="59EEB6ED">
            <wp:extent cx="5943600" cy="35350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35045"/>
                    </a:xfrm>
                    <a:prstGeom prst="rect">
                      <a:avLst/>
                    </a:prstGeom>
                  </pic:spPr>
                </pic:pic>
              </a:graphicData>
            </a:graphic>
          </wp:inline>
        </w:drawing>
      </w:r>
    </w:p>
    <w:p w14:paraId="7CEFEC58" w14:textId="6ADE7248" w:rsidR="0041302F" w:rsidRDefault="00D83424" w:rsidP="004B1109">
      <w:r>
        <w:t>Regarding semi-state companies</w:t>
      </w:r>
      <w:r w:rsidR="00A61188">
        <w:t>,</w:t>
      </w:r>
      <w:r w:rsidR="00382525">
        <w:t xml:space="preserve"> these are mainly represented by commercial ones</w:t>
      </w:r>
      <w:r w:rsidR="00284522">
        <w:t xml:space="preserve"> with </w:t>
      </w:r>
      <w:r w:rsidR="00BD0489">
        <w:t>3- or 4 more-times</w:t>
      </w:r>
      <w:r w:rsidR="00004D59">
        <w:t xml:space="preserve"> employment</w:t>
      </w:r>
      <w:r w:rsidR="00BD0489">
        <w:t xml:space="preserve">, with decreasing figures until </w:t>
      </w:r>
      <w:r w:rsidR="003A3DCE">
        <w:t xml:space="preserve">2015, where after a slight increase </w:t>
      </w:r>
      <w:r w:rsidR="000720B8">
        <w:t xml:space="preserve">the third quarter of 2015, it remains more stable until </w:t>
      </w:r>
      <w:r w:rsidR="00F2362E">
        <w:t xml:space="preserve">2022, where </w:t>
      </w:r>
      <w:r w:rsidR="0041302F">
        <w:t xml:space="preserve">another </w:t>
      </w:r>
      <w:r w:rsidR="00F2362E">
        <w:t xml:space="preserve">positive </w:t>
      </w:r>
      <w:r w:rsidR="0041302F">
        <w:t>spell is obvious.</w:t>
      </w:r>
    </w:p>
    <w:p w14:paraId="2B5E813D" w14:textId="66ED4D63" w:rsidR="0041302F" w:rsidRPr="002471C4" w:rsidRDefault="00D804F2" w:rsidP="004B1109">
      <w:r>
        <w:t xml:space="preserve">Similarly, the non-commercial ones </w:t>
      </w:r>
      <w:r w:rsidR="00056580">
        <w:t>were slightly decreasing until 2014</w:t>
      </w:r>
      <w:r w:rsidR="00A84CB1">
        <w:t xml:space="preserve"> </w:t>
      </w:r>
      <w:r w:rsidR="00056580">
        <w:t xml:space="preserve">but the </w:t>
      </w:r>
      <w:r w:rsidR="002A25B2">
        <w:t xml:space="preserve">first quarter of this </w:t>
      </w:r>
      <w:r w:rsidR="00056580">
        <w:t>year</w:t>
      </w:r>
      <w:r w:rsidR="00A84CB1">
        <w:t xml:space="preserve"> and year 2022,</w:t>
      </w:r>
      <w:r w:rsidR="00056580">
        <w:t xml:space="preserve"> </w:t>
      </w:r>
      <w:r w:rsidR="002A25B2">
        <w:t xml:space="preserve">there </w:t>
      </w:r>
      <w:r w:rsidR="00A84CB1">
        <w:t xml:space="preserve">were </w:t>
      </w:r>
      <w:r w:rsidR="00C363AB">
        <w:t xml:space="preserve">positive </w:t>
      </w:r>
      <w:r w:rsidR="00A84CB1">
        <w:t xml:space="preserve">spikes </w:t>
      </w:r>
      <w:r w:rsidR="002A25B2">
        <w:t>in employment</w:t>
      </w:r>
      <w:r w:rsidR="00C363AB">
        <w:t>.</w:t>
      </w:r>
    </w:p>
    <w:p w14:paraId="6E99B5CF" w14:textId="72A2FF45" w:rsidR="005D698A" w:rsidRDefault="009239F1" w:rsidP="004B1109">
      <w:r w:rsidRPr="009239F1">
        <w:rPr>
          <w:noProof/>
        </w:rPr>
        <w:lastRenderedPageBreak/>
        <w:drawing>
          <wp:inline distT="0" distB="0" distL="0" distR="0" wp14:anchorId="7227F745" wp14:editId="343A8E5E">
            <wp:extent cx="5943600" cy="3781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81425"/>
                    </a:xfrm>
                    <a:prstGeom prst="rect">
                      <a:avLst/>
                    </a:prstGeom>
                  </pic:spPr>
                </pic:pic>
              </a:graphicData>
            </a:graphic>
          </wp:inline>
        </w:drawing>
      </w:r>
    </w:p>
    <w:p w14:paraId="37800F5F" w14:textId="77777777" w:rsidR="007E0C23" w:rsidRDefault="007E0C23" w:rsidP="007E0C23"/>
    <w:p w14:paraId="5BA085B5" w14:textId="51FE04BF" w:rsidR="007E0C23" w:rsidRDefault="007E0C23" w:rsidP="007E0C23">
      <w:r>
        <w:t xml:space="preserve">In </w:t>
      </w:r>
      <w:proofErr w:type="gramStart"/>
      <w:r>
        <w:t>general</w:t>
      </w:r>
      <w:proofErr w:type="gramEnd"/>
      <w:r>
        <w:t xml:space="preserve"> the public employment by subsectors in Ireland has not seemed to vary meaningfully within the last 15 years. The main character has been the </w:t>
      </w:r>
      <w:r w:rsidR="002C1131">
        <w:t>health</w:t>
      </w:r>
      <w:r>
        <w:t xml:space="preserve"> sector, for being the leading employer (ranging between 120 and 175 thousand of employees) and the group which has increased the most. In fact, between 2008 and 2014 the tendency was negative with a progressive decrement, however after a stable year 2015 the tendency switches to a slight employment increase. And this only changes again in the second quarter of 2020 with COVID pandemic. Anyhow the positive balance keeps growing the following quarter, especially the third quarter of 2022. </w:t>
      </w:r>
    </w:p>
    <w:p w14:paraId="38366186" w14:textId="08F71F6C" w:rsidR="007E0C23" w:rsidRDefault="007E0C23" w:rsidP="007E0C23">
      <w:r>
        <w:t xml:space="preserve">Education is the second most important public employment sub-sector (above 100 and below 125 thousand employees) and it clearly shows a seasonal pattern where it decreases every fourth quarter, corresponding to the summertime (holiday). Finally civil service and </w:t>
      </w:r>
      <w:r w:rsidR="002C1131">
        <w:t>regional</w:t>
      </w:r>
      <w:r>
        <w:t xml:space="preserve"> bodies have </w:t>
      </w:r>
      <w:proofErr w:type="spellStart"/>
      <w:proofErr w:type="gramStart"/>
      <w:r>
        <w:t>have</w:t>
      </w:r>
      <w:proofErr w:type="spellEnd"/>
      <w:proofErr w:type="gramEnd"/>
      <w:r>
        <w:t xml:space="preserve"> similar figures (35-40 thousand) and it is worth mentioning that the civil service had two </w:t>
      </w:r>
      <w:proofErr w:type="spellStart"/>
      <w:r>
        <w:t>two</w:t>
      </w:r>
      <w:proofErr w:type="spellEnd"/>
      <w:r>
        <w:t xml:space="preserve"> two-quarters increments at the beginning of 2011 and 2016. Perhaps the first increment was related to the </w:t>
      </w:r>
      <w:r w:rsidRPr="00910FF2">
        <w:t>Public Service Reform Plan</w:t>
      </w:r>
      <w:r>
        <w:t xml:space="preserve"> which took place that year.</w:t>
      </w:r>
    </w:p>
    <w:p w14:paraId="19481352" w14:textId="77777777" w:rsidR="007E0C23" w:rsidRDefault="007E0C23" w:rsidP="007E0C23">
      <w:proofErr w:type="gramStart"/>
      <w:r>
        <w:t>Finally</w:t>
      </w:r>
      <w:proofErr w:type="gramEnd"/>
      <w:r>
        <w:t xml:space="preserve"> Garda Siochana and Defense have the smallest contribution to public employment (11-13 thousand) showing the most stable figures (flattest plots).</w:t>
      </w:r>
    </w:p>
    <w:p w14:paraId="5EF623BE" w14:textId="77777777" w:rsidR="0052470D" w:rsidRDefault="0052470D" w:rsidP="007E0C23"/>
    <w:p w14:paraId="00CB4592" w14:textId="77777777" w:rsidR="0052470D" w:rsidRDefault="0052470D" w:rsidP="007E0C23"/>
    <w:p w14:paraId="7D19E8C2" w14:textId="23C612C8" w:rsidR="007E0C23" w:rsidRDefault="0028172F" w:rsidP="007E0C23">
      <w:r w:rsidRPr="0028172F">
        <w:rPr>
          <w:noProof/>
        </w:rPr>
        <w:lastRenderedPageBreak/>
        <w:drawing>
          <wp:inline distT="0" distB="0" distL="0" distR="0" wp14:anchorId="0F7DA935" wp14:editId="47F33338">
            <wp:extent cx="5943600" cy="3678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78555"/>
                    </a:xfrm>
                    <a:prstGeom prst="rect">
                      <a:avLst/>
                    </a:prstGeom>
                  </pic:spPr>
                </pic:pic>
              </a:graphicData>
            </a:graphic>
          </wp:inline>
        </w:drawing>
      </w:r>
    </w:p>
    <w:p w14:paraId="5C8F9835" w14:textId="1AE7B9CA" w:rsidR="003A7120" w:rsidRDefault="006C2846" w:rsidP="007E0C23">
      <w:r>
        <w:t>The quarterly distribution by sub-sectors is as follows:</w:t>
      </w:r>
      <w:r w:rsidR="003B6476">
        <w:t xml:space="preserve"> </w:t>
      </w:r>
      <w:r w:rsidR="0087748B">
        <w:t xml:space="preserve">in Civil Service </w:t>
      </w:r>
      <w:r w:rsidR="00BA5CA4">
        <w:t xml:space="preserve">a lot of the data gather around the mean, and </w:t>
      </w:r>
      <w:r w:rsidR="0087748B">
        <w:t>the 3r quarter</w:t>
      </w:r>
      <w:r w:rsidR="004F0941">
        <w:t xml:space="preserve"> stands out for </w:t>
      </w:r>
      <w:r w:rsidR="00F744B4">
        <w:t>having many</w:t>
      </w:r>
      <w:r w:rsidR="003A38B2">
        <w:t xml:space="preserve"> </w:t>
      </w:r>
      <w:r w:rsidR="00F416B5">
        <w:t>obser</w:t>
      </w:r>
      <w:r w:rsidR="00490A15">
        <w:t xml:space="preserve">vations </w:t>
      </w:r>
      <w:r w:rsidR="00D45EF2">
        <w:t>between</w:t>
      </w:r>
      <w:r w:rsidR="00490A15">
        <w:t xml:space="preserve"> the </w:t>
      </w:r>
      <w:r w:rsidR="00D45EF2">
        <w:t xml:space="preserve">second and </w:t>
      </w:r>
      <w:r w:rsidR="00490A15">
        <w:t>third quartile</w:t>
      </w:r>
      <w:r w:rsidR="00D45EF2">
        <w:t>:</w:t>
      </w:r>
    </w:p>
    <w:p w14:paraId="5C4EDF7D" w14:textId="526B341E" w:rsidR="006C2846" w:rsidRDefault="006F5AB6" w:rsidP="007E0C23">
      <w:r w:rsidRPr="006F5AB6">
        <w:rPr>
          <w:noProof/>
        </w:rPr>
        <w:drawing>
          <wp:inline distT="0" distB="0" distL="0" distR="0" wp14:anchorId="4C67EC61" wp14:editId="415F09AA">
            <wp:extent cx="5943600" cy="293116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31160"/>
                    </a:xfrm>
                    <a:prstGeom prst="rect">
                      <a:avLst/>
                    </a:prstGeom>
                  </pic:spPr>
                </pic:pic>
              </a:graphicData>
            </a:graphic>
          </wp:inline>
        </w:drawing>
      </w:r>
    </w:p>
    <w:p w14:paraId="7AA8BF8A" w14:textId="620930E4" w:rsidR="004D5478" w:rsidRDefault="007D126C" w:rsidP="007E0C23">
      <w:r>
        <w:t xml:space="preserve">Again the evidence that the employment in Education decreases in the </w:t>
      </w:r>
      <w:r w:rsidR="005B0D99">
        <w:t>third quarter (summer</w:t>
      </w:r>
      <w:proofErr w:type="gramStart"/>
      <w:r w:rsidR="005B0D99">
        <w:t>)</w:t>
      </w:r>
      <w:r w:rsidR="009666A3">
        <w:t>.There</w:t>
      </w:r>
      <w:proofErr w:type="gramEnd"/>
      <w:r w:rsidR="009666A3">
        <w:t xml:space="preserve"> is more variability between quarters</w:t>
      </w:r>
      <w:r w:rsidR="005B0D99">
        <w:t>:</w:t>
      </w:r>
    </w:p>
    <w:p w14:paraId="7CBD56AC" w14:textId="701682F0" w:rsidR="00222D29" w:rsidRDefault="004D5478" w:rsidP="007E0C23">
      <w:r w:rsidRPr="004D5478">
        <w:rPr>
          <w:noProof/>
        </w:rPr>
        <w:lastRenderedPageBreak/>
        <w:drawing>
          <wp:inline distT="0" distB="0" distL="0" distR="0" wp14:anchorId="34837AFB" wp14:editId="7867A4E1">
            <wp:extent cx="5943600" cy="2895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95600"/>
                    </a:xfrm>
                    <a:prstGeom prst="rect">
                      <a:avLst/>
                    </a:prstGeom>
                  </pic:spPr>
                </pic:pic>
              </a:graphicData>
            </a:graphic>
          </wp:inline>
        </w:drawing>
      </w:r>
    </w:p>
    <w:p w14:paraId="5C559099" w14:textId="77777777" w:rsidR="00222D29" w:rsidRDefault="00222D29" w:rsidP="007E0C23"/>
    <w:p w14:paraId="1AF5FAA3" w14:textId="14F782AF" w:rsidR="00222D29" w:rsidRDefault="00222D29" w:rsidP="007E0C23">
      <w:r>
        <w:t>Regarding the three remaining sub-sectors</w:t>
      </w:r>
      <w:r w:rsidR="00166FFF">
        <w:t xml:space="preserve"> it seems like the</w:t>
      </w:r>
      <w:r w:rsidR="00A0254F">
        <w:t>y have a similarity, and it is</w:t>
      </w:r>
      <w:r w:rsidR="00764A03">
        <w:t xml:space="preserve"> the fact that there is little variance between the </w:t>
      </w:r>
      <w:r w:rsidR="002656DE">
        <w:t>quarters</w:t>
      </w:r>
      <w:r w:rsidR="005459FF">
        <w:t>, they have a similar distribution within each sub-sector:</w:t>
      </w:r>
    </w:p>
    <w:p w14:paraId="100C6F3E" w14:textId="77777777" w:rsidR="00222D29" w:rsidRDefault="00222D29" w:rsidP="007E0C23"/>
    <w:p w14:paraId="126CF7FE" w14:textId="0A08CA20" w:rsidR="00AB114F" w:rsidRDefault="00D519F7" w:rsidP="007E0C23">
      <w:r w:rsidRPr="00D519F7">
        <w:rPr>
          <w:noProof/>
        </w:rPr>
        <w:drawing>
          <wp:inline distT="0" distB="0" distL="0" distR="0" wp14:anchorId="0E3EDF28" wp14:editId="0225AB56">
            <wp:extent cx="5943600" cy="2928620"/>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28620"/>
                    </a:xfrm>
                    <a:prstGeom prst="rect">
                      <a:avLst/>
                    </a:prstGeom>
                  </pic:spPr>
                </pic:pic>
              </a:graphicData>
            </a:graphic>
          </wp:inline>
        </w:drawing>
      </w:r>
    </w:p>
    <w:p w14:paraId="51429FC5" w14:textId="77777777" w:rsidR="00D519F7" w:rsidRDefault="00D519F7" w:rsidP="007E0C23"/>
    <w:p w14:paraId="1AD67098" w14:textId="42A91912" w:rsidR="00D519F7" w:rsidRDefault="00D519F7" w:rsidP="007E0C23">
      <w:r w:rsidRPr="00D519F7">
        <w:rPr>
          <w:noProof/>
        </w:rPr>
        <w:lastRenderedPageBreak/>
        <w:drawing>
          <wp:inline distT="0" distB="0" distL="0" distR="0" wp14:anchorId="6C339B75" wp14:editId="13AD09A2">
            <wp:extent cx="5943600" cy="2912745"/>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912745"/>
                    </a:xfrm>
                    <a:prstGeom prst="rect">
                      <a:avLst/>
                    </a:prstGeom>
                  </pic:spPr>
                </pic:pic>
              </a:graphicData>
            </a:graphic>
          </wp:inline>
        </w:drawing>
      </w:r>
    </w:p>
    <w:p w14:paraId="50BF9135" w14:textId="70574266" w:rsidR="00B5083C" w:rsidRDefault="00B5083C" w:rsidP="007E0C23"/>
    <w:p w14:paraId="5BEC5384" w14:textId="6281DF56" w:rsidR="00B5083C" w:rsidRDefault="00B47CE4" w:rsidP="007E0C23">
      <w:r w:rsidRPr="00B47CE4">
        <w:rPr>
          <w:noProof/>
        </w:rPr>
        <w:drawing>
          <wp:inline distT="0" distB="0" distL="0" distR="0" wp14:anchorId="2B61BF55" wp14:editId="2242294E">
            <wp:extent cx="5943600" cy="29159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915920"/>
                    </a:xfrm>
                    <a:prstGeom prst="rect">
                      <a:avLst/>
                    </a:prstGeom>
                  </pic:spPr>
                </pic:pic>
              </a:graphicData>
            </a:graphic>
          </wp:inline>
        </w:drawing>
      </w:r>
    </w:p>
    <w:p w14:paraId="66508F1F" w14:textId="77777777" w:rsidR="00AA2305" w:rsidRDefault="00AA2305" w:rsidP="007E0C23"/>
    <w:p w14:paraId="73384325" w14:textId="306767F9" w:rsidR="006C2846" w:rsidRDefault="00FC6295" w:rsidP="007E0C23">
      <w:r w:rsidRPr="00FC6295">
        <w:rPr>
          <w:noProof/>
        </w:rPr>
        <w:lastRenderedPageBreak/>
        <w:drawing>
          <wp:inline distT="0" distB="0" distL="0" distR="0" wp14:anchorId="0A0C9167" wp14:editId="7B80068E">
            <wp:extent cx="5943600" cy="289814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898140"/>
                    </a:xfrm>
                    <a:prstGeom prst="rect">
                      <a:avLst/>
                    </a:prstGeom>
                  </pic:spPr>
                </pic:pic>
              </a:graphicData>
            </a:graphic>
          </wp:inline>
        </w:drawing>
      </w:r>
    </w:p>
    <w:p w14:paraId="2F59A953" w14:textId="77777777" w:rsidR="00CA5DEF" w:rsidRDefault="00CA5DEF" w:rsidP="007E0C23"/>
    <w:p w14:paraId="46605D0C" w14:textId="57D0F1AE" w:rsidR="0052470D" w:rsidRPr="00AA77F1" w:rsidRDefault="007F5797" w:rsidP="00AA77F1">
      <w:pPr>
        <w:pStyle w:val="Heading2"/>
      </w:pPr>
      <w:bookmarkStart w:id="2" w:name="_Toc142256150"/>
      <w:r>
        <w:t xml:space="preserve">2.1 </w:t>
      </w:r>
      <w:r w:rsidR="0052470D" w:rsidRPr="00AA77F1">
        <w:t>Earnings</w:t>
      </w:r>
      <w:bookmarkEnd w:id="2"/>
    </w:p>
    <w:p w14:paraId="25FA13BB" w14:textId="1070550C" w:rsidR="0052470D" w:rsidRPr="0052470D" w:rsidRDefault="00B45EB0" w:rsidP="004B1109">
      <w:r>
        <w:t xml:space="preserve">The public </w:t>
      </w:r>
      <w:r w:rsidR="004157D9">
        <w:t>salaries</w:t>
      </w:r>
      <w:r>
        <w:t xml:space="preserve"> in Ireland</w:t>
      </w:r>
      <w:r w:rsidR="004157D9">
        <w:t xml:space="preserve"> were </w:t>
      </w:r>
      <w:r w:rsidR="0005581B">
        <w:t xml:space="preserve">mainly above 900 euros weekly until 2016, when there is a clear </w:t>
      </w:r>
      <w:r w:rsidR="009D04DF">
        <w:t xml:space="preserve">change in the </w:t>
      </w:r>
      <w:r w:rsidR="009F713F">
        <w:t xml:space="preserve">pattern </w:t>
      </w:r>
      <w:r w:rsidR="00147D30">
        <w:t xml:space="preserve">with a slow and </w:t>
      </w:r>
      <w:r w:rsidR="005A7297">
        <w:t xml:space="preserve">progressive </w:t>
      </w:r>
      <w:r w:rsidR="001F27C1">
        <w:t>increment</w:t>
      </w:r>
      <w:r w:rsidR="005A7297">
        <w:t xml:space="preserve"> starts</w:t>
      </w:r>
      <w:r w:rsidR="00091F13">
        <w:t xml:space="preserve"> </w:t>
      </w:r>
      <w:r w:rsidR="001F27C1">
        <w:t>until</w:t>
      </w:r>
      <w:r w:rsidR="005861E2">
        <w:t xml:space="preserve"> the last observation</w:t>
      </w:r>
      <w:r w:rsidR="000D4BD0">
        <w:t>,</w:t>
      </w:r>
      <w:r w:rsidR="00F60F7A">
        <w:t xml:space="preserve"> which is</w:t>
      </w:r>
      <w:r w:rsidR="000D4BD0">
        <w:t xml:space="preserve"> around</w:t>
      </w:r>
      <w:r w:rsidR="00191CBB">
        <w:t xml:space="preserve"> 1,100 euros per week.</w:t>
      </w:r>
      <w:r w:rsidR="00EC665A">
        <w:t xml:space="preserve"> The semi-state bodies follow a </w:t>
      </w:r>
      <w:proofErr w:type="gramStart"/>
      <w:r w:rsidR="00EC665A">
        <w:t>fairly similar</w:t>
      </w:r>
      <w:proofErr w:type="gramEnd"/>
      <w:r w:rsidR="00EC665A">
        <w:t xml:space="preserve"> pattern and </w:t>
      </w:r>
      <w:r w:rsidR="00CF2491">
        <w:t>did increase the average</w:t>
      </w:r>
      <w:r w:rsidR="002B01AE">
        <w:t xml:space="preserve"> salaries</w:t>
      </w:r>
      <w:r w:rsidR="00CF2491">
        <w:t xml:space="preserve"> between </w:t>
      </w:r>
      <w:r w:rsidR="002929D8">
        <w:t>2011 and 2019.</w:t>
      </w:r>
      <w:r w:rsidR="00EC665A">
        <w:t xml:space="preserve"> </w:t>
      </w:r>
      <w:r w:rsidR="00AA4488">
        <w:t>Before and after these years</w:t>
      </w:r>
      <w:r w:rsidR="00167774">
        <w:t xml:space="preserve"> they did not seem </w:t>
      </w:r>
      <w:r w:rsidR="002B01AE">
        <w:t>to add</w:t>
      </w:r>
      <w:r w:rsidR="00167774">
        <w:t xml:space="preserve"> anything </w:t>
      </w:r>
      <w:r w:rsidR="00C22DA6">
        <w:t>significant to the metric:</w:t>
      </w:r>
    </w:p>
    <w:p w14:paraId="1F608DD2" w14:textId="71C3BD92" w:rsidR="0052470D" w:rsidRDefault="0052470D" w:rsidP="004B1109"/>
    <w:p w14:paraId="7F216EBB" w14:textId="4A35753A" w:rsidR="008913AF" w:rsidRDefault="009038A7" w:rsidP="004B1109">
      <w:r>
        <w:t>As far as semi-state companies are concerned</w:t>
      </w:r>
      <w:r w:rsidR="00A96B50">
        <w:t xml:space="preserve">, </w:t>
      </w:r>
      <w:r w:rsidR="001F43FD">
        <w:t xml:space="preserve">the </w:t>
      </w:r>
      <w:r w:rsidR="00A96B50">
        <w:t xml:space="preserve">non-commercial </w:t>
      </w:r>
      <w:r w:rsidR="001F43FD">
        <w:t>had higher salaries</w:t>
      </w:r>
      <w:r w:rsidR="00A96B50">
        <w:t xml:space="preserve"> </w:t>
      </w:r>
      <w:r w:rsidR="00391D71">
        <w:t>until 2013 but they fell behind</w:t>
      </w:r>
      <w:r w:rsidR="00EA4E00">
        <w:t xml:space="preserve"> the year after</w:t>
      </w:r>
      <w:r w:rsidR="000A30F5">
        <w:t xml:space="preserve"> and </w:t>
      </w:r>
      <w:r w:rsidR="004C3C5E">
        <w:t>from</w:t>
      </w:r>
      <w:r w:rsidR="000A30F5">
        <w:t xml:space="preserve"> 2020</w:t>
      </w:r>
      <w:r w:rsidR="004C3C5E">
        <w:t xml:space="preserve"> onwards </w:t>
      </w:r>
      <w:r w:rsidR="00D8039F">
        <w:t>all three types of semi-state</w:t>
      </w:r>
      <w:r w:rsidR="00C96C39">
        <w:t xml:space="preserve"> companies</w:t>
      </w:r>
      <w:r w:rsidR="004C3C5E">
        <w:t xml:space="preserve"> </w:t>
      </w:r>
      <w:r w:rsidR="008913AF">
        <w:t>showed relatively similar salaries:</w:t>
      </w:r>
    </w:p>
    <w:p w14:paraId="7A9CF2A5" w14:textId="77777777" w:rsidR="002F63FF" w:rsidRDefault="002F63FF" w:rsidP="004B1109"/>
    <w:p w14:paraId="5F01B8CB" w14:textId="7789FE79" w:rsidR="002F63FF" w:rsidRDefault="002F63FF" w:rsidP="004B1109">
      <w:r w:rsidRPr="002F63FF">
        <w:rPr>
          <w:noProof/>
        </w:rPr>
        <w:lastRenderedPageBreak/>
        <w:drawing>
          <wp:inline distT="0" distB="0" distL="0" distR="0" wp14:anchorId="03F45B93" wp14:editId="4C24D162">
            <wp:extent cx="5943600" cy="36976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697605"/>
                    </a:xfrm>
                    <a:prstGeom prst="rect">
                      <a:avLst/>
                    </a:prstGeom>
                  </pic:spPr>
                </pic:pic>
              </a:graphicData>
            </a:graphic>
          </wp:inline>
        </w:drawing>
      </w:r>
    </w:p>
    <w:p w14:paraId="687A5536" w14:textId="3B816E0D" w:rsidR="00B12AEF" w:rsidRDefault="00B12AEF" w:rsidP="004B1109"/>
    <w:p w14:paraId="7A6CA69B" w14:textId="22577CA5" w:rsidR="00DC156D" w:rsidRDefault="00DC156D" w:rsidP="004B1109">
      <w:r w:rsidRPr="00DC156D">
        <w:rPr>
          <w:noProof/>
        </w:rPr>
        <w:drawing>
          <wp:inline distT="0" distB="0" distL="0" distR="0" wp14:anchorId="11558DA7" wp14:editId="1379A1AF">
            <wp:extent cx="5943600" cy="38195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819525"/>
                    </a:xfrm>
                    <a:prstGeom prst="rect">
                      <a:avLst/>
                    </a:prstGeom>
                  </pic:spPr>
                </pic:pic>
              </a:graphicData>
            </a:graphic>
          </wp:inline>
        </w:drawing>
      </w:r>
    </w:p>
    <w:p w14:paraId="784C7D65" w14:textId="513A8809" w:rsidR="00DC156D" w:rsidRDefault="00DC156D" w:rsidP="004B1109">
      <w:r w:rsidRPr="00DC156D">
        <w:rPr>
          <w:noProof/>
        </w:rPr>
        <w:lastRenderedPageBreak/>
        <w:drawing>
          <wp:inline distT="0" distB="0" distL="0" distR="0" wp14:anchorId="4D81B209" wp14:editId="0A4DA3A0">
            <wp:extent cx="5943600" cy="3568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568700"/>
                    </a:xfrm>
                    <a:prstGeom prst="rect">
                      <a:avLst/>
                    </a:prstGeom>
                  </pic:spPr>
                </pic:pic>
              </a:graphicData>
            </a:graphic>
          </wp:inline>
        </w:drawing>
      </w:r>
    </w:p>
    <w:p w14:paraId="15A2A003" w14:textId="1861F046" w:rsidR="00D50643" w:rsidRDefault="009A33A3" w:rsidP="004B1109">
      <w:r>
        <w:t>Regarding sub-sectors</w:t>
      </w:r>
      <w:r w:rsidR="00016DEC">
        <w:t xml:space="preserve"> it is more th</w:t>
      </w:r>
      <w:r w:rsidR="00051F08">
        <w:t xml:space="preserve">an obvious that Garda Siochana </w:t>
      </w:r>
      <w:r w:rsidR="000C30E8">
        <w:t>has always had a salary greater than the other</w:t>
      </w:r>
      <w:r w:rsidR="00302955">
        <w:t xml:space="preserve"> subsectors</w:t>
      </w:r>
      <w:r w:rsidR="003868DF">
        <w:t>, however they all have increased similarly</w:t>
      </w:r>
      <w:r w:rsidR="00DD34CC">
        <w:t xml:space="preserve"> </w:t>
      </w:r>
      <w:r w:rsidR="003868DF">
        <w:t xml:space="preserve">and </w:t>
      </w:r>
      <w:r w:rsidR="00952374">
        <w:t xml:space="preserve">seem to </w:t>
      </w:r>
      <w:r w:rsidR="00DD34CC">
        <w:t xml:space="preserve">follow </w:t>
      </w:r>
      <w:r w:rsidR="00952374">
        <w:t xml:space="preserve">the same approximate </w:t>
      </w:r>
      <w:r w:rsidR="00F36D17">
        <w:t>trend</w:t>
      </w:r>
      <w:r w:rsidR="00C41077">
        <w:t xml:space="preserve"> </w:t>
      </w:r>
      <w:r w:rsidR="005D19DE">
        <w:t>keep</w:t>
      </w:r>
      <w:r w:rsidR="00A848B2">
        <w:t>ing</w:t>
      </w:r>
      <w:r w:rsidR="005D19DE">
        <w:t xml:space="preserve"> their ranges </w:t>
      </w:r>
      <w:r w:rsidR="00A848B2">
        <w:t>within the same boundaries</w:t>
      </w:r>
      <w:r w:rsidR="005D19DE">
        <w:t xml:space="preserve">, </w:t>
      </w:r>
      <w:r w:rsidR="00623F89">
        <w:t>with Education following the Garda, then Health, Civil Service</w:t>
      </w:r>
      <w:r w:rsidR="008C6DED">
        <w:t xml:space="preserve">, Defense and finally the Regional </w:t>
      </w:r>
      <w:r w:rsidR="00AA7A50">
        <w:t>B</w:t>
      </w:r>
      <w:r w:rsidR="008C6DED">
        <w:t>odies</w:t>
      </w:r>
      <w:r w:rsidR="008A706C">
        <w:t xml:space="preserve">. Perhaps Civil Service </w:t>
      </w:r>
      <w:r w:rsidR="00B519C6">
        <w:t xml:space="preserve">has more </w:t>
      </w:r>
      <w:r w:rsidR="00B519C6">
        <w:lastRenderedPageBreak/>
        <w:t>variability around 2010.</w:t>
      </w:r>
      <w:r w:rsidR="00D50643" w:rsidRPr="00D50643">
        <w:rPr>
          <w:noProof/>
        </w:rPr>
        <w:drawing>
          <wp:inline distT="0" distB="0" distL="0" distR="0" wp14:anchorId="089F1A3B" wp14:editId="09DF1E46">
            <wp:extent cx="5943600" cy="36918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691890"/>
                    </a:xfrm>
                    <a:prstGeom prst="rect">
                      <a:avLst/>
                    </a:prstGeom>
                  </pic:spPr>
                </pic:pic>
              </a:graphicData>
            </a:graphic>
          </wp:inline>
        </w:drawing>
      </w:r>
    </w:p>
    <w:p w14:paraId="06233F5E" w14:textId="56357BE0" w:rsidR="008A07DD" w:rsidRDefault="00217A94" w:rsidP="004B1109">
      <w:r>
        <w:t>As far as the U.K. is</w:t>
      </w:r>
      <w:r w:rsidR="000A7EC5">
        <w:t xml:space="preserve"> concerned, the time frame covered in their data is wider but only the</w:t>
      </w:r>
      <w:r w:rsidR="005D0D99">
        <w:t xml:space="preserve"> period matching the Irish one was considered.</w:t>
      </w:r>
      <w:r w:rsidR="00485BB5">
        <w:t xml:space="preserve"> </w:t>
      </w:r>
      <w:r w:rsidR="00F23518">
        <w:t>Related to employment</w:t>
      </w:r>
      <w:r w:rsidR="003F1F64">
        <w:t xml:space="preserve"> the</w:t>
      </w:r>
      <w:r w:rsidR="007A53FF">
        <w:t xml:space="preserve"> focus is on</w:t>
      </w:r>
      <w:r w:rsidR="003F1F64">
        <w:t xml:space="preserve"> </w:t>
      </w:r>
      <w:r w:rsidR="007A53FF">
        <w:t>T</w:t>
      </w:r>
      <w:r w:rsidR="003F1F64">
        <w:t xml:space="preserve">otal </w:t>
      </w:r>
      <w:r w:rsidR="007A53FF">
        <w:t>P</w:t>
      </w:r>
      <w:r w:rsidR="003F1F64">
        <w:t xml:space="preserve">ublic </w:t>
      </w:r>
      <w:r w:rsidR="007A53FF">
        <w:t>S</w:t>
      </w:r>
      <w:r w:rsidR="003F1F64">
        <w:t xml:space="preserve">ector, </w:t>
      </w:r>
      <w:r w:rsidR="007A53FF">
        <w:t>L</w:t>
      </w:r>
      <w:r w:rsidR="00084C57">
        <w:t xml:space="preserve">ocal </w:t>
      </w:r>
      <w:r w:rsidR="007A53FF">
        <w:t>G</w:t>
      </w:r>
      <w:r w:rsidR="00084C57">
        <w:t xml:space="preserve">overnment, </w:t>
      </w:r>
      <w:r w:rsidR="007A53FF">
        <w:t>C</w:t>
      </w:r>
      <w:r w:rsidR="003F1F64">
        <w:t xml:space="preserve">ivil </w:t>
      </w:r>
      <w:r w:rsidR="007A53FF">
        <w:t>S</w:t>
      </w:r>
      <w:r w:rsidR="003F1F64">
        <w:t xml:space="preserve">ervice, HM forces, </w:t>
      </w:r>
      <w:r w:rsidR="007A53FF">
        <w:t>P</w:t>
      </w:r>
      <w:r w:rsidR="003F1F64">
        <w:t>olice</w:t>
      </w:r>
      <w:r w:rsidR="00062A2A">
        <w:t xml:space="preserve">, </w:t>
      </w:r>
      <w:r w:rsidR="007A53FF">
        <w:t>Ed</w:t>
      </w:r>
      <w:r w:rsidR="00062A2A">
        <w:t>ucation and NHS</w:t>
      </w:r>
      <w:r w:rsidR="00482922">
        <w:t xml:space="preserve">. </w:t>
      </w:r>
      <w:r w:rsidR="000A1D95">
        <w:t xml:space="preserve">Since the Irish dataset </w:t>
      </w:r>
      <w:r w:rsidR="00667B6F">
        <w:t>includes both full time and part-time employees</w:t>
      </w:r>
      <w:r w:rsidR="00407306">
        <w:t xml:space="preserve"> (as confirmed with CSO by email), only the </w:t>
      </w:r>
      <w:r w:rsidR="004F031E">
        <w:t xml:space="preserve">HC (headcount) columns from UK were </w:t>
      </w:r>
      <w:proofErr w:type="gramStart"/>
      <w:r w:rsidR="004F031E">
        <w:t>taken into account</w:t>
      </w:r>
      <w:proofErr w:type="gramEnd"/>
      <w:r w:rsidR="004F031E">
        <w:t xml:space="preserve"> as opposed to </w:t>
      </w:r>
      <w:r w:rsidR="00DB63D0">
        <w:t>FTE (full-time equivalent).</w:t>
      </w:r>
    </w:p>
    <w:p w14:paraId="78F05BAF" w14:textId="75B61FB6" w:rsidR="007C1F2A" w:rsidRDefault="008A07DD" w:rsidP="004B1109">
      <w:r>
        <w:t>A</w:t>
      </w:r>
      <w:r w:rsidR="007A53FF">
        <w:t xml:space="preserve">nd </w:t>
      </w:r>
      <w:r w:rsidR="00B26650">
        <w:t xml:space="preserve">about earnings only </w:t>
      </w:r>
      <w:proofErr w:type="gramStart"/>
      <w:r w:rsidR="008A2912">
        <w:t>Public</w:t>
      </w:r>
      <w:proofErr w:type="gramEnd"/>
      <w:r w:rsidR="008A2912">
        <w:t xml:space="preserve"> sector</w:t>
      </w:r>
      <w:r w:rsidR="00401D55">
        <w:t>, Education and Health match</w:t>
      </w:r>
      <w:r w:rsidR="00CC1CCE">
        <w:t xml:space="preserve"> between data sets</w:t>
      </w:r>
      <w:r w:rsidR="00401D55">
        <w:t xml:space="preserve"> and c</w:t>
      </w:r>
      <w:r w:rsidR="007136B3">
        <w:t>ould</w:t>
      </w:r>
      <w:r w:rsidR="00401D55">
        <w:t xml:space="preserve"> be compared</w:t>
      </w:r>
      <w:r w:rsidR="00CC1CCE">
        <w:t xml:space="preserve">, however </w:t>
      </w:r>
      <w:r w:rsidR="003A01C9">
        <w:t xml:space="preserve">the </w:t>
      </w:r>
      <w:r w:rsidR="007136B3" w:rsidRPr="007136B3">
        <w:t xml:space="preserve">data </w:t>
      </w:r>
      <w:r w:rsidR="007136B3">
        <w:t xml:space="preserve">from the UK </w:t>
      </w:r>
      <w:r w:rsidR="00386B58">
        <w:t>Public Se</w:t>
      </w:r>
      <w:r w:rsidR="007136B3" w:rsidRPr="007136B3">
        <w:t xml:space="preserve">ctor covers </w:t>
      </w:r>
      <w:r w:rsidR="003A01C9">
        <w:t xml:space="preserve">a time frame </w:t>
      </w:r>
      <w:r w:rsidR="000B02A2">
        <w:t>different to the Irish one so</w:t>
      </w:r>
      <w:r w:rsidR="00FC01C5">
        <w:t xml:space="preserve"> finally just Education and Health can be compared</w:t>
      </w:r>
      <w:r w:rsidR="00401D55">
        <w:t xml:space="preserve">. </w:t>
      </w:r>
      <w:r w:rsidR="003A2544">
        <w:t>The process of exchange currency was done by converting British pounds to Euros</w:t>
      </w:r>
      <w:r w:rsidR="00727D78">
        <w:t xml:space="preserve">, which was achieved with a function to assign the </w:t>
      </w:r>
      <w:r w:rsidR="000449EA">
        <w:t xml:space="preserve">corresponding </w:t>
      </w:r>
      <w:r w:rsidR="000449EA" w:rsidRPr="000449EA">
        <w:t>average exchange rate</w:t>
      </w:r>
      <w:r w:rsidR="000449EA">
        <w:t xml:space="preserve"> per each of the years</w:t>
      </w:r>
      <w:r w:rsidR="00126A03">
        <w:t xml:space="preserve"> considered</w:t>
      </w:r>
      <w:r w:rsidR="00DA1485">
        <w:t xml:space="preserve"> (rates</w:t>
      </w:r>
      <w:r w:rsidR="00BA3B7A">
        <w:t xml:space="preserve"> taken from </w:t>
      </w:r>
      <w:hyperlink r:id="rId22" w:history="1">
        <w:r w:rsidR="00CC1CCE" w:rsidRPr="009C04B2">
          <w:rPr>
            <w:rStyle w:val="Hyperlink"/>
          </w:rPr>
          <w:t>www.ofx.com</w:t>
        </w:r>
      </w:hyperlink>
      <w:r w:rsidR="00DA1485">
        <w:t>)</w:t>
      </w:r>
      <w:r w:rsidR="00126A03">
        <w:t>.</w:t>
      </w:r>
      <w:r w:rsidR="000449EA">
        <w:t xml:space="preserve"> </w:t>
      </w:r>
    </w:p>
    <w:p w14:paraId="36811DE5" w14:textId="55F0F7B2" w:rsidR="00873BDE" w:rsidRDefault="00873BDE" w:rsidP="004B1109">
      <w:r>
        <w:t>The comparison</w:t>
      </w:r>
      <w:r w:rsidR="008876E2">
        <w:t xml:space="preserve"> </w:t>
      </w:r>
      <w:r w:rsidR="00262B26">
        <w:t xml:space="preserve">of </w:t>
      </w:r>
      <w:r w:rsidR="00262B26">
        <w:t xml:space="preserve">average weekly earnings </w:t>
      </w:r>
      <w:r>
        <w:t xml:space="preserve">between Education </w:t>
      </w:r>
      <w:r w:rsidR="008876E2">
        <w:t xml:space="preserve">and Health employees </w:t>
      </w:r>
      <w:r w:rsidR="00E31BA1">
        <w:t>really stands out</w:t>
      </w:r>
      <w:r w:rsidR="0025383E">
        <w:t>, note the difference</w:t>
      </w:r>
      <w:r w:rsidR="006D7E48">
        <w:t xml:space="preserve"> of the scale between both Y axis</w:t>
      </w:r>
      <w:r w:rsidR="003E409F">
        <w:t>, despite both being in Euros:</w:t>
      </w:r>
    </w:p>
    <w:p w14:paraId="51DD5E33" w14:textId="56DCBFC2" w:rsidR="008876E2" w:rsidRDefault="008876E2" w:rsidP="004B1109">
      <w:r w:rsidRPr="008876E2">
        <w:lastRenderedPageBreak/>
        <w:drawing>
          <wp:inline distT="0" distB="0" distL="0" distR="0" wp14:anchorId="6DB56245" wp14:editId="74933AB8">
            <wp:extent cx="5023338" cy="298126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29491" cy="2984917"/>
                    </a:xfrm>
                    <a:prstGeom prst="rect">
                      <a:avLst/>
                    </a:prstGeom>
                  </pic:spPr>
                </pic:pic>
              </a:graphicData>
            </a:graphic>
          </wp:inline>
        </w:drawing>
      </w:r>
    </w:p>
    <w:p w14:paraId="3D249F87" w14:textId="77777777" w:rsidR="00873BDE" w:rsidRDefault="00873BDE" w:rsidP="004B1109"/>
    <w:p w14:paraId="58531203" w14:textId="5C20A3D4" w:rsidR="008A07DD" w:rsidRDefault="00AB4B8D" w:rsidP="000D0165">
      <w:pPr>
        <w:pStyle w:val="Heading1"/>
        <w:numPr>
          <w:ilvl w:val="0"/>
          <w:numId w:val="2"/>
        </w:numPr>
      </w:pPr>
      <w:bookmarkStart w:id="3" w:name="_Toc142256151"/>
      <w:r>
        <w:t>Forecast</w:t>
      </w:r>
      <w:bookmarkEnd w:id="3"/>
    </w:p>
    <w:p w14:paraId="25AFA228" w14:textId="77777777" w:rsidR="003937BC" w:rsidRPr="003937BC" w:rsidRDefault="003937BC" w:rsidP="003937BC"/>
    <w:p w14:paraId="2886EA3C" w14:textId="4E98EC74" w:rsidR="00EF1E5B" w:rsidRDefault="000D0165" w:rsidP="00EF1E5B">
      <w:r>
        <w:t>Since there is no dependent variable</w:t>
      </w:r>
      <w:r w:rsidR="00622D6B">
        <w:t xml:space="preserve"> at first</w:t>
      </w:r>
      <w:r w:rsidR="00DA7082">
        <w:t xml:space="preserve"> there cannot be supervised learning</w:t>
      </w:r>
      <w:r w:rsidR="00622D6B">
        <w:t xml:space="preserve"> and considering the type of data it just makes sense to perform a time series analysis</w:t>
      </w:r>
      <w:r w:rsidR="00F375C1">
        <w:t xml:space="preserve">. </w:t>
      </w:r>
      <w:proofErr w:type="gramStart"/>
      <w:r w:rsidR="00F375C1">
        <w:t>Therefore</w:t>
      </w:r>
      <w:proofErr w:type="gramEnd"/>
      <w:r w:rsidR="00F375C1">
        <w:t xml:space="preserve"> ARIMA context </w:t>
      </w:r>
      <w:r w:rsidR="00BD14EC">
        <w:t>was deemed suitable for this project</w:t>
      </w:r>
      <w:r w:rsidR="00A00C4A">
        <w:t xml:space="preserve"> and both ARIMA and</w:t>
      </w:r>
      <w:r w:rsidR="007E4263">
        <w:t xml:space="preserve"> </w:t>
      </w:r>
      <w:r w:rsidR="00A00C4A">
        <w:t>SARIMA models were implemented</w:t>
      </w:r>
      <w:r w:rsidR="00EF1E5B">
        <w:t xml:space="preserve"> as they </w:t>
      </w:r>
      <w:r w:rsidR="00EF1E5B">
        <w:t>are designed to</w:t>
      </w:r>
      <w:r w:rsidR="00131D23">
        <w:t xml:space="preserve"> identify and retain</w:t>
      </w:r>
      <w:r w:rsidR="00EF1E5B">
        <w:t xml:space="preserve"> the autoregressive (AR) and moving average (MA) components of the data</w:t>
      </w:r>
      <w:r w:rsidR="003937BC">
        <w:t xml:space="preserve">. They are also suitable </w:t>
      </w:r>
      <w:r w:rsidR="003937BC" w:rsidRPr="003937BC">
        <w:t>for capturing trends and seasonal patterns in time series</w:t>
      </w:r>
      <w:r w:rsidR="003937BC">
        <w:t>.</w:t>
      </w:r>
    </w:p>
    <w:p w14:paraId="22113806" w14:textId="69F496F4" w:rsidR="00DC29A5" w:rsidRDefault="00693648" w:rsidP="000D0165">
      <w:r>
        <w:t>Considering</w:t>
      </w:r>
      <w:r w:rsidR="008C27A4">
        <w:t xml:space="preserve"> this scenario </w:t>
      </w:r>
      <w:proofErr w:type="gramStart"/>
      <w:r w:rsidR="008C27A4">
        <w:t>there</w:t>
      </w:r>
      <w:proofErr w:type="gramEnd"/>
      <w:r w:rsidR="008C27A4">
        <w:t xml:space="preserve"> application </w:t>
      </w:r>
      <w:r>
        <w:t xml:space="preserve">of techniques like </w:t>
      </w:r>
      <w:r w:rsidR="008C27A4" w:rsidRPr="008C27A4">
        <w:t xml:space="preserve">dimensionality reduction </w:t>
      </w:r>
      <w:r>
        <w:t>was not taken into account.</w:t>
      </w:r>
    </w:p>
    <w:p w14:paraId="2946E81B" w14:textId="6C1A2824" w:rsidR="000D0165" w:rsidRDefault="00A00C4A" w:rsidP="000D0165">
      <w:r>
        <w:t xml:space="preserve"> </w:t>
      </w:r>
      <w:proofErr w:type="spellStart"/>
      <w:r w:rsidRPr="00A00C4A">
        <w:t>ParameterGrid</w:t>
      </w:r>
      <w:proofErr w:type="spellEnd"/>
      <w:r w:rsidRPr="00A00C4A">
        <w:t xml:space="preserve"> </w:t>
      </w:r>
      <w:r w:rsidR="009050F9">
        <w:t>was</w:t>
      </w:r>
      <w:r w:rsidRPr="00A00C4A">
        <w:t xml:space="preserve"> used to </w:t>
      </w:r>
      <w:r w:rsidR="00C5066A">
        <w:t>combine in</w:t>
      </w:r>
      <w:r w:rsidRPr="00A00C4A">
        <w:t xml:space="preserve"> all possible </w:t>
      </w:r>
      <w:r w:rsidR="00C5066A">
        <w:t xml:space="preserve">ways the order </w:t>
      </w:r>
      <w:r w:rsidRPr="00A00C4A">
        <w:t xml:space="preserve">values for ARIMA and </w:t>
      </w:r>
      <w:r w:rsidR="007E4263">
        <w:t>t</w:t>
      </w:r>
      <w:r w:rsidR="007E4263">
        <w:t xml:space="preserve">he seasonal order </w:t>
      </w:r>
      <w:r w:rsidR="00F62FD4">
        <w:t>values</w:t>
      </w:r>
      <w:r w:rsidR="007E4263">
        <w:t xml:space="preserve"> for </w:t>
      </w:r>
      <w:r w:rsidRPr="00A00C4A">
        <w:t>SARIMA. The</w:t>
      </w:r>
      <w:r w:rsidR="00320670">
        <w:t xml:space="preserve">n an iterative process </w:t>
      </w:r>
      <w:r w:rsidR="007C174F">
        <w:t xml:space="preserve">ran through </w:t>
      </w:r>
      <w:r w:rsidRPr="00A00C4A">
        <w:t>these combinations, fit</w:t>
      </w:r>
      <w:r w:rsidR="007C174F">
        <w:t xml:space="preserve">ted </w:t>
      </w:r>
      <w:r w:rsidRPr="00A00C4A">
        <w:t>the models, and select</w:t>
      </w:r>
      <w:r w:rsidR="007C174F">
        <w:t>ed</w:t>
      </w:r>
      <w:r w:rsidRPr="00A00C4A">
        <w:t xml:space="preserve"> the combination with the lowest AIC (Akaike Information Criterion) as the </w:t>
      </w:r>
      <w:r w:rsidR="008F5D1A">
        <w:t>most suitable</w:t>
      </w:r>
      <w:r w:rsidRPr="00A00C4A">
        <w:t xml:space="preserve"> set of parameters</w:t>
      </w:r>
      <w:r w:rsidR="00816F37">
        <w:t xml:space="preserve"> </w:t>
      </w:r>
      <w:r w:rsidR="00816F37">
        <w:t xml:space="preserve">(Scikit-learn Developers, </w:t>
      </w:r>
      <w:r w:rsidR="00816F37">
        <w:rPr>
          <w:i/>
          <w:iCs/>
        </w:rPr>
        <w:t>3.2. tuning the hyper-parameters of an estimator</w:t>
      </w:r>
      <w:r w:rsidR="00816F37">
        <w:t>)</w:t>
      </w:r>
      <w:r w:rsidR="00EC64D6">
        <w:t xml:space="preserve">, since the </w:t>
      </w:r>
      <w:r w:rsidR="00EC64D6" w:rsidRPr="00EC64D6">
        <w:t>lower AIC values</w:t>
      </w:r>
      <w:r w:rsidR="00EB40A4">
        <w:t>,</w:t>
      </w:r>
      <w:r w:rsidR="00EC64D6" w:rsidRPr="00EC64D6">
        <w:t xml:space="preserve"> </w:t>
      </w:r>
      <w:r w:rsidR="00EC64D6">
        <w:t>the</w:t>
      </w:r>
      <w:r w:rsidR="00EC64D6" w:rsidRPr="00EC64D6">
        <w:t xml:space="preserve"> better trade-off between model fit and complexity.</w:t>
      </w:r>
    </w:p>
    <w:p w14:paraId="1D2DD6CE" w14:textId="63252AF4" w:rsidR="006971C0" w:rsidRDefault="006971C0" w:rsidP="000D0165">
      <w:r>
        <w:t xml:space="preserve">The following 10 values </w:t>
      </w:r>
      <w:r w:rsidR="00CE4A99">
        <w:t>of</w:t>
      </w:r>
      <w:r w:rsidR="00BB1D72">
        <w:t xml:space="preserve"> Total Public</w:t>
      </w:r>
      <w:r w:rsidR="00A927C3">
        <w:t xml:space="preserve"> Employment</w:t>
      </w:r>
      <w:r w:rsidR="00CE4A99">
        <w:t xml:space="preserve"> </w:t>
      </w:r>
      <w:r>
        <w:t xml:space="preserve">were </w:t>
      </w:r>
      <w:r w:rsidR="00303B12">
        <w:t>forecast</w:t>
      </w:r>
      <w:r w:rsidR="00AC167A">
        <w:t xml:space="preserve"> and both models show a clear increment in this sector</w:t>
      </w:r>
      <w:r w:rsidR="00E86B02">
        <w:t>, being SARIMA more optimistic</w:t>
      </w:r>
      <w:r w:rsidR="00F82122">
        <w:t>:</w:t>
      </w:r>
    </w:p>
    <w:p w14:paraId="600F4D5D" w14:textId="6C25405D" w:rsidR="00303B12" w:rsidRDefault="00A927C3" w:rsidP="000D0165">
      <w:r w:rsidRPr="00A927C3">
        <w:lastRenderedPageBreak/>
        <w:drawing>
          <wp:inline distT="0" distB="0" distL="0" distR="0" wp14:anchorId="1A1FF564" wp14:editId="3098ACAD">
            <wp:extent cx="5943600" cy="31508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150870"/>
                    </a:xfrm>
                    <a:prstGeom prst="rect">
                      <a:avLst/>
                    </a:prstGeom>
                  </pic:spPr>
                </pic:pic>
              </a:graphicData>
            </a:graphic>
          </wp:inline>
        </w:drawing>
      </w:r>
    </w:p>
    <w:p w14:paraId="40E9C84D" w14:textId="5EB881A5" w:rsidR="000633C5" w:rsidRDefault="001022E3" w:rsidP="000D0165">
      <w:r>
        <w:t>There were issues with indexes when calculating scoring metrics</w:t>
      </w:r>
      <w:r w:rsidR="00440422">
        <w:t xml:space="preserve"> but for the evaluation of performance </w:t>
      </w:r>
      <w:r w:rsidR="00DE1554">
        <w:t xml:space="preserve">MAE was selected to </w:t>
      </w:r>
      <w:r w:rsidR="00775B93">
        <w:t>weigh the average magnitude of errors, MSE</w:t>
      </w:r>
      <w:r w:rsidR="00DC2E52">
        <w:t xml:space="preserve"> because penalizes larger errors and RMSE</w:t>
      </w:r>
      <w:r w:rsidR="00CB0CDC">
        <w:t xml:space="preserve"> as it uses same units as data (headcount).</w:t>
      </w:r>
    </w:p>
    <w:p w14:paraId="5C5A006E" w14:textId="77777777" w:rsidR="000633C5" w:rsidRPr="000D0165" w:rsidRDefault="000633C5" w:rsidP="000D0165"/>
    <w:p w14:paraId="52E9E30D" w14:textId="1D46858F" w:rsidR="005B6518" w:rsidRDefault="005B6518" w:rsidP="002739EC">
      <w:pPr>
        <w:pStyle w:val="Heading1"/>
        <w:numPr>
          <w:ilvl w:val="0"/>
          <w:numId w:val="2"/>
        </w:numPr>
      </w:pPr>
      <w:bookmarkStart w:id="4" w:name="_Toc142256152"/>
      <w:r>
        <w:t>Sentiment analysis</w:t>
      </w:r>
      <w:bookmarkEnd w:id="4"/>
    </w:p>
    <w:p w14:paraId="6FED17B4" w14:textId="77777777" w:rsidR="008B0F99" w:rsidRPr="008B0F99" w:rsidRDefault="008B0F99" w:rsidP="008B0F99"/>
    <w:p w14:paraId="6CF3E323" w14:textId="592352AB" w:rsidR="005B6518" w:rsidRDefault="00BD4AD4" w:rsidP="004B1109">
      <w:r>
        <w:t xml:space="preserve">A </w:t>
      </w:r>
      <w:r w:rsidR="00CF72BE">
        <w:t>T</w:t>
      </w:r>
      <w:r>
        <w:t xml:space="preserve">witter </w:t>
      </w:r>
      <w:r w:rsidR="00556809">
        <w:t>developer</w:t>
      </w:r>
      <w:r>
        <w:t xml:space="preserve"> account was setup for this purpose which</w:t>
      </w:r>
      <w:r w:rsidR="00CF72BE">
        <w:t xml:space="preserve"> provided</w:t>
      </w:r>
      <w:r>
        <w:t xml:space="preserve"> </w:t>
      </w:r>
      <w:r w:rsidR="00CF72BE" w:rsidRPr="00CF72BE">
        <w:t>access to a subset of Twitter API v2 endpoints and limited v1.1 endpoints</w:t>
      </w:r>
      <w:r w:rsidR="00C44C50">
        <w:t xml:space="preserve"> however there were difficulties accessing the allowed endpoints</w:t>
      </w:r>
      <w:r w:rsidR="009E17AA">
        <w:t xml:space="preserve"> and all the attempts failed</w:t>
      </w:r>
      <w:r w:rsidR="004800A0">
        <w:t>. It did not seem an issue with the account or tokens/keys but with accessing the correct endpoints.</w:t>
      </w:r>
    </w:p>
    <w:p w14:paraId="0F7714BC" w14:textId="336A4778" w:rsidR="00B65DAF" w:rsidRDefault="007A7B97" w:rsidP="004B1109">
      <w:r>
        <w:t xml:space="preserve">Researched online but </w:t>
      </w:r>
      <w:r w:rsidR="00154157">
        <w:t xml:space="preserve">there did not seem to be datasets on a related topic, reason why next step was to bulk download from </w:t>
      </w:r>
      <w:hyperlink r:id="rId25" w:history="1">
        <w:r w:rsidR="0008669F" w:rsidRPr="00030006">
          <w:rPr>
            <w:rStyle w:val="Hyperlink"/>
          </w:rPr>
          <w:t>www.archive.org</w:t>
        </w:r>
      </w:hyperlink>
      <w:r w:rsidR="0008669F">
        <w:t xml:space="preserve"> and filter by topic.</w:t>
      </w:r>
      <w:r w:rsidR="008B1170">
        <w:t xml:space="preserve"> </w:t>
      </w:r>
      <w:r w:rsidR="00B960BD">
        <w:t>T</w:t>
      </w:r>
      <w:r w:rsidR="00B772FA">
        <w:t xml:space="preserve">he monthly tar files from </w:t>
      </w:r>
      <w:r w:rsidR="00B65DAF">
        <w:t xml:space="preserve">January and February 2013 </w:t>
      </w:r>
      <w:r w:rsidR="00F13C39">
        <w:t>(</w:t>
      </w:r>
      <w:r w:rsidR="00E057F5">
        <w:t>&gt;70 GB</w:t>
      </w:r>
      <w:r w:rsidR="00F13C39">
        <w:t xml:space="preserve">) </w:t>
      </w:r>
      <w:r w:rsidR="00B65DAF">
        <w:t xml:space="preserve">had no matches for </w:t>
      </w:r>
      <w:r w:rsidR="00BC7F8C">
        <w:t xml:space="preserve">none of the following </w:t>
      </w:r>
      <w:r w:rsidR="00B65DAF">
        <w:t>strings</w:t>
      </w:r>
      <w:r w:rsidR="00BC7F8C">
        <w:t xml:space="preserve"> </w:t>
      </w:r>
      <w:r w:rsidR="00B65DAF" w:rsidRPr="00B65DAF">
        <w:t xml:space="preserve">'public </w:t>
      </w:r>
      <w:proofErr w:type="spellStart"/>
      <w:r w:rsidR="00B65DAF" w:rsidRPr="00B65DAF">
        <w:t>employment','public</w:t>
      </w:r>
      <w:proofErr w:type="spellEnd"/>
      <w:r w:rsidR="00B65DAF" w:rsidRPr="00B65DAF">
        <w:t xml:space="preserve"> sector </w:t>
      </w:r>
      <w:proofErr w:type="spellStart"/>
      <w:r w:rsidR="00B65DAF" w:rsidRPr="00B65DAF">
        <w:t>employment','health</w:t>
      </w:r>
      <w:proofErr w:type="spellEnd"/>
      <w:r w:rsidR="00B65DAF" w:rsidRPr="00B65DAF">
        <w:t xml:space="preserve"> </w:t>
      </w:r>
      <w:proofErr w:type="spellStart"/>
      <w:r w:rsidR="00B65DAF" w:rsidRPr="00B65DAF">
        <w:t>employment','education</w:t>
      </w:r>
      <w:proofErr w:type="spellEnd"/>
      <w:r w:rsidR="00B65DAF" w:rsidRPr="00B65DAF">
        <w:t xml:space="preserve"> </w:t>
      </w:r>
      <w:proofErr w:type="spellStart"/>
      <w:r w:rsidR="00B65DAF" w:rsidRPr="00B65DAF">
        <w:t>employment','civil</w:t>
      </w:r>
      <w:proofErr w:type="spellEnd"/>
      <w:r w:rsidR="00B65DAF" w:rsidRPr="00B65DAF">
        <w:t xml:space="preserve"> service employment', '</w:t>
      </w:r>
      <w:proofErr w:type="spellStart"/>
      <w:r w:rsidR="00B65DAF" w:rsidRPr="00B65DAF">
        <w:t>defence</w:t>
      </w:r>
      <w:proofErr w:type="spellEnd"/>
      <w:r w:rsidR="00B65DAF" w:rsidRPr="00B65DAF">
        <w:t xml:space="preserve"> </w:t>
      </w:r>
      <w:proofErr w:type="spellStart"/>
      <w:r w:rsidR="00B65DAF" w:rsidRPr="00B65DAF">
        <w:t>employment','regional</w:t>
      </w:r>
      <w:proofErr w:type="spellEnd"/>
      <w:r w:rsidR="00B65DAF" w:rsidRPr="00B65DAF">
        <w:t xml:space="preserve"> bodies </w:t>
      </w:r>
      <w:proofErr w:type="spellStart"/>
      <w:r w:rsidR="00B65DAF" w:rsidRPr="00B65DAF">
        <w:t>employment','garda</w:t>
      </w:r>
      <w:proofErr w:type="spellEnd"/>
      <w:r w:rsidR="00B65DAF" w:rsidRPr="00B65DAF">
        <w:t xml:space="preserve"> employment'</w:t>
      </w:r>
      <w:r w:rsidR="004852C2">
        <w:t>.</w:t>
      </w:r>
    </w:p>
    <w:p w14:paraId="52C6824B" w14:textId="77777777" w:rsidR="004852C2" w:rsidRPr="00F81C44" w:rsidRDefault="004852C2" w:rsidP="004B1109"/>
    <w:p w14:paraId="2056710C" w14:textId="1933E169" w:rsidR="002B526F" w:rsidRDefault="002B526F" w:rsidP="00CD1916">
      <w:pPr>
        <w:pStyle w:val="Heading1"/>
        <w:numPr>
          <w:ilvl w:val="0"/>
          <w:numId w:val="3"/>
        </w:numPr>
      </w:pPr>
      <w:bookmarkStart w:id="5" w:name="_Toc142256153"/>
      <w:r>
        <w:t>References</w:t>
      </w:r>
      <w:bookmarkEnd w:id="5"/>
    </w:p>
    <w:p w14:paraId="7CC1E9F4" w14:textId="77777777" w:rsidR="00145EB4" w:rsidRDefault="00145EB4" w:rsidP="00145EB4"/>
    <w:p w14:paraId="4BFE8F5A" w14:textId="3CF1910C" w:rsidR="00145EB4" w:rsidRPr="007A7B97" w:rsidRDefault="00145EB4" w:rsidP="007A7B97">
      <w:pPr>
        <w:spacing w:before="100" w:beforeAutospacing="1" w:after="100" w:afterAutospacing="1" w:line="240" w:lineRule="auto"/>
        <w:ind w:left="567" w:hanging="567"/>
        <w:rPr>
          <w:rFonts w:ascii="Times New Roman" w:eastAsia="Times New Roman" w:hAnsi="Times New Roman" w:cs="Times New Roman"/>
          <w:sz w:val="24"/>
          <w:szCs w:val="24"/>
        </w:rPr>
      </w:pPr>
      <w:r w:rsidRPr="00DC0ED9">
        <w:rPr>
          <w:rFonts w:ascii="Times New Roman" w:eastAsia="Times New Roman" w:hAnsi="Times New Roman" w:cs="Times New Roman"/>
          <w:i/>
          <w:iCs/>
          <w:sz w:val="24"/>
          <w:szCs w:val="24"/>
        </w:rPr>
        <w:t>Archive team: The Twitter Stream Grab</w:t>
      </w:r>
      <w:r w:rsidRPr="00DC0ED9">
        <w:rPr>
          <w:rFonts w:ascii="Times New Roman" w:eastAsia="Times New Roman" w:hAnsi="Times New Roman" w:cs="Times New Roman"/>
          <w:sz w:val="24"/>
          <w:szCs w:val="24"/>
        </w:rPr>
        <w:t xml:space="preserve"> (2013) </w:t>
      </w:r>
      <w:r w:rsidRPr="00DC0ED9">
        <w:rPr>
          <w:rFonts w:ascii="Times New Roman" w:eastAsia="Times New Roman" w:hAnsi="Times New Roman" w:cs="Times New Roman"/>
          <w:i/>
          <w:iCs/>
          <w:sz w:val="24"/>
          <w:szCs w:val="24"/>
        </w:rPr>
        <w:t xml:space="preserve">Archive Team: The Twitter Stream </w:t>
      </w:r>
      <w:proofErr w:type="gramStart"/>
      <w:r w:rsidRPr="00DC0ED9">
        <w:rPr>
          <w:rFonts w:ascii="Times New Roman" w:eastAsia="Times New Roman" w:hAnsi="Times New Roman" w:cs="Times New Roman"/>
          <w:i/>
          <w:iCs/>
          <w:sz w:val="24"/>
          <w:szCs w:val="24"/>
        </w:rPr>
        <w:t>Grab :</w:t>
      </w:r>
      <w:proofErr w:type="gramEnd"/>
      <w:r w:rsidRPr="00DC0ED9">
        <w:rPr>
          <w:rFonts w:ascii="Times New Roman" w:eastAsia="Times New Roman" w:hAnsi="Times New Roman" w:cs="Times New Roman"/>
          <w:i/>
          <w:iCs/>
          <w:sz w:val="24"/>
          <w:szCs w:val="24"/>
        </w:rPr>
        <w:t xml:space="preserve"> Free Web : Free Download, Borrow and Streaming : Internet Archive</w:t>
      </w:r>
      <w:r w:rsidRPr="00DC0ED9">
        <w:rPr>
          <w:rFonts w:ascii="Times New Roman" w:eastAsia="Times New Roman" w:hAnsi="Times New Roman" w:cs="Times New Roman"/>
          <w:sz w:val="24"/>
          <w:szCs w:val="24"/>
        </w:rPr>
        <w:t xml:space="preserve">. Available at: </w:t>
      </w:r>
      <w:hyperlink r:id="rId26" w:history="1">
        <w:r w:rsidR="007844F5" w:rsidRPr="00030006">
          <w:rPr>
            <w:rStyle w:val="Hyperlink"/>
          </w:rPr>
          <w:t>https://archive.org/details/twitterstream?tab=collection&amp;sort=-publicdate&amp;and%5B%5D=year%3A"2013</w:t>
        </w:r>
      </w:hyperlink>
      <w:r w:rsidR="007844F5" w:rsidRPr="007844F5">
        <w:t>"</w:t>
      </w:r>
      <w:r w:rsidR="007844F5">
        <w:t xml:space="preserve"> </w:t>
      </w:r>
      <w:r w:rsidRPr="00DC0ED9">
        <w:rPr>
          <w:rFonts w:ascii="Times New Roman" w:eastAsia="Times New Roman" w:hAnsi="Times New Roman" w:cs="Times New Roman"/>
          <w:sz w:val="24"/>
          <w:szCs w:val="24"/>
        </w:rPr>
        <w:t xml:space="preserve">(Accessed: 26 </w:t>
      </w:r>
      <w:r w:rsidR="007A7B97">
        <w:rPr>
          <w:rFonts w:ascii="Times New Roman" w:eastAsia="Times New Roman" w:hAnsi="Times New Roman" w:cs="Times New Roman"/>
          <w:sz w:val="24"/>
          <w:szCs w:val="24"/>
        </w:rPr>
        <w:t>July</w:t>
      </w:r>
      <w:r w:rsidRPr="00DC0ED9">
        <w:rPr>
          <w:rFonts w:ascii="Times New Roman" w:eastAsia="Times New Roman" w:hAnsi="Times New Roman" w:cs="Times New Roman"/>
          <w:sz w:val="24"/>
          <w:szCs w:val="24"/>
        </w:rPr>
        <w:t xml:space="preserve"> 2023). </w:t>
      </w:r>
    </w:p>
    <w:p w14:paraId="1165AF78" w14:textId="77777777" w:rsidR="00665B57" w:rsidRDefault="00665B57" w:rsidP="00665B57">
      <w:pPr>
        <w:pStyle w:val="NormalWeb"/>
        <w:ind w:left="567" w:hanging="567"/>
      </w:pPr>
      <w:r>
        <w:t xml:space="preserve">Central Statistics Office (2023) </w:t>
      </w:r>
      <w:r>
        <w:rPr>
          <w:i/>
          <w:iCs/>
        </w:rPr>
        <w:t>EHQ10 - Public Sector Employment and earnings</w:t>
      </w:r>
      <w:r>
        <w:t xml:space="preserve">, </w:t>
      </w:r>
      <w:r>
        <w:rPr>
          <w:i/>
          <w:iCs/>
        </w:rPr>
        <w:t>Data.Gov.IE</w:t>
      </w:r>
      <w:r>
        <w:t xml:space="preserve">. Available at: https://data.gov.ie/dataset/ehq10-public-sector-employment-and-earnings?package_type=dataset (Accessed: 08 July 2023). </w:t>
      </w:r>
    </w:p>
    <w:p w14:paraId="5CFE5A9E" w14:textId="6FDB5954" w:rsidR="008B461B" w:rsidRPr="00BC64FB" w:rsidRDefault="00052CB5" w:rsidP="00BC64FB">
      <w:pPr>
        <w:pStyle w:val="NormalWeb"/>
        <w:ind w:left="567" w:hanging="567"/>
      </w:pPr>
      <w:r>
        <w:rPr>
          <w:i/>
          <w:iCs/>
        </w:rPr>
        <w:t>IBM (</w:t>
      </w:r>
      <w:r w:rsidR="00A85740" w:rsidRPr="00A85740">
        <w:t>2016</w:t>
      </w:r>
      <w:r>
        <w:rPr>
          <w:i/>
          <w:iCs/>
        </w:rPr>
        <w:t xml:space="preserve">). </w:t>
      </w:r>
      <w:r w:rsidR="008B461B">
        <w:rPr>
          <w:i/>
          <w:iCs/>
        </w:rPr>
        <w:t>IBM SPSS Modeler Crisp-DM Guide</w:t>
      </w:r>
      <w:r w:rsidR="008B461B">
        <w:t xml:space="preserve">. Available at: https://public.dhe.ibm.com/software/analytics/spss/documentation/modeler/18.0/en/ModelerCRISPDM.pdf (Accessed: 12 July 2023). </w:t>
      </w:r>
    </w:p>
    <w:p w14:paraId="43A6C37B" w14:textId="2FD01690" w:rsidR="00E1217C" w:rsidRDefault="00E1217C" w:rsidP="00E1217C">
      <w:pPr>
        <w:pStyle w:val="NormalWeb"/>
        <w:ind w:left="567" w:hanging="567"/>
      </w:pPr>
      <w:r>
        <w:rPr>
          <w:i/>
          <w:iCs/>
        </w:rPr>
        <w:t>Legal notice</w:t>
      </w:r>
      <w:r>
        <w:t xml:space="preserve"> (no date) </w:t>
      </w:r>
      <w:r>
        <w:rPr>
          <w:i/>
          <w:iCs/>
        </w:rPr>
        <w:t>INE</w:t>
      </w:r>
      <w:r>
        <w:t xml:space="preserve">. Available at: https://www.ine.es/dyngs/AYU/en/index.htm?cid=125 (Accessed: 17 July 2023). </w:t>
      </w:r>
    </w:p>
    <w:p w14:paraId="26CF89C2" w14:textId="626166B7" w:rsidR="00CA30C8" w:rsidRPr="00CA30C8" w:rsidRDefault="00CA30C8" w:rsidP="00CA30C8">
      <w:pPr>
        <w:spacing w:before="100" w:beforeAutospacing="1" w:after="100" w:afterAutospacing="1" w:line="240" w:lineRule="auto"/>
        <w:ind w:left="567" w:hanging="567"/>
        <w:rPr>
          <w:rFonts w:ascii="Times New Roman" w:eastAsia="Times New Roman" w:hAnsi="Times New Roman" w:cs="Times New Roman"/>
          <w:sz w:val="24"/>
          <w:szCs w:val="24"/>
        </w:rPr>
      </w:pPr>
      <w:r>
        <w:rPr>
          <w:rFonts w:ascii="Times New Roman" w:eastAsia="Times New Roman" w:hAnsi="Times New Roman" w:cs="Times New Roman"/>
          <w:sz w:val="24"/>
          <w:szCs w:val="24"/>
        </w:rPr>
        <w:t>ONS</w:t>
      </w:r>
      <w:r w:rsidRPr="00CA30C8">
        <w:rPr>
          <w:rFonts w:ascii="Times New Roman" w:eastAsia="Times New Roman" w:hAnsi="Times New Roman" w:cs="Times New Roman"/>
          <w:sz w:val="24"/>
          <w:szCs w:val="24"/>
        </w:rPr>
        <w:t xml:space="preserve"> (2023) </w:t>
      </w:r>
      <w:r w:rsidRPr="00CA30C8">
        <w:rPr>
          <w:rFonts w:ascii="Times New Roman" w:eastAsia="Times New Roman" w:hAnsi="Times New Roman" w:cs="Times New Roman"/>
          <w:i/>
          <w:iCs/>
          <w:sz w:val="24"/>
          <w:szCs w:val="24"/>
        </w:rPr>
        <w:t>Public Sector Employment Time Series</w:t>
      </w:r>
      <w:r w:rsidR="00A11CAF">
        <w:rPr>
          <w:rFonts w:ascii="Times New Roman" w:eastAsia="Times New Roman" w:hAnsi="Times New Roman" w:cs="Times New Roman"/>
          <w:i/>
          <w:iCs/>
          <w:sz w:val="24"/>
          <w:szCs w:val="24"/>
        </w:rPr>
        <w:t xml:space="preserve"> - </w:t>
      </w:r>
      <w:r w:rsidR="00A11CAF" w:rsidRPr="00591E6D">
        <w:rPr>
          <w:rFonts w:ascii="Times New Roman" w:eastAsia="Times New Roman" w:hAnsi="Times New Roman" w:cs="Times New Roman"/>
          <w:i/>
          <w:iCs/>
          <w:sz w:val="24"/>
          <w:szCs w:val="24"/>
        </w:rPr>
        <w:t>Office for National Statistics</w:t>
      </w:r>
      <w:r w:rsidRPr="00CA30C8">
        <w:rPr>
          <w:rFonts w:ascii="Times New Roman" w:eastAsia="Times New Roman" w:hAnsi="Times New Roman" w:cs="Times New Roman"/>
          <w:sz w:val="24"/>
          <w:szCs w:val="24"/>
        </w:rPr>
        <w:t xml:space="preserve">. Available at: https://www.ons.gov.uk/employmentandlabourmarket/peopleinwork/publicsectorpersonnel/datasets/publicsectoremploymenttimeseriesdataset (Accessed: </w:t>
      </w:r>
      <w:r w:rsidR="00BC64FB">
        <w:rPr>
          <w:rFonts w:ascii="Times New Roman" w:eastAsia="Times New Roman" w:hAnsi="Times New Roman" w:cs="Times New Roman"/>
          <w:sz w:val="24"/>
          <w:szCs w:val="24"/>
        </w:rPr>
        <w:t>1</w:t>
      </w:r>
      <w:r w:rsidR="00EE2AB7">
        <w:rPr>
          <w:rFonts w:ascii="Times New Roman" w:eastAsia="Times New Roman" w:hAnsi="Times New Roman" w:cs="Times New Roman"/>
          <w:sz w:val="24"/>
          <w:szCs w:val="24"/>
        </w:rPr>
        <w:t>5</w:t>
      </w:r>
      <w:r w:rsidRPr="00CA30C8">
        <w:rPr>
          <w:rFonts w:ascii="Times New Roman" w:eastAsia="Times New Roman" w:hAnsi="Times New Roman" w:cs="Times New Roman"/>
          <w:sz w:val="24"/>
          <w:szCs w:val="24"/>
        </w:rPr>
        <w:t xml:space="preserve"> </w:t>
      </w:r>
      <w:r w:rsidR="00EE2AB7">
        <w:rPr>
          <w:rFonts w:ascii="Times New Roman" w:eastAsia="Times New Roman" w:hAnsi="Times New Roman" w:cs="Times New Roman"/>
          <w:sz w:val="24"/>
          <w:szCs w:val="24"/>
        </w:rPr>
        <w:t>July</w:t>
      </w:r>
      <w:r w:rsidRPr="00CA30C8">
        <w:rPr>
          <w:rFonts w:ascii="Times New Roman" w:eastAsia="Times New Roman" w:hAnsi="Times New Roman" w:cs="Times New Roman"/>
          <w:sz w:val="24"/>
          <w:szCs w:val="24"/>
        </w:rPr>
        <w:t xml:space="preserve"> 2023). </w:t>
      </w:r>
    </w:p>
    <w:p w14:paraId="015F98D9" w14:textId="41D92E5B" w:rsidR="00591E6D" w:rsidRDefault="00A11CAF" w:rsidP="00591E6D">
      <w:pPr>
        <w:spacing w:before="100" w:beforeAutospacing="1" w:after="100" w:afterAutospacing="1" w:line="240" w:lineRule="auto"/>
        <w:ind w:left="567" w:hanging="567"/>
        <w:rPr>
          <w:rFonts w:ascii="Times New Roman" w:eastAsia="Times New Roman" w:hAnsi="Times New Roman" w:cs="Times New Roman"/>
          <w:sz w:val="24"/>
          <w:szCs w:val="24"/>
        </w:rPr>
      </w:pPr>
      <w:r>
        <w:rPr>
          <w:rFonts w:ascii="Times New Roman" w:eastAsia="Times New Roman" w:hAnsi="Times New Roman" w:cs="Times New Roman"/>
          <w:i/>
          <w:iCs/>
          <w:sz w:val="24"/>
          <w:szCs w:val="24"/>
        </w:rPr>
        <w:t>ONS</w:t>
      </w:r>
      <w:r w:rsidR="00591E6D" w:rsidRPr="00591E6D">
        <w:rPr>
          <w:rFonts w:ascii="Times New Roman" w:eastAsia="Times New Roman" w:hAnsi="Times New Roman" w:cs="Times New Roman"/>
          <w:sz w:val="24"/>
          <w:szCs w:val="24"/>
        </w:rPr>
        <w:t xml:space="preserve"> (2023) </w:t>
      </w:r>
      <w:r w:rsidR="00591E6D" w:rsidRPr="00591E6D">
        <w:rPr>
          <w:rFonts w:ascii="Times New Roman" w:eastAsia="Times New Roman" w:hAnsi="Times New Roman" w:cs="Times New Roman"/>
          <w:i/>
          <w:iCs/>
          <w:sz w:val="24"/>
          <w:szCs w:val="24"/>
        </w:rPr>
        <w:t>Average weekly earnings time series - Office for National Statistics</w:t>
      </w:r>
      <w:r w:rsidR="00591E6D" w:rsidRPr="00591E6D">
        <w:rPr>
          <w:rFonts w:ascii="Times New Roman" w:eastAsia="Times New Roman" w:hAnsi="Times New Roman" w:cs="Times New Roman"/>
          <w:sz w:val="24"/>
          <w:szCs w:val="24"/>
        </w:rPr>
        <w:t xml:space="preserve">. Available at: https://www.ons.gov.uk/employmentandlabourmarket/peopleinwork/earningsandworkinghours/datasets/averageweeklyearnings (Accessed: 18 July 2023). </w:t>
      </w:r>
    </w:p>
    <w:p w14:paraId="61383D87" w14:textId="77777777" w:rsidR="00E921BD" w:rsidRDefault="00E921BD" w:rsidP="00E921BD">
      <w:pPr>
        <w:pStyle w:val="NormalWeb"/>
        <w:ind w:left="567" w:hanging="567"/>
      </w:pPr>
      <w:r>
        <w:t xml:space="preserve">Scikit-learn Developers (no date) </w:t>
      </w:r>
      <w:r>
        <w:rPr>
          <w:i/>
          <w:iCs/>
        </w:rPr>
        <w:t>3.2. tuning the hyper-parameters of an estimator</w:t>
      </w:r>
      <w:r>
        <w:t xml:space="preserve">, </w:t>
      </w:r>
      <w:r>
        <w:rPr>
          <w:i/>
          <w:iCs/>
        </w:rPr>
        <w:t>scikit</w:t>
      </w:r>
      <w:r>
        <w:t xml:space="preserve">. Available at: https://scikit-learn.org/stable/modules/grid_search.html (Accessed: 01 August 2023). </w:t>
      </w:r>
    </w:p>
    <w:p w14:paraId="68904F5B" w14:textId="77777777" w:rsidR="00E921BD" w:rsidRPr="00591E6D" w:rsidRDefault="00E921BD" w:rsidP="00591E6D">
      <w:pPr>
        <w:spacing w:before="100" w:beforeAutospacing="1" w:after="100" w:afterAutospacing="1" w:line="240" w:lineRule="auto"/>
        <w:ind w:left="567" w:hanging="567"/>
        <w:rPr>
          <w:rFonts w:ascii="Times New Roman" w:eastAsia="Times New Roman" w:hAnsi="Times New Roman" w:cs="Times New Roman"/>
          <w:sz w:val="24"/>
          <w:szCs w:val="24"/>
        </w:rPr>
      </w:pPr>
    </w:p>
    <w:p w14:paraId="0F069A15" w14:textId="77777777" w:rsidR="00E11E14" w:rsidRDefault="00E11E14" w:rsidP="00E11E14">
      <w:pPr>
        <w:pStyle w:val="NormalWeb"/>
        <w:ind w:left="567" w:hanging="567"/>
      </w:pPr>
      <w:r>
        <w:t xml:space="preserve">Twitter (no date) </w:t>
      </w:r>
      <w:r>
        <w:rPr>
          <w:i/>
          <w:iCs/>
        </w:rPr>
        <w:t>Determining tweet types | docs | twitter developer platform</w:t>
      </w:r>
      <w:r>
        <w:t xml:space="preserve">, </w:t>
      </w:r>
      <w:r>
        <w:rPr>
          <w:i/>
          <w:iCs/>
        </w:rPr>
        <w:t>Twitter</w:t>
      </w:r>
      <w:r>
        <w:t xml:space="preserve">. Available at: </w:t>
      </w:r>
      <w:hyperlink r:id="rId27" w:history="1">
        <w:r w:rsidRPr="00D86AF7">
          <w:rPr>
            <w:rStyle w:val="Hyperlink"/>
          </w:rPr>
          <w:t>https://developer.twitter.com/en/docs/tutorials/determining-tweet-types</w:t>
        </w:r>
      </w:hyperlink>
      <w:r>
        <w:t xml:space="preserve"> (Accessed: 15 May 2023). </w:t>
      </w:r>
    </w:p>
    <w:p w14:paraId="3DB0F7ED" w14:textId="77777777" w:rsidR="002B526F" w:rsidRPr="002B526F" w:rsidRDefault="002B526F" w:rsidP="002B526F"/>
    <w:p w14:paraId="7AAF87DA" w14:textId="42ADB390" w:rsidR="007520E0" w:rsidRDefault="00CB0487" w:rsidP="00CB0487">
      <w:pPr>
        <w:pStyle w:val="Heading1"/>
      </w:pPr>
      <w:bookmarkStart w:id="6" w:name="_Toc142256154"/>
      <w:r>
        <w:t>Appendix</w:t>
      </w:r>
      <w:bookmarkEnd w:id="6"/>
    </w:p>
    <w:p w14:paraId="621620E4" w14:textId="77777777" w:rsidR="007520E0" w:rsidRDefault="007520E0"/>
    <w:p w14:paraId="3129729B" w14:textId="0A71A82E" w:rsidR="00357E3D" w:rsidRDefault="00357E3D">
      <w:r>
        <w:t xml:space="preserve">UK </w:t>
      </w:r>
      <w:r w:rsidR="00D96B33">
        <w:t>data:</w:t>
      </w:r>
      <w:r w:rsidR="00763D92">
        <w:t xml:space="preserve"> </w:t>
      </w:r>
      <w:r w:rsidR="00763D92" w:rsidRPr="00763D92">
        <w:t>Public sector employment time series - Office for National Statistics</w:t>
      </w:r>
      <w:r w:rsidR="00763D92">
        <w:t xml:space="preserve"> -</w:t>
      </w:r>
      <w:r w:rsidR="00D96B33">
        <w:t>&gt;</w:t>
      </w:r>
      <w:r w:rsidR="009940E4">
        <w:t xml:space="preserve"> pse.csv </w:t>
      </w:r>
      <w:hyperlink r:id="rId28" w:history="1">
        <w:r w:rsidR="009940E4" w:rsidRPr="00B0562E">
          <w:rPr>
            <w:rStyle w:val="Hyperlink"/>
          </w:rPr>
          <w:t>https://www.ons.gov.uk/employmentandlabourmarket/peopleinwork/publicsectorpersonnel/datasets/publicsectoremploymenttimeseriesdataset</w:t>
        </w:r>
      </w:hyperlink>
      <w:r w:rsidR="009940E4">
        <w:t xml:space="preserve"> </w:t>
      </w:r>
    </w:p>
    <w:p w14:paraId="3C4965AA" w14:textId="77777777" w:rsidR="009940E4" w:rsidRPr="007D1ADB" w:rsidRDefault="009940E4"/>
    <w:p w14:paraId="3F6DA0FF" w14:textId="36A6C4C2" w:rsidR="007520E0" w:rsidRPr="007D1ADB" w:rsidRDefault="00D96B33">
      <w:r>
        <w:t xml:space="preserve">UK data: </w:t>
      </w:r>
      <w:r w:rsidR="007668D9" w:rsidRPr="007D1ADB">
        <w:t>Average weekly earnings time series</w:t>
      </w:r>
      <w:r w:rsidR="007D1ADB" w:rsidRPr="007D1ADB">
        <w:t xml:space="preserve"> </w:t>
      </w:r>
      <w:r w:rsidR="007D1ADB">
        <w:t xml:space="preserve">-&gt; emp.csv </w:t>
      </w:r>
      <w:hyperlink r:id="rId29" w:history="1">
        <w:r w:rsidR="007D1ADB" w:rsidRPr="00B0562E">
          <w:rPr>
            <w:rStyle w:val="Hyperlink"/>
          </w:rPr>
          <w:t>https://www.ons.gov.uk/employmentandlabourmarket/peopleinwork/earningsandworkinghours/datasets/averageweeklyearnings</w:t>
        </w:r>
      </w:hyperlink>
      <w:r w:rsidR="007D1ADB">
        <w:t xml:space="preserve"> </w:t>
      </w:r>
    </w:p>
    <w:p w14:paraId="5C57C185" w14:textId="2DA7E7B4" w:rsidR="00F81C44" w:rsidRPr="007D1ADB" w:rsidRDefault="00F81C44"/>
    <w:p w14:paraId="2096193B" w14:textId="5569E797" w:rsidR="00BA3B7A" w:rsidRDefault="00BA3B7A">
      <w:r>
        <w:t xml:space="preserve">GBP to EUR </w:t>
      </w:r>
      <w:r w:rsidR="009052D3">
        <w:t xml:space="preserve">average annual exchange rates </w:t>
      </w:r>
      <w:hyperlink r:id="rId30" w:history="1">
        <w:r w:rsidR="009052D3" w:rsidRPr="009C04B2">
          <w:rPr>
            <w:rStyle w:val="Hyperlink"/>
          </w:rPr>
          <w:t>https://www.ofx.com/en-ie/forex-news/historical-exchange-rates/yearly-average-rates/</w:t>
        </w:r>
      </w:hyperlink>
      <w:r w:rsidR="009052D3">
        <w:t xml:space="preserve"> </w:t>
      </w:r>
    </w:p>
    <w:p w14:paraId="7E949ABA" w14:textId="77777777" w:rsidR="002F33D7" w:rsidRDefault="002F33D7"/>
    <w:p w14:paraId="09BE5C32" w14:textId="0BD1037E" w:rsidR="002F33D7" w:rsidRDefault="002F33D7">
      <w:r>
        <w:t>Twitter documentation:</w:t>
      </w:r>
    </w:p>
    <w:p w14:paraId="0432F2AB" w14:textId="36211C8C" w:rsidR="00713ACD" w:rsidRDefault="00713ACD">
      <w:hyperlink r:id="rId31" w:history="1">
        <w:r w:rsidRPr="00030006">
          <w:rPr>
            <w:rStyle w:val="Hyperlink"/>
          </w:rPr>
          <w:t>https://developer.twitter.com/en/docs/twitter-api/getting-started/getting-access-to-the-twitter-api</w:t>
        </w:r>
      </w:hyperlink>
      <w:r>
        <w:t xml:space="preserve"> </w:t>
      </w:r>
    </w:p>
    <w:p w14:paraId="7BF3E2E8" w14:textId="3DCE4077" w:rsidR="002F33D7" w:rsidRDefault="002F33D7">
      <w:hyperlink r:id="rId32" w:history="1">
        <w:r w:rsidRPr="00030006">
          <w:rPr>
            <w:rStyle w:val="Hyperlink"/>
          </w:rPr>
          <w:t>https://developer.twitter.com/en/docs/twitter-api/v1</w:t>
        </w:r>
      </w:hyperlink>
    </w:p>
    <w:p w14:paraId="382EE2BE" w14:textId="77777777" w:rsidR="002F33D7" w:rsidRPr="00F81C44" w:rsidRDefault="002F33D7"/>
    <w:sectPr w:rsidR="002F33D7" w:rsidRPr="00F81C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F6CD6" w14:textId="77777777" w:rsidR="00844D4F" w:rsidRDefault="00844D4F" w:rsidP="007520E0">
      <w:pPr>
        <w:spacing w:after="0" w:line="240" w:lineRule="auto"/>
      </w:pPr>
      <w:r>
        <w:separator/>
      </w:r>
    </w:p>
  </w:endnote>
  <w:endnote w:type="continuationSeparator" w:id="0">
    <w:p w14:paraId="13B1B95B" w14:textId="77777777" w:rsidR="00844D4F" w:rsidRDefault="00844D4F" w:rsidP="00752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46813" w14:textId="77777777" w:rsidR="00844D4F" w:rsidRDefault="00844D4F" w:rsidP="007520E0">
      <w:pPr>
        <w:spacing w:after="0" w:line="240" w:lineRule="auto"/>
      </w:pPr>
      <w:r>
        <w:separator/>
      </w:r>
    </w:p>
  </w:footnote>
  <w:footnote w:type="continuationSeparator" w:id="0">
    <w:p w14:paraId="203449C2" w14:textId="77777777" w:rsidR="00844D4F" w:rsidRDefault="00844D4F" w:rsidP="007520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034C12"/>
    <w:multiLevelType w:val="hybridMultilevel"/>
    <w:tmpl w:val="9E28D4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2E2F4B"/>
    <w:multiLevelType w:val="hybridMultilevel"/>
    <w:tmpl w:val="6FCEB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66781D"/>
    <w:multiLevelType w:val="hybridMultilevel"/>
    <w:tmpl w:val="49B03B06"/>
    <w:lvl w:ilvl="0" w:tplc="2814D7B8">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25048718">
    <w:abstractNumId w:val="0"/>
  </w:num>
  <w:num w:numId="2" w16cid:durableId="213195822">
    <w:abstractNumId w:val="1"/>
  </w:num>
  <w:num w:numId="3" w16cid:durableId="20233147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0E0"/>
    <w:rsid w:val="00004D59"/>
    <w:rsid w:val="00016DEC"/>
    <w:rsid w:val="000222C4"/>
    <w:rsid w:val="00042D88"/>
    <w:rsid w:val="000449EA"/>
    <w:rsid w:val="00051F08"/>
    <w:rsid w:val="00052CB5"/>
    <w:rsid w:val="0005581B"/>
    <w:rsid w:val="00056580"/>
    <w:rsid w:val="00062A2A"/>
    <w:rsid w:val="00062E10"/>
    <w:rsid w:val="000633C5"/>
    <w:rsid w:val="00065DE5"/>
    <w:rsid w:val="00067C61"/>
    <w:rsid w:val="000720B8"/>
    <w:rsid w:val="000766D8"/>
    <w:rsid w:val="00084C57"/>
    <w:rsid w:val="0008669F"/>
    <w:rsid w:val="00091F13"/>
    <w:rsid w:val="000A1D95"/>
    <w:rsid w:val="000A30F5"/>
    <w:rsid w:val="000A7EC5"/>
    <w:rsid w:val="000B02A2"/>
    <w:rsid w:val="000B09EA"/>
    <w:rsid w:val="000C2777"/>
    <w:rsid w:val="000C30E8"/>
    <w:rsid w:val="000D0165"/>
    <w:rsid w:val="000D49D0"/>
    <w:rsid w:val="000D4BD0"/>
    <w:rsid w:val="000E3794"/>
    <w:rsid w:val="000F2035"/>
    <w:rsid w:val="000F391C"/>
    <w:rsid w:val="000F6EC0"/>
    <w:rsid w:val="001022E3"/>
    <w:rsid w:val="00122163"/>
    <w:rsid w:val="001252AF"/>
    <w:rsid w:val="00126A03"/>
    <w:rsid w:val="00131D23"/>
    <w:rsid w:val="00133A61"/>
    <w:rsid w:val="00134722"/>
    <w:rsid w:val="00145EB4"/>
    <w:rsid w:val="00147D30"/>
    <w:rsid w:val="001504EB"/>
    <w:rsid w:val="0015297A"/>
    <w:rsid w:val="00154157"/>
    <w:rsid w:val="0015439B"/>
    <w:rsid w:val="00164646"/>
    <w:rsid w:val="00166FFF"/>
    <w:rsid w:val="00167774"/>
    <w:rsid w:val="00173628"/>
    <w:rsid w:val="00191CBB"/>
    <w:rsid w:val="001A4C33"/>
    <w:rsid w:val="001C0458"/>
    <w:rsid w:val="001F1994"/>
    <w:rsid w:val="001F27C1"/>
    <w:rsid w:val="001F43FD"/>
    <w:rsid w:val="00204FF1"/>
    <w:rsid w:val="00206563"/>
    <w:rsid w:val="00213447"/>
    <w:rsid w:val="00217A94"/>
    <w:rsid w:val="00222D29"/>
    <w:rsid w:val="002400B8"/>
    <w:rsid w:val="0024439F"/>
    <w:rsid w:val="002471C4"/>
    <w:rsid w:val="00247330"/>
    <w:rsid w:val="0025383E"/>
    <w:rsid w:val="00262B26"/>
    <w:rsid w:val="002656DE"/>
    <w:rsid w:val="002739EC"/>
    <w:rsid w:val="00280CC2"/>
    <w:rsid w:val="0028172F"/>
    <w:rsid w:val="00284522"/>
    <w:rsid w:val="002929D8"/>
    <w:rsid w:val="002A25B2"/>
    <w:rsid w:val="002B01AE"/>
    <w:rsid w:val="002B526F"/>
    <w:rsid w:val="002C1131"/>
    <w:rsid w:val="002C60BF"/>
    <w:rsid w:val="002D4F49"/>
    <w:rsid w:val="002E700B"/>
    <w:rsid w:val="002E7E53"/>
    <w:rsid w:val="002F33D7"/>
    <w:rsid w:val="002F3FCB"/>
    <w:rsid w:val="002F63FF"/>
    <w:rsid w:val="002F7E0F"/>
    <w:rsid w:val="00302955"/>
    <w:rsid w:val="00303B12"/>
    <w:rsid w:val="0031158F"/>
    <w:rsid w:val="00317567"/>
    <w:rsid w:val="00320670"/>
    <w:rsid w:val="00357E3D"/>
    <w:rsid w:val="00374049"/>
    <w:rsid w:val="00381356"/>
    <w:rsid w:val="00382525"/>
    <w:rsid w:val="003868DF"/>
    <w:rsid w:val="00386B58"/>
    <w:rsid w:val="00391D71"/>
    <w:rsid w:val="003937BC"/>
    <w:rsid w:val="003A01C9"/>
    <w:rsid w:val="003A2544"/>
    <w:rsid w:val="003A38B2"/>
    <w:rsid w:val="003A3DCE"/>
    <w:rsid w:val="003A56D0"/>
    <w:rsid w:val="003A7120"/>
    <w:rsid w:val="003B0A96"/>
    <w:rsid w:val="003B6476"/>
    <w:rsid w:val="003C0AAF"/>
    <w:rsid w:val="003D788F"/>
    <w:rsid w:val="003E18BF"/>
    <w:rsid w:val="003E409F"/>
    <w:rsid w:val="003E484D"/>
    <w:rsid w:val="003F1F64"/>
    <w:rsid w:val="003F5C6C"/>
    <w:rsid w:val="00401D55"/>
    <w:rsid w:val="00404A05"/>
    <w:rsid w:val="00407306"/>
    <w:rsid w:val="0041302F"/>
    <w:rsid w:val="004157D9"/>
    <w:rsid w:val="00424C01"/>
    <w:rsid w:val="0042643A"/>
    <w:rsid w:val="00434583"/>
    <w:rsid w:val="00440422"/>
    <w:rsid w:val="004453E0"/>
    <w:rsid w:val="00474446"/>
    <w:rsid w:val="004800A0"/>
    <w:rsid w:val="00480C5D"/>
    <w:rsid w:val="00482922"/>
    <w:rsid w:val="004852C2"/>
    <w:rsid w:val="00485BB5"/>
    <w:rsid w:val="00490A15"/>
    <w:rsid w:val="004A6FE6"/>
    <w:rsid w:val="004B1109"/>
    <w:rsid w:val="004B12B1"/>
    <w:rsid w:val="004B5165"/>
    <w:rsid w:val="004C3C5E"/>
    <w:rsid w:val="004D5478"/>
    <w:rsid w:val="004D56F1"/>
    <w:rsid w:val="004E6BA6"/>
    <w:rsid w:val="004F031E"/>
    <w:rsid w:val="004F0941"/>
    <w:rsid w:val="00500426"/>
    <w:rsid w:val="0050447D"/>
    <w:rsid w:val="0052470D"/>
    <w:rsid w:val="00527460"/>
    <w:rsid w:val="00540817"/>
    <w:rsid w:val="005459FF"/>
    <w:rsid w:val="00556809"/>
    <w:rsid w:val="0055686D"/>
    <w:rsid w:val="00566399"/>
    <w:rsid w:val="005730F9"/>
    <w:rsid w:val="00580611"/>
    <w:rsid w:val="005861E2"/>
    <w:rsid w:val="00591E6D"/>
    <w:rsid w:val="005A2F79"/>
    <w:rsid w:val="005A7297"/>
    <w:rsid w:val="005B0D99"/>
    <w:rsid w:val="005B6518"/>
    <w:rsid w:val="005D0D99"/>
    <w:rsid w:val="005D19DE"/>
    <w:rsid w:val="005D698A"/>
    <w:rsid w:val="006004F4"/>
    <w:rsid w:val="006038A6"/>
    <w:rsid w:val="00622D6B"/>
    <w:rsid w:val="00623F89"/>
    <w:rsid w:val="0064284C"/>
    <w:rsid w:val="00650A33"/>
    <w:rsid w:val="00665B57"/>
    <w:rsid w:val="00667B6F"/>
    <w:rsid w:val="00671078"/>
    <w:rsid w:val="00693648"/>
    <w:rsid w:val="006971C0"/>
    <w:rsid w:val="006A71C1"/>
    <w:rsid w:val="006A7872"/>
    <w:rsid w:val="006B1FC7"/>
    <w:rsid w:val="006B27AE"/>
    <w:rsid w:val="006C2846"/>
    <w:rsid w:val="006D0BFF"/>
    <w:rsid w:val="006D7E48"/>
    <w:rsid w:val="006F5AB6"/>
    <w:rsid w:val="00704C2D"/>
    <w:rsid w:val="007136B3"/>
    <w:rsid w:val="00713ACD"/>
    <w:rsid w:val="0071727E"/>
    <w:rsid w:val="00727D78"/>
    <w:rsid w:val="007347CA"/>
    <w:rsid w:val="007520E0"/>
    <w:rsid w:val="00763D92"/>
    <w:rsid w:val="00764A03"/>
    <w:rsid w:val="007668D9"/>
    <w:rsid w:val="00775B93"/>
    <w:rsid w:val="00781069"/>
    <w:rsid w:val="007844F5"/>
    <w:rsid w:val="007939BF"/>
    <w:rsid w:val="00793E46"/>
    <w:rsid w:val="007A53FF"/>
    <w:rsid w:val="007A7B97"/>
    <w:rsid w:val="007A7E6E"/>
    <w:rsid w:val="007C174F"/>
    <w:rsid w:val="007C1F2A"/>
    <w:rsid w:val="007C2F32"/>
    <w:rsid w:val="007D126C"/>
    <w:rsid w:val="007D1ADB"/>
    <w:rsid w:val="007E0C23"/>
    <w:rsid w:val="007E0C76"/>
    <w:rsid w:val="007E4263"/>
    <w:rsid w:val="007F051B"/>
    <w:rsid w:val="007F144E"/>
    <w:rsid w:val="007F5797"/>
    <w:rsid w:val="00806B31"/>
    <w:rsid w:val="00816F37"/>
    <w:rsid w:val="00826EAE"/>
    <w:rsid w:val="008319EE"/>
    <w:rsid w:val="00837371"/>
    <w:rsid w:val="0084014D"/>
    <w:rsid w:val="00844D4F"/>
    <w:rsid w:val="0086210D"/>
    <w:rsid w:val="00873BDE"/>
    <w:rsid w:val="0087748B"/>
    <w:rsid w:val="008876E2"/>
    <w:rsid w:val="008913AF"/>
    <w:rsid w:val="008926B9"/>
    <w:rsid w:val="008A07DD"/>
    <w:rsid w:val="008A2912"/>
    <w:rsid w:val="008A706C"/>
    <w:rsid w:val="008B0F99"/>
    <w:rsid w:val="008B1170"/>
    <w:rsid w:val="008B461B"/>
    <w:rsid w:val="008B78B0"/>
    <w:rsid w:val="008C27A4"/>
    <w:rsid w:val="008C6DED"/>
    <w:rsid w:val="008F3C4F"/>
    <w:rsid w:val="008F5D1A"/>
    <w:rsid w:val="009038A7"/>
    <w:rsid w:val="009050F9"/>
    <w:rsid w:val="009052D3"/>
    <w:rsid w:val="00910FF2"/>
    <w:rsid w:val="009239F1"/>
    <w:rsid w:val="00943686"/>
    <w:rsid w:val="009446C5"/>
    <w:rsid w:val="00952114"/>
    <w:rsid w:val="00952374"/>
    <w:rsid w:val="009641CB"/>
    <w:rsid w:val="009666A3"/>
    <w:rsid w:val="00970591"/>
    <w:rsid w:val="00974666"/>
    <w:rsid w:val="009940E4"/>
    <w:rsid w:val="009A33A3"/>
    <w:rsid w:val="009B0191"/>
    <w:rsid w:val="009C199E"/>
    <w:rsid w:val="009D04DF"/>
    <w:rsid w:val="009E17AA"/>
    <w:rsid w:val="009F713F"/>
    <w:rsid w:val="00A00C4A"/>
    <w:rsid w:val="00A01DFE"/>
    <w:rsid w:val="00A0254F"/>
    <w:rsid w:val="00A03413"/>
    <w:rsid w:val="00A06A2C"/>
    <w:rsid w:val="00A11CAF"/>
    <w:rsid w:val="00A16629"/>
    <w:rsid w:val="00A24E26"/>
    <w:rsid w:val="00A37DB5"/>
    <w:rsid w:val="00A4586C"/>
    <w:rsid w:val="00A61188"/>
    <w:rsid w:val="00A63AC0"/>
    <w:rsid w:val="00A74E29"/>
    <w:rsid w:val="00A848B2"/>
    <w:rsid w:val="00A84A09"/>
    <w:rsid w:val="00A84CB1"/>
    <w:rsid w:val="00A85740"/>
    <w:rsid w:val="00A927C3"/>
    <w:rsid w:val="00A96B50"/>
    <w:rsid w:val="00A97495"/>
    <w:rsid w:val="00AA2305"/>
    <w:rsid w:val="00AA4488"/>
    <w:rsid w:val="00AA77F1"/>
    <w:rsid w:val="00AA7A50"/>
    <w:rsid w:val="00AB114F"/>
    <w:rsid w:val="00AB4B8D"/>
    <w:rsid w:val="00AC167A"/>
    <w:rsid w:val="00AE2235"/>
    <w:rsid w:val="00AE5DCA"/>
    <w:rsid w:val="00AF04AD"/>
    <w:rsid w:val="00B00AB7"/>
    <w:rsid w:val="00B02195"/>
    <w:rsid w:val="00B12AEF"/>
    <w:rsid w:val="00B26650"/>
    <w:rsid w:val="00B45EB0"/>
    <w:rsid w:val="00B47CE4"/>
    <w:rsid w:val="00B5083C"/>
    <w:rsid w:val="00B519C6"/>
    <w:rsid w:val="00B6037E"/>
    <w:rsid w:val="00B65DAF"/>
    <w:rsid w:val="00B772FA"/>
    <w:rsid w:val="00B81737"/>
    <w:rsid w:val="00B960BD"/>
    <w:rsid w:val="00BA20BD"/>
    <w:rsid w:val="00BA3297"/>
    <w:rsid w:val="00BA3B7A"/>
    <w:rsid w:val="00BA5CA4"/>
    <w:rsid w:val="00BB1D72"/>
    <w:rsid w:val="00BB781D"/>
    <w:rsid w:val="00BC64FB"/>
    <w:rsid w:val="00BC7F8C"/>
    <w:rsid w:val="00BD0489"/>
    <w:rsid w:val="00BD14EC"/>
    <w:rsid w:val="00BD4AD4"/>
    <w:rsid w:val="00BE40C8"/>
    <w:rsid w:val="00C110C9"/>
    <w:rsid w:val="00C22DA6"/>
    <w:rsid w:val="00C2615D"/>
    <w:rsid w:val="00C363AB"/>
    <w:rsid w:val="00C41077"/>
    <w:rsid w:val="00C44C50"/>
    <w:rsid w:val="00C5066A"/>
    <w:rsid w:val="00C96C39"/>
    <w:rsid w:val="00CA30C8"/>
    <w:rsid w:val="00CA5DEF"/>
    <w:rsid w:val="00CB0487"/>
    <w:rsid w:val="00CB0CDC"/>
    <w:rsid w:val="00CB5A56"/>
    <w:rsid w:val="00CC1CCE"/>
    <w:rsid w:val="00CD1916"/>
    <w:rsid w:val="00CD6B5F"/>
    <w:rsid w:val="00CE4A99"/>
    <w:rsid w:val="00CF2140"/>
    <w:rsid w:val="00CF2491"/>
    <w:rsid w:val="00CF72BE"/>
    <w:rsid w:val="00D404AB"/>
    <w:rsid w:val="00D45EF2"/>
    <w:rsid w:val="00D50643"/>
    <w:rsid w:val="00D519F7"/>
    <w:rsid w:val="00D8039F"/>
    <w:rsid w:val="00D804F2"/>
    <w:rsid w:val="00D83424"/>
    <w:rsid w:val="00D96B33"/>
    <w:rsid w:val="00DA1485"/>
    <w:rsid w:val="00DA3215"/>
    <w:rsid w:val="00DA7082"/>
    <w:rsid w:val="00DA7774"/>
    <w:rsid w:val="00DB1448"/>
    <w:rsid w:val="00DB63D0"/>
    <w:rsid w:val="00DC156D"/>
    <w:rsid w:val="00DC29A5"/>
    <w:rsid w:val="00DC2E52"/>
    <w:rsid w:val="00DC40AB"/>
    <w:rsid w:val="00DD34CC"/>
    <w:rsid w:val="00DE1554"/>
    <w:rsid w:val="00DE167A"/>
    <w:rsid w:val="00E057F5"/>
    <w:rsid w:val="00E11E14"/>
    <w:rsid w:val="00E1217C"/>
    <w:rsid w:val="00E3115D"/>
    <w:rsid w:val="00E31BA1"/>
    <w:rsid w:val="00E31F22"/>
    <w:rsid w:val="00E47870"/>
    <w:rsid w:val="00E5464F"/>
    <w:rsid w:val="00E742FE"/>
    <w:rsid w:val="00E74F74"/>
    <w:rsid w:val="00E807C6"/>
    <w:rsid w:val="00E80C39"/>
    <w:rsid w:val="00E825FB"/>
    <w:rsid w:val="00E83105"/>
    <w:rsid w:val="00E86B02"/>
    <w:rsid w:val="00E921BD"/>
    <w:rsid w:val="00E931D8"/>
    <w:rsid w:val="00EA47E1"/>
    <w:rsid w:val="00EA4E00"/>
    <w:rsid w:val="00EB3657"/>
    <w:rsid w:val="00EB40A4"/>
    <w:rsid w:val="00EB7C77"/>
    <w:rsid w:val="00EC64D6"/>
    <w:rsid w:val="00EC665A"/>
    <w:rsid w:val="00EE2538"/>
    <w:rsid w:val="00EE2AB7"/>
    <w:rsid w:val="00EE4589"/>
    <w:rsid w:val="00EE4962"/>
    <w:rsid w:val="00EF1E5B"/>
    <w:rsid w:val="00F13C39"/>
    <w:rsid w:val="00F22C56"/>
    <w:rsid w:val="00F2335D"/>
    <w:rsid w:val="00F23518"/>
    <w:rsid w:val="00F2362E"/>
    <w:rsid w:val="00F260FA"/>
    <w:rsid w:val="00F36D17"/>
    <w:rsid w:val="00F375C1"/>
    <w:rsid w:val="00F416B5"/>
    <w:rsid w:val="00F41CE2"/>
    <w:rsid w:val="00F52CE5"/>
    <w:rsid w:val="00F549D7"/>
    <w:rsid w:val="00F60F7A"/>
    <w:rsid w:val="00F62FD4"/>
    <w:rsid w:val="00F70EBA"/>
    <w:rsid w:val="00F744B4"/>
    <w:rsid w:val="00F81C44"/>
    <w:rsid w:val="00F82122"/>
    <w:rsid w:val="00FA7283"/>
    <w:rsid w:val="00FC01C5"/>
    <w:rsid w:val="00FC6295"/>
    <w:rsid w:val="00FC6634"/>
    <w:rsid w:val="00FD25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D3837A"/>
  <w15:chartTrackingRefBased/>
  <w15:docId w15:val="{6A792086-56E3-422B-ABDD-87CE33061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52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77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744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424C0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20E0"/>
    <w:rPr>
      <w:color w:val="0563C1" w:themeColor="hyperlink"/>
      <w:u w:val="single"/>
    </w:rPr>
  </w:style>
  <w:style w:type="character" w:styleId="UnresolvedMention">
    <w:name w:val="Unresolved Mention"/>
    <w:basedOn w:val="DefaultParagraphFont"/>
    <w:uiPriority w:val="99"/>
    <w:semiHidden/>
    <w:unhideWhenUsed/>
    <w:rsid w:val="007520E0"/>
    <w:rPr>
      <w:color w:val="605E5C"/>
      <w:shd w:val="clear" w:color="auto" w:fill="E1DFDD"/>
    </w:rPr>
  </w:style>
  <w:style w:type="paragraph" w:styleId="Header">
    <w:name w:val="header"/>
    <w:basedOn w:val="Normal"/>
    <w:link w:val="HeaderChar"/>
    <w:uiPriority w:val="99"/>
    <w:unhideWhenUsed/>
    <w:rsid w:val="003813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1356"/>
  </w:style>
  <w:style w:type="paragraph" w:styleId="Footer">
    <w:name w:val="footer"/>
    <w:basedOn w:val="Normal"/>
    <w:link w:val="FooterChar"/>
    <w:uiPriority w:val="99"/>
    <w:unhideWhenUsed/>
    <w:rsid w:val="003813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1356"/>
  </w:style>
  <w:style w:type="character" w:customStyle="1" w:styleId="Heading1Char">
    <w:name w:val="Heading 1 Char"/>
    <w:basedOn w:val="DefaultParagraphFont"/>
    <w:link w:val="Heading1"/>
    <w:uiPriority w:val="9"/>
    <w:rsid w:val="002B526F"/>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E121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47444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70591"/>
    <w:pPr>
      <w:ind w:left="720"/>
      <w:contextualSpacing/>
    </w:pPr>
  </w:style>
  <w:style w:type="character" w:customStyle="1" w:styleId="Heading5Char">
    <w:name w:val="Heading 5 Char"/>
    <w:basedOn w:val="DefaultParagraphFont"/>
    <w:link w:val="Heading5"/>
    <w:uiPriority w:val="9"/>
    <w:semiHidden/>
    <w:rsid w:val="00424C01"/>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3E18BF"/>
    <w:rPr>
      <w:color w:val="954F72" w:themeColor="followedHyperlink"/>
      <w:u w:val="single"/>
    </w:rPr>
  </w:style>
  <w:style w:type="character" w:customStyle="1" w:styleId="Heading2Char">
    <w:name w:val="Heading 2 Char"/>
    <w:basedOn w:val="DefaultParagraphFont"/>
    <w:link w:val="Heading2"/>
    <w:uiPriority w:val="9"/>
    <w:rsid w:val="00AA77F1"/>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AA77F1"/>
    <w:pPr>
      <w:outlineLvl w:val="9"/>
    </w:pPr>
    <w:rPr>
      <w:lang w:eastAsia="en-US"/>
    </w:rPr>
  </w:style>
  <w:style w:type="paragraph" w:styleId="TOC1">
    <w:name w:val="toc 1"/>
    <w:basedOn w:val="Normal"/>
    <w:next w:val="Normal"/>
    <w:autoRedefine/>
    <w:uiPriority w:val="39"/>
    <w:unhideWhenUsed/>
    <w:rsid w:val="00AA77F1"/>
    <w:pPr>
      <w:spacing w:after="100"/>
    </w:pPr>
  </w:style>
  <w:style w:type="paragraph" w:styleId="TOC2">
    <w:name w:val="toc 2"/>
    <w:basedOn w:val="Normal"/>
    <w:next w:val="Normal"/>
    <w:autoRedefine/>
    <w:uiPriority w:val="39"/>
    <w:unhideWhenUsed/>
    <w:rsid w:val="00AA77F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067032">
      <w:bodyDiv w:val="1"/>
      <w:marLeft w:val="0"/>
      <w:marRight w:val="0"/>
      <w:marTop w:val="0"/>
      <w:marBottom w:val="0"/>
      <w:divBdr>
        <w:top w:val="none" w:sz="0" w:space="0" w:color="auto"/>
        <w:left w:val="none" w:sz="0" w:space="0" w:color="auto"/>
        <w:bottom w:val="none" w:sz="0" w:space="0" w:color="auto"/>
        <w:right w:val="none" w:sz="0" w:space="0" w:color="auto"/>
      </w:divBdr>
    </w:div>
    <w:div w:id="224460994">
      <w:bodyDiv w:val="1"/>
      <w:marLeft w:val="0"/>
      <w:marRight w:val="0"/>
      <w:marTop w:val="0"/>
      <w:marBottom w:val="0"/>
      <w:divBdr>
        <w:top w:val="none" w:sz="0" w:space="0" w:color="auto"/>
        <w:left w:val="none" w:sz="0" w:space="0" w:color="auto"/>
        <w:bottom w:val="none" w:sz="0" w:space="0" w:color="auto"/>
        <w:right w:val="none" w:sz="0" w:space="0" w:color="auto"/>
      </w:divBdr>
      <w:divsChild>
        <w:div w:id="1520460902">
          <w:marLeft w:val="0"/>
          <w:marRight w:val="0"/>
          <w:marTop w:val="0"/>
          <w:marBottom w:val="0"/>
          <w:divBdr>
            <w:top w:val="none" w:sz="0" w:space="0" w:color="auto"/>
            <w:left w:val="none" w:sz="0" w:space="0" w:color="auto"/>
            <w:bottom w:val="none" w:sz="0" w:space="0" w:color="auto"/>
            <w:right w:val="none" w:sz="0" w:space="0" w:color="auto"/>
          </w:divBdr>
          <w:divsChild>
            <w:div w:id="712659672">
              <w:marLeft w:val="0"/>
              <w:marRight w:val="0"/>
              <w:marTop w:val="0"/>
              <w:marBottom w:val="0"/>
              <w:divBdr>
                <w:top w:val="none" w:sz="0" w:space="0" w:color="auto"/>
                <w:left w:val="none" w:sz="0" w:space="0" w:color="auto"/>
                <w:bottom w:val="none" w:sz="0" w:space="0" w:color="auto"/>
                <w:right w:val="none" w:sz="0" w:space="0" w:color="auto"/>
              </w:divBdr>
              <w:divsChild>
                <w:div w:id="44250210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326396136">
          <w:marLeft w:val="0"/>
          <w:marRight w:val="0"/>
          <w:marTop w:val="0"/>
          <w:marBottom w:val="0"/>
          <w:divBdr>
            <w:top w:val="none" w:sz="0" w:space="0" w:color="auto"/>
            <w:left w:val="none" w:sz="0" w:space="0" w:color="auto"/>
            <w:bottom w:val="none" w:sz="0" w:space="0" w:color="auto"/>
            <w:right w:val="none" w:sz="0" w:space="0" w:color="auto"/>
          </w:divBdr>
          <w:divsChild>
            <w:div w:id="2020039044">
              <w:marLeft w:val="0"/>
              <w:marRight w:val="0"/>
              <w:marTop w:val="0"/>
              <w:marBottom w:val="0"/>
              <w:divBdr>
                <w:top w:val="none" w:sz="0" w:space="0" w:color="auto"/>
                <w:left w:val="none" w:sz="0" w:space="0" w:color="auto"/>
                <w:bottom w:val="none" w:sz="0" w:space="0" w:color="auto"/>
                <w:right w:val="none" w:sz="0" w:space="0" w:color="auto"/>
              </w:divBdr>
              <w:divsChild>
                <w:div w:id="1578175865">
                  <w:marLeft w:val="0"/>
                  <w:marRight w:val="0"/>
                  <w:marTop w:val="0"/>
                  <w:marBottom w:val="0"/>
                  <w:divBdr>
                    <w:top w:val="none" w:sz="0" w:space="0" w:color="auto"/>
                    <w:left w:val="none" w:sz="0" w:space="0" w:color="auto"/>
                    <w:bottom w:val="none" w:sz="0" w:space="0" w:color="auto"/>
                    <w:right w:val="none" w:sz="0" w:space="0" w:color="auto"/>
                  </w:divBdr>
                  <w:divsChild>
                    <w:div w:id="2013753680">
                      <w:marLeft w:val="0"/>
                      <w:marRight w:val="0"/>
                      <w:marTop w:val="0"/>
                      <w:marBottom w:val="0"/>
                      <w:divBdr>
                        <w:top w:val="none" w:sz="0" w:space="0" w:color="auto"/>
                        <w:left w:val="none" w:sz="0" w:space="0" w:color="auto"/>
                        <w:bottom w:val="none" w:sz="0" w:space="0" w:color="auto"/>
                        <w:right w:val="none" w:sz="0" w:space="0" w:color="auto"/>
                      </w:divBdr>
                      <w:divsChild>
                        <w:div w:id="1145390311">
                          <w:marLeft w:val="0"/>
                          <w:marRight w:val="0"/>
                          <w:marTop w:val="0"/>
                          <w:marBottom w:val="0"/>
                          <w:divBdr>
                            <w:top w:val="none" w:sz="0" w:space="0" w:color="auto"/>
                            <w:left w:val="none" w:sz="0" w:space="0" w:color="auto"/>
                            <w:bottom w:val="none" w:sz="0" w:space="0" w:color="auto"/>
                            <w:right w:val="none" w:sz="0" w:space="0" w:color="auto"/>
                          </w:divBdr>
                          <w:divsChild>
                            <w:div w:id="104472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86431">
                      <w:marLeft w:val="0"/>
                      <w:marRight w:val="0"/>
                      <w:marTop w:val="0"/>
                      <w:marBottom w:val="0"/>
                      <w:divBdr>
                        <w:top w:val="none" w:sz="0" w:space="0" w:color="auto"/>
                        <w:left w:val="none" w:sz="0" w:space="0" w:color="auto"/>
                        <w:bottom w:val="none" w:sz="0" w:space="0" w:color="auto"/>
                        <w:right w:val="none" w:sz="0" w:space="0" w:color="auto"/>
                      </w:divBdr>
                      <w:divsChild>
                        <w:div w:id="413481518">
                          <w:marLeft w:val="0"/>
                          <w:marRight w:val="0"/>
                          <w:marTop w:val="0"/>
                          <w:marBottom w:val="60"/>
                          <w:divBdr>
                            <w:top w:val="none" w:sz="0" w:space="0" w:color="auto"/>
                            <w:left w:val="none" w:sz="0" w:space="0" w:color="auto"/>
                            <w:bottom w:val="none" w:sz="0" w:space="0" w:color="auto"/>
                            <w:right w:val="none" w:sz="0" w:space="0" w:color="auto"/>
                          </w:divBdr>
                          <w:divsChild>
                            <w:div w:id="1114783699">
                              <w:marLeft w:val="0"/>
                              <w:marRight w:val="0"/>
                              <w:marTop w:val="0"/>
                              <w:marBottom w:val="0"/>
                              <w:divBdr>
                                <w:top w:val="none" w:sz="0" w:space="0" w:color="auto"/>
                                <w:left w:val="none" w:sz="0" w:space="0" w:color="auto"/>
                                <w:bottom w:val="none" w:sz="0" w:space="0" w:color="auto"/>
                                <w:right w:val="none" w:sz="0" w:space="0" w:color="auto"/>
                              </w:divBdr>
                              <w:divsChild>
                                <w:div w:id="1923566806">
                                  <w:marLeft w:val="0"/>
                                  <w:marRight w:val="0"/>
                                  <w:marTop w:val="0"/>
                                  <w:marBottom w:val="0"/>
                                  <w:divBdr>
                                    <w:top w:val="none" w:sz="0" w:space="0" w:color="auto"/>
                                    <w:left w:val="none" w:sz="0" w:space="0" w:color="auto"/>
                                    <w:bottom w:val="none" w:sz="0" w:space="0" w:color="auto"/>
                                    <w:right w:val="none" w:sz="0" w:space="0" w:color="auto"/>
                                  </w:divBdr>
                                  <w:divsChild>
                                    <w:div w:id="29256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2287274">
      <w:bodyDiv w:val="1"/>
      <w:marLeft w:val="0"/>
      <w:marRight w:val="0"/>
      <w:marTop w:val="0"/>
      <w:marBottom w:val="0"/>
      <w:divBdr>
        <w:top w:val="none" w:sz="0" w:space="0" w:color="auto"/>
        <w:left w:val="none" w:sz="0" w:space="0" w:color="auto"/>
        <w:bottom w:val="none" w:sz="0" w:space="0" w:color="auto"/>
        <w:right w:val="none" w:sz="0" w:space="0" w:color="auto"/>
      </w:divBdr>
      <w:divsChild>
        <w:div w:id="107042739">
          <w:marLeft w:val="0"/>
          <w:marRight w:val="0"/>
          <w:marTop w:val="0"/>
          <w:marBottom w:val="0"/>
          <w:divBdr>
            <w:top w:val="none" w:sz="0" w:space="0" w:color="auto"/>
            <w:left w:val="none" w:sz="0" w:space="0" w:color="auto"/>
            <w:bottom w:val="none" w:sz="0" w:space="0" w:color="auto"/>
            <w:right w:val="none" w:sz="0" w:space="0" w:color="auto"/>
          </w:divBdr>
          <w:divsChild>
            <w:div w:id="82383817">
              <w:marLeft w:val="0"/>
              <w:marRight w:val="0"/>
              <w:marTop w:val="0"/>
              <w:marBottom w:val="0"/>
              <w:divBdr>
                <w:top w:val="none" w:sz="0" w:space="0" w:color="auto"/>
                <w:left w:val="none" w:sz="0" w:space="0" w:color="auto"/>
                <w:bottom w:val="none" w:sz="0" w:space="0" w:color="auto"/>
                <w:right w:val="none" w:sz="0" w:space="0" w:color="auto"/>
              </w:divBdr>
              <w:divsChild>
                <w:div w:id="554195027">
                  <w:marLeft w:val="-240"/>
                  <w:marRight w:val="0"/>
                  <w:marTop w:val="0"/>
                  <w:marBottom w:val="0"/>
                  <w:divBdr>
                    <w:top w:val="none" w:sz="0" w:space="0" w:color="auto"/>
                    <w:left w:val="none" w:sz="0" w:space="0" w:color="auto"/>
                    <w:bottom w:val="none" w:sz="0" w:space="0" w:color="auto"/>
                    <w:right w:val="none" w:sz="0" w:space="0" w:color="auto"/>
                  </w:divBdr>
                  <w:divsChild>
                    <w:div w:id="4098175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941730">
          <w:marLeft w:val="0"/>
          <w:marRight w:val="0"/>
          <w:marTop w:val="0"/>
          <w:marBottom w:val="0"/>
          <w:divBdr>
            <w:top w:val="single" w:sz="6" w:space="18" w:color="D0D2D3"/>
            <w:left w:val="none" w:sz="0" w:space="0" w:color="auto"/>
            <w:bottom w:val="none" w:sz="0" w:space="0" w:color="auto"/>
            <w:right w:val="none" w:sz="0" w:space="0" w:color="auto"/>
          </w:divBdr>
          <w:divsChild>
            <w:div w:id="212529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00049">
      <w:bodyDiv w:val="1"/>
      <w:marLeft w:val="0"/>
      <w:marRight w:val="0"/>
      <w:marTop w:val="0"/>
      <w:marBottom w:val="0"/>
      <w:divBdr>
        <w:top w:val="none" w:sz="0" w:space="0" w:color="auto"/>
        <w:left w:val="none" w:sz="0" w:space="0" w:color="auto"/>
        <w:bottom w:val="none" w:sz="0" w:space="0" w:color="auto"/>
        <w:right w:val="none" w:sz="0" w:space="0" w:color="auto"/>
      </w:divBdr>
      <w:divsChild>
        <w:div w:id="1253470229">
          <w:marLeft w:val="0"/>
          <w:marRight w:val="0"/>
          <w:marTop w:val="0"/>
          <w:marBottom w:val="0"/>
          <w:divBdr>
            <w:top w:val="single" w:sz="2" w:space="0" w:color="D9D9E3"/>
            <w:left w:val="single" w:sz="2" w:space="0" w:color="D9D9E3"/>
            <w:bottom w:val="single" w:sz="2" w:space="0" w:color="D9D9E3"/>
            <w:right w:val="single" w:sz="2" w:space="0" w:color="D9D9E3"/>
          </w:divBdr>
          <w:divsChild>
            <w:div w:id="1913855947">
              <w:marLeft w:val="0"/>
              <w:marRight w:val="0"/>
              <w:marTop w:val="0"/>
              <w:marBottom w:val="0"/>
              <w:divBdr>
                <w:top w:val="single" w:sz="2" w:space="0" w:color="D9D9E3"/>
                <w:left w:val="single" w:sz="2" w:space="0" w:color="D9D9E3"/>
                <w:bottom w:val="single" w:sz="2" w:space="0" w:color="D9D9E3"/>
                <w:right w:val="single" w:sz="2" w:space="0" w:color="D9D9E3"/>
              </w:divBdr>
              <w:divsChild>
                <w:div w:id="1294214083">
                  <w:marLeft w:val="0"/>
                  <w:marRight w:val="0"/>
                  <w:marTop w:val="0"/>
                  <w:marBottom w:val="0"/>
                  <w:divBdr>
                    <w:top w:val="single" w:sz="2" w:space="0" w:color="D9D9E3"/>
                    <w:left w:val="single" w:sz="2" w:space="0" w:color="D9D9E3"/>
                    <w:bottom w:val="single" w:sz="2" w:space="0" w:color="D9D9E3"/>
                    <w:right w:val="single" w:sz="2" w:space="0" w:color="D9D9E3"/>
                  </w:divBdr>
                  <w:divsChild>
                    <w:div w:id="1495682235">
                      <w:marLeft w:val="0"/>
                      <w:marRight w:val="0"/>
                      <w:marTop w:val="0"/>
                      <w:marBottom w:val="0"/>
                      <w:divBdr>
                        <w:top w:val="single" w:sz="2" w:space="0" w:color="D9D9E3"/>
                        <w:left w:val="single" w:sz="2" w:space="0" w:color="D9D9E3"/>
                        <w:bottom w:val="single" w:sz="2" w:space="0" w:color="D9D9E3"/>
                        <w:right w:val="single" w:sz="2" w:space="0" w:color="D9D9E3"/>
                      </w:divBdr>
                      <w:divsChild>
                        <w:div w:id="1083723000">
                          <w:marLeft w:val="0"/>
                          <w:marRight w:val="0"/>
                          <w:marTop w:val="0"/>
                          <w:marBottom w:val="0"/>
                          <w:divBdr>
                            <w:top w:val="single" w:sz="2" w:space="0" w:color="auto"/>
                            <w:left w:val="single" w:sz="2" w:space="0" w:color="auto"/>
                            <w:bottom w:val="single" w:sz="6" w:space="0" w:color="auto"/>
                            <w:right w:val="single" w:sz="2" w:space="0" w:color="auto"/>
                          </w:divBdr>
                          <w:divsChild>
                            <w:div w:id="1266843025">
                              <w:marLeft w:val="0"/>
                              <w:marRight w:val="0"/>
                              <w:marTop w:val="100"/>
                              <w:marBottom w:val="100"/>
                              <w:divBdr>
                                <w:top w:val="single" w:sz="2" w:space="0" w:color="D9D9E3"/>
                                <w:left w:val="single" w:sz="2" w:space="0" w:color="D9D9E3"/>
                                <w:bottom w:val="single" w:sz="2" w:space="0" w:color="D9D9E3"/>
                                <w:right w:val="single" w:sz="2" w:space="0" w:color="D9D9E3"/>
                              </w:divBdr>
                              <w:divsChild>
                                <w:div w:id="1487625645">
                                  <w:marLeft w:val="0"/>
                                  <w:marRight w:val="0"/>
                                  <w:marTop w:val="0"/>
                                  <w:marBottom w:val="0"/>
                                  <w:divBdr>
                                    <w:top w:val="single" w:sz="2" w:space="0" w:color="D9D9E3"/>
                                    <w:left w:val="single" w:sz="2" w:space="0" w:color="D9D9E3"/>
                                    <w:bottom w:val="single" w:sz="2" w:space="0" w:color="D9D9E3"/>
                                    <w:right w:val="single" w:sz="2" w:space="0" w:color="D9D9E3"/>
                                  </w:divBdr>
                                  <w:divsChild>
                                    <w:div w:id="1879470694">
                                      <w:marLeft w:val="0"/>
                                      <w:marRight w:val="0"/>
                                      <w:marTop w:val="0"/>
                                      <w:marBottom w:val="0"/>
                                      <w:divBdr>
                                        <w:top w:val="single" w:sz="2" w:space="0" w:color="D9D9E3"/>
                                        <w:left w:val="single" w:sz="2" w:space="0" w:color="D9D9E3"/>
                                        <w:bottom w:val="single" w:sz="2" w:space="0" w:color="D9D9E3"/>
                                        <w:right w:val="single" w:sz="2" w:space="0" w:color="D9D9E3"/>
                                      </w:divBdr>
                                      <w:divsChild>
                                        <w:div w:id="1499228160">
                                          <w:marLeft w:val="0"/>
                                          <w:marRight w:val="0"/>
                                          <w:marTop w:val="0"/>
                                          <w:marBottom w:val="0"/>
                                          <w:divBdr>
                                            <w:top w:val="single" w:sz="2" w:space="0" w:color="D9D9E3"/>
                                            <w:left w:val="single" w:sz="2" w:space="0" w:color="D9D9E3"/>
                                            <w:bottom w:val="single" w:sz="2" w:space="0" w:color="D9D9E3"/>
                                            <w:right w:val="single" w:sz="2" w:space="0" w:color="D9D9E3"/>
                                          </w:divBdr>
                                          <w:divsChild>
                                            <w:div w:id="1831628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61573574">
          <w:marLeft w:val="0"/>
          <w:marRight w:val="0"/>
          <w:marTop w:val="0"/>
          <w:marBottom w:val="0"/>
          <w:divBdr>
            <w:top w:val="none" w:sz="0" w:space="0" w:color="auto"/>
            <w:left w:val="none" w:sz="0" w:space="0" w:color="auto"/>
            <w:bottom w:val="none" w:sz="0" w:space="0" w:color="auto"/>
            <w:right w:val="none" w:sz="0" w:space="0" w:color="auto"/>
          </w:divBdr>
        </w:div>
      </w:divsChild>
    </w:div>
    <w:div w:id="792091209">
      <w:bodyDiv w:val="1"/>
      <w:marLeft w:val="0"/>
      <w:marRight w:val="0"/>
      <w:marTop w:val="0"/>
      <w:marBottom w:val="0"/>
      <w:divBdr>
        <w:top w:val="none" w:sz="0" w:space="0" w:color="auto"/>
        <w:left w:val="none" w:sz="0" w:space="0" w:color="auto"/>
        <w:bottom w:val="none" w:sz="0" w:space="0" w:color="auto"/>
        <w:right w:val="none" w:sz="0" w:space="0" w:color="auto"/>
      </w:divBdr>
    </w:div>
    <w:div w:id="1107852001">
      <w:bodyDiv w:val="1"/>
      <w:marLeft w:val="0"/>
      <w:marRight w:val="0"/>
      <w:marTop w:val="0"/>
      <w:marBottom w:val="0"/>
      <w:divBdr>
        <w:top w:val="none" w:sz="0" w:space="0" w:color="auto"/>
        <w:left w:val="none" w:sz="0" w:space="0" w:color="auto"/>
        <w:bottom w:val="none" w:sz="0" w:space="0" w:color="auto"/>
        <w:right w:val="none" w:sz="0" w:space="0" w:color="auto"/>
      </w:divBdr>
    </w:div>
    <w:div w:id="1149640306">
      <w:bodyDiv w:val="1"/>
      <w:marLeft w:val="0"/>
      <w:marRight w:val="0"/>
      <w:marTop w:val="0"/>
      <w:marBottom w:val="0"/>
      <w:divBdr>
        <w:top w:val="none" w:sz="0" w:space="0" w:color="auto"/>
        <w:left w:val="none" w:sz="0" w:space="0" w:color="auto"/>
        <w:bottom w:val="none" w:sz="0" w:space="0" w:color="auto"/>
        <w:right w:val="none" w:sz="0" w:space="0" w:color="auto"/>
      </w:divBdr>
    </w:div>
    <w:div w:id="1189953341">
      <w:bodyDiv w:val="1"/>
      <w:marLeft w:val="0"/>
      <w:marRight w:val="0"/>
      <w:marTop w:val="0"/>
      <w:marBottom w:val="0"/>
      <w:divBdr>
        <w:top w:val="none" w:sz="0" w:space="0" w:color="auto"/>
        <w:left w:val="none" w:sz="0" w:space="0" w:color="auto"/>
        <w:bottom w:val="none" w:sz="0" w:space="0" w:color="auto"/>
        <w:right w:val="none" w:sz="0" w:space="0" w:color="auto"/>
      </w:divBdr>
    </w:div>
    <w:div w:id="1393965926">
      <w:bodyDiv w:val="1"/>
      <w:marLeft w:val="0"/>
      <w:marRight w:val="0"/>
      <w:marTop w:val="0"/>
      <w:marBottom w:val="0"/>
      <w:divBdr>
        <w:top w:val="none" w:sz="0" w:space="0" w:color="auto"/>
        <w:left w:val="none" w:sz="0" w:space="0" w:color="auto"/>
        <w:bottom w:val="none" w:sz="0" w:space="0" w:color="auto"/>
        <w:right w:val="none" w:sz="0" w:space="0" w:color="auto"/>
      </w:divBdr>
    </w:div>
    <w:div w:id="1402215067">
      <w:bodyDiv w:val="1"/>
      <w:marLeft w:val="0"/>
      <w:marRight w:val="0"/>
      <w:marTop w:val="0"/>
      <w:marBottom w:val="0"/>
      <w:divBdr>
        <w:top w:val="none" w:sz="0" w:space="0" w:color="auto"/>
        <w:left w:val="none" w:sz="0" w:space="0" w:color="auto"/>
        <w:bottom w:val="none" w:sz="0" w:space="0" w:color="auto"/>
        <w:right w:val="none" w:sz="0" w:space="0" w:color="auto"/>
      </w:divBdr>
    </w:div>
    <w:div w:id="1582182003">
      <w:bodyDiv w:val="1"/>
      <w:marLeft w:val="0"/>
      <w:marRight w:val="0"/>
      <w:marTop w:val="0"/>
      <w:marBottom w:val="0"/>
      <w:divBdr>
        <w:top w:val="none" w:sz="0" w:space="0" w:color="auto"/>
        <w:left w:val="none" w:sz="0" w:space="0" w:color="auto"/>
        <w:bottom w:val="none" w:sz="0" w:space="0" w:color="auto"/>
        <w:right w:val="none" w:sz="0" w:space="0" w:color="auto"/>
      </w:divBdr>
    </w:div>
    <w:div w:id="1611012842">
      <w:bodyDiv w:val="1"/>
      <w:marLeft w:val="0"/>
      <w:marRight w:val="0"/>
      <w:marTop w:val="0"/>
      <w:marBottom w:val="0"/>
      <w:divBdr>
        <w:top w:val="none" w:sz="0" w:space="0" w:color="auto"/>
        <w:left w:val="none" w:sz="0" w:space="0" w:color="auto"/>
        <w:bottom w:val="none" w:sz="0" w:space="0" w:color="auto"/>
        <w:right w:val="none" w:sz="0" w:space="0" w:color="auto"/>
      </w:divBdr>
    </w:div>
    <w:div w:id="1908567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archive.org/details/twitterstream?tab=collection&amp;sort=-publicdate&amp;and%5B%5D=year%3A%222013"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www.archive.org"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ons.gov.uk/employmentandlabourmarket/peopleinwork/earningsandworkinghours/datasets/averageweeklyearning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hyperlink" Target="https://developer.twitter.com/en/docs/twitter-api/v1"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hyperlink" Target="https://www.ons.gov.uk/employmentandlabourmarket/peopleinwork/publicsectorpersonnel/datasets/publicsectoremploymenttimeseriesdataset"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developer.twitter.com/en/docs/twitter-api/getting-started/getting-access-to-the-twitter-api"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www.ofx.com" TargetMode="External"/><Relationship Id="rId27" Type="http://schemas.openxmlformats.org/officeDocument/2006/relationships/hyperlink" Target="https://developer.twitter.com/en/docs/tutorials/determining-tweet-types" TargetMode="External"/><Relationship Id="rId30" Type="http://schemas.openxmlformats.org/officeDocument/2006/relationships/hyperlink" Target="https://www.ofx.com/en-ie/forex-news/historical-exchange-rates/yearly-average-rates/" TargetMode="External"/><Relationship Id="rId8" Type="http://schemas.openxmlformats.org/officeDocument/2006/relationships/hyperlink" Target="http://www.ine.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B3CA33-A5C1-49A0-B693-87F19F4CF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1872</TotalTime>
  <Pages>14</Pages>
  <Words>1885</Words>
  <Characters>10747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Montes, Carlos</dc:creator>
  <cp:keywords/>
  <dc:description/>
  <cp:lastModifiedBy>Montes, Carlos</cp:lastModifiedBy>
  <cp:revision>388</cp:revision>
  <dcterms:created xsi:type="dcterms:W3CDTF">2023-07-07T21:38:00Z</dcterms:created>
  <dcterms:modified xsi:type="dcterms:W3CDTF">2023-08-06T22:15:00Z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ad3be33-4108-4738-9e07-d8656a181486_Enabled">
    <vt:lpwstr>true</vt:lpwstr>
  </property>
  <property fmtid="{D5CDD505-2E9C-101B-9397-08002B2CF9AE}" pid="3" name="MSIP_Label_dad3be33-4108-4738-9e07-d8656a181486_SetDate">
    <vt:lpwstr>2023-07-07T20:20:43Z</vt:lpwstr>
  </property>
  <property fmtid="{D5CDD505-2E9C-101B-9397-08002B2CF9AE}" pid="4" name="MSIP_Label_dad3be33-4108-4738-9e07-d8656a181486_Method">
    <vt:lpwstr>Privileged</vt:lpwstr>
  </property>
  <property fmtid="{D5CDD505-2E9C-101B-9397-08002B2CF9AE}" pid="5" name="MSIP_Label_dad3be33-4108-4738-9e07-d8656a181486_Name">
    <vt:lpwstr>Public No Visual Label</vt:lpwstr>
  </property>
  <property fmtid="{D5CDD505-2E9C-101B-9397-08002B2CF9AE}" pid="6" name="MSIP_Label_dad3be33-4108-4738-9e07-d8656a181486_SiteId">
    <vt:lpwstr>945c199a-83a2-4e80-9f8c-5a91be5752dd</vt:lpwstr>
  </property>
  <property fmtid="{D5CDD505-2E9C-101B-9397-08002B2CF9AE}" pid="7" name="MSIP_Label_dad3be33-4108-4738-9e07-d8656a181486_ActionId">
    <vt:lpwstr>417d9646-f19d-49e7-b6f9-68a26c840f63</vt:lpwstr>
  </property>
  <property fmtid="{D5CDD505-2E9C-101B-9397-08002B2CF9AE}" pid="8" name="MSIP_Label_dad3be33-4108-4738-9e07-d8656a181486_ContentBits">
    <vt:lpwstr>0</vt:lpwstr>
  </property>
</Properties>
</file>