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r>
        <w:fldChar w:fldCharType="begin"/>
      </w:r>
      <w:r>
        <w:instrText xml:space="preserve"> HYPERLINK "https://github.com/Carloselrecharlie/ML_assessment_repeat.git" </w:instrText>
      </w:r>
      <w:r>
        <w:fldChar w:fldCharType="separate"/>
      </w:r>
      <w:proofErr w:type="spellStart"/>
      <w:r w:rsidR="007E0C76" w:rsidRPr="00133A61">
        <w:rPr>
          <w:rStyle w:val="Hyperlink"/>
        </w:rPr>
        <w:t>Github</w:t>
      </w:r>
      <w:proofErr w:type="spellEnd"/>
      <w:r w:rsidR="007E0C76" w:rsidRPr="00133A61">
        <w:rPr>
          <w:rStyle w:val="Hyperlink"/>
        </w:rPr>
        <w:t xml:space="preserve"> link</w:t>
      </w:r>
      <w:r>
        <w:rPr>
          <w:rStyle w:val="Hyperlink"/>
        </w:rPr>
        <w:fldChar w:fldCharType="end"/>
      </w:r>
    </w:p>
    <w:p w14:paraId="5D244B37" w14:textId="22AFC871" w:rsidR="002471C4" w:rsidRDefault="004B1109" w:rsidP="008319EE">
      <w:pPr>
        <w:pStyle w:val="Heading1"/>
      </w:pPr>
      <w:r>
        <w:t>Introduction</w:t>
      </w:r>
    </w:p>
    <w:p w14:paraId="44501270" w14:textId="2FEF949F" w:rsidR="002F3FCB" w:rsidRDefault="002471C4" w:rsidP="004B1109">
      <w:r>
        <w:t xml:space="preserve">The source data from Ireland </w:t>
      </w:r>
      <w:r w:rsidR="004B12B1">
        <w:t>(</w:t>
      </w:r>
      <w:r w:rsidR="004B12B1">
        <w:rPr>
          <w:i/>
          <w:iCs/>
        </w:rPr>
        <w:t>EHQ10 - Public Sector Employment and earnings</w:t>
      </w:r>
      <w:r w:rsidR="004B12B1">
        <w:t xml:space="preserve"> 2023) </w:t>
      </w:r>
      <w:r w:rsidR="00424C01">
        <w:t>is l</w:t>
      </w:r>
      <w:r w:rsidR="00424C01" w:rsidRPr="00424C01">
        <w:t>icensed under</w:t>
      </w:r>
      <w:r w:rsidR="00424C01">
        <w:t xml:space="preserve"> </w:t>
      </w:r>
      <w:r w:rsidR="00424C01" w:rsidRPr="00424C01">
        <w:t>Creative Commons Attribution 4.0</w:t>
      </w:r>
      <w:r w:rsidR="00E742FE">
        <w:t xml:space="preserve">. </w:t>
      </w:r>
      <w:r w:rsidR="004B1109">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w:t>
      </w:r>
      <w:r w:rsidR="00F70EBA">
        <w:t>And according to t</w:t>
      </w:r>
      <w:r w:rsidR="0015439B">
        <w:t>hat notice</w:t>
      </w:r>
      <w:r w:rsidR="006038A6">
        <w:t xml:space="preserve"> this </w:t>
      </w:r>
      <w:r w:rsidR="00837371">
        <w:t>document is referenced as “</w:t>
      </w:r>
      <w:r w:rsidR="00837371" w:rsidRPr="00837371">
        <w:t xml:space="preserve">Own compilation with data taken from the INE website: </w:t>
      </w:r>
      <w:hyperlink r:id="rId7" w:history="1">
        <w:r w:rsidR="00837371" w:rsidRPr="00F70F98">
          <w:rPr>
            <w:rStyle w:val="Hyperlink"/>
          </w:rPr>
          <w:t>www.ine.es</w:t>
        </w:r>
      </w:hyperlink>
      <w:r w:rsidR="00837371">
        <w:t>”</w:t>
      </w:r>
      <w:r w:rsidR="0015439B">
        <w:t xml:space="preserve">, being </w:t>
      </w:r>
      <w:r w:rsidR="00BA20BD">
        <w:t xml:space="preserve">the source data updated up to the first </w:t>
      </w:r>
      <w:r w:rsidR="002E700B">
        <w:t>quarter</w:t>
      </w:r>
      <w:r w:rsidR="00BA20BD">
        <w:t xml:space="preserve"> of </w:t>
      </w:r>
      <w:r w:rsidR="00BA20BD" w:rsidRPr="00BA20BD">
        <w:t>2023</w:t>
      </w:r>
      <w:r w:rsidR="00BA20BD">
        <w:t>.</w:t>
      </w:r>
      <w:r w:rsidR="00BB781D">
        <w:t xml:space="preserve"> Finally the data from the United Kingdom</w:t>
      </w:r>
      <w:r w:rsidR="00164646">
        <w:t xml:space="preserve"> (ONS 2023)</w:t>
      </w:r>
      <w:r w:rsidR="00527460">
        <w:t xml:space="preserve"> </w:t>
      </w:r>
      <w:r w:rsidR="00527460" w:rsidRPr="00527460">
        <w:t xml:space="preserve">is published under the Open Government </w:t>
      </w:r>
      <w:r w:rsidR="00540817" w:rsidRPr="00527460">
        <w:t>License</w:t>
      </w:r>
      <w:r w:rsidR="00527460" w:rsidRPr="00527460">
        <w:t xml:space="preserve"> (OGL)</w:t>
      </w:r>
      <w:r w:rsidR="00067C61">
        <w:t>.</w:t>
      </w:r>
    </w:p>
    <w:p w14:paraId="5FE40E01" w14:textId="6F2EC676" w:rsidR="009446C5" w:rsidRDefault="00BB781D" w:rsidP="004B1109">
      <w:r>
        <w:t xml:space="preserve"> </w:t>
      </w:r>
      <w:r w:rsidR="00781069" w:rsidRPr="00781069">
        <w:t xml:space="preserve">The </w:t>
      </w:r>
      <w:r w:rsidR="00781069">
        <w:t>data mining methodolog</w:t>
      </w:r>
      <w:r w:rsidR="00BA3297">
        <w:t>y</w:t>
      </w:r>
      <w:r w:rsidR="00781069">
        <w:t xml:space="preserve"> </w:t>
      </w:r>
      <w:r w:rsidR="0064284C">
        <w:t>chosen for this project is</w:t>
      </w:r>
      <w:r w:rsidR="00781069" w:rsidRPr="00781069">
        <w:t xml:space="preserve"> CRISP-DM</w:t>
      </w:r>
      <w:r w:rsidR="00BA3297">
        <w:t xml:space="preserve">, the main reason is because it includes business </w:t>
      </w:r>
      <w:r w:rsidR="0055686D">
        <w:t xml:space="preserve">understanding stage </w:t>
      </w:r>
      <w:r w:rsidR="002D4F49">
        <w:t xml:space="preserve">which is necessary to </w:t>
      </w:r>
      <w:r w:rsidR="00793E46">
        <w:t>clarify the expectations from the organization</w:t>
      </w:r>
      <w:r w:rsidR="00CB5A56">
        <w:t xml:space="preserve"> (</w:t>
      </w:r>
      <w:r w:rsidR="00A85740">
        <w:t>IBM 2016</w:t>
      </w:r>
      <w:r w:rsidR="00CB5A56">
        <w:t>)</w:t>
      </w:r>
      <w:r w:rsidR="00D404AB">
        <w:t xml:space="preserve">, </w:t>
      </w:r>
      <w:r w:rsidR="00FA7283">
        <w:t>a</w:t>
      </w:r>
      <w:r w:rsidR="00D404AB">
        <w:t xml:space="preserve"> state</w:t>
      </w:r>
      <w:r w:rsidR="00FA7283">
        <w:t xml:space="preserve"> in this case</w:t>
      </w:r>
      <w:r w:rsidR="00D404AB">
        <w:t xml:space="preserve">, </w:t>
      </w:r>
      <w:r w:rsidR="00FA7283">
        <w:t xml:space="preserve">and states </w:t>
      </w:r>
      <w:r w:rsidR="00D404AB">
        <w:t>al</w:t>
      </w:r>
      <w:r w:rsidR="00A37DB5">
        <w:t xml:space="preserve">so </w:t>
      </w:r>
      <w:r w:rsidR="00A24E26">
        <w:t xml:space="preserve">are </w:t>
      </w:r>
      <w:r w:rsidR="00A37DB5">
        <w:t>business</w:t>
      </w:r>
      <w:r w:rsidR="001A4C33">
        <w:t>es</w:t>
      </w:r>
      <w:r w:rsidR="00A37DB5">
        <w:t xml:space="preserve">, just like a big </w:t>
      </w:r>
      <w:r w:rsidR="00B6037E">
        <w:t xml:space="preserve">corporation </w:t>
      </w:r>
      <w:r w:rsidR="00A24E26">
        <w:t>with the same needs.</w:t>
      </w:r>
      <w:r w:rsidR="00062E10">
        <w:t xml:space="preserve"> This step </w:t>
      </w:r>
      <w:r w:rsidR="00E807C6">
        <w:t xml:space="preserve">really helps this project to point to a </w:t>
      </w:r>
      <w:r w:rsidR="006B1FC7">
        <w:t xml:space="preserve">successful </w:t>
      </w:r>
      <w:r w:rsidR="00E807C6">
        <w:t>direction.</w:t>
      </w:r>
    </w:p>
    <w:p w14:paraId="45C2E89A" w14:textId="33B24DAD" w:rsidR="004B1109" w:rsidRDefault="009446C5" w:rsidP="004B1109">
      <w:r>
        <w:t>It also includes the implementation stage which</w:t>
      </w:r>
      <w:r w:rsidR="00C110C9">
        <w:t xml:space="preserve"> focuses in taking advantage of </w:t>
      </w:r>
      <w:r w:rsidR="00500426">
        <w:t xml:space="preserve">what achieved </w:t>
      </w:r>
      <w:r w:rsidR="00404A05">
        <w:t xml:space="preserve">through the previous work. At least from the </w:t>
      </w:r>
      <w:r w:rsidR="000D49D0">
        <w:t>design</w:t>
      </w:r>
      <w:r w:rsidR="00404A05">
        <w:t xml:space="preserve"> point of view</w:t>
      </w:r>
      <w:r w:rsidR="000D49D0">
        <w:t>,</w:t>
      </w:r>
      <w:r w:rsidR="00404A05">
        <w:t xml:space="preserve"> this methodology is the most complete</w:t>
      </w:r>
      <w:r w:rsidR="00E807C6">
        <w:t xml:space="preserve"> </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lastRenderedPageBreak/>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lastRenderedPageBreak/>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w:t>
      </w:r>
      <w:proofErr w:type="spellStart"/>
      <w:r>
        <w:t>have</w:t>
      </w:r>
      <w:proofErr w:type="spellEnd"/>
      <w:r>
        <w:t xml:space="preserve"> similar figures (35-40 thousand) and it is worth mentioning that the civil service had two </w:t>
      </w:r>
      <w:proofErr w:type="spellStart"/>
      <w:r>
        <w:t>two</w:t>
      </w:r>
      <w:proofErr w:type="spellEnd"/>
      <w:r>
        <w:t xml:space="preserve">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5EF623BE" w14:textId="77777777" w:rsidR="0052470D" w:rsidRDefault="0052470D" w:rsidP="007E0C23"/>
    <w:p w14:paraId="00CB4592" w14:textId="77777777" w:rsidR="0052470D" w:rsidRDefault="0052470D" w:rsidP="007E0C23"/>
    <w:p w14:paraId="7D19E8C2" w14:textId="23C612C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8555"/>
                    </a:xfrm>
                    <a:prstGeom prst="rect">
                      <a:avLst/>
                    </a:prstGeom>
                  </pic:spPr>
                </pic:pic>
              </a:graphicData>
            </a:graphic>
          </wp:inline>
        </w:drawing>
      </w:r>
    </w:p>
    <w:p w14:paraId="5C8F9835" w14:textId="128EC2BD" w:rsidR="003A7120" w:rsidRDefault="006C2846" w:rsidP="007E0C23">
      <w:r>
        <w:t>The quarterly distribution by sub-sectors is as follows:</w:t>
      </w:r>
      <w:r w:rsidR="003B6476">
        <w:t xml:space="preserve"> </w:t>
      </w:r>
      <w:r w:rsidR="0087748B">
        <w:t xml:space="preserve">in Civil Service </w:t>
      </w:r>
      <w:r w:rsidR="00BA5CA4">
        <w:t xml:space="preserve">a lot of the data gather around the mean, and </w:t>
      </w:r>
      <w:r w:rsidR="0087748B">
        <w:t>the 3r quarter</w:t>
      </w:r>
      <w:r w:rsidR="004F0941">
        <w:t xml:space="preserve"> stands out for </w:t>
      </w:r>
      <w:r w:rsidR="00F744B4">
        <w:t xml:space="preserve">having many </w:t>
      </w:r>
      <w:proofErr w:type="spellStart"/>
      <w:r w:rsidR="00F416B5">
        <w:t>many</w:t>
      </w:r>
      <w:proofErr w:type="spellEnd"/>
      <w:r w:rsidR="00F416B5">
        <w:t xml:space="preserve"> obser</w:t>
      </w:r>
      <w:r w:rsidR="00490A15">
        <w:t xml:space="preserve">vations </w:t>
      </w:r>
      <w:r w:rsidR="00D45EF2">
        <w:t>between</w:t>
      </w:r>
      <w:r w:rsidR="00490A15">
        <w:t xml:space="preserve"> the </w:t>
      </w:r>
      <w:r w:rsidR="00D45EF2">
        <w:t xml:space="preserve">second and </w:t>
      </w:r>
      <w:r w:rsidR="00490A15">
        <w:t>third quartile</w:t>
      </w:r>
      <w:r w:rsidR="00D45EF2">
        <w:t>:</w:t>
      </w:r>
    </w:p>
    <w:p w14:paraId="5C4EDF7D" w14:textId="526B341E" w:rsidR="006C2846" w:rsidRDefault="006F5AB6" w:rsidP="007E0C23">
      <w:r w:rsidRPr="006F5AB6">
        <w:drawing>
          <wp:inline distT="0" distB="0" distL="0" distR="0" wp14:anchorId="4C67EC61" wp14:editId="415F09AA">
            <wp:extent cx="5943600" cy="29311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160"/>
                    </a:xfrm>
                    <a:prstGeom prst="rect">
                      <a:avLst/>
                    </a:prstGeom>
                  </pic:spPr>
                </pic:pic>
              </a:graphicData>
            </a:graphic>
          </wp:inline>
        </w:drawing>
      </w:r>
    </w:p>
    <w:p w14:paraId="7AA8BF8A" w14:textId="620930E4" w:rsidR="004D5478" w:rsidRDefault="007D126C" w:rsidP="007E0C23">
      <w:r>
        <w:t xml:space="preserve">Again the evidence that the employment in Education decreases in the </w:t>
      </w:r>
      <w:r w:rsidR="005B0D99">
        <w:t>third quarter (summer)</w:t>
      </w:r>
      <w:r w:rsidR="009666A3">
        <w:t>.There is more variability between quarters</w:t>
      </w:r>
      <w:r w:rsidR="005B0D99">
        <w:t>:</w:t>
      </w:r>
    </w:p>
    <w:p w14:paraId="7CBD56AC" w14:textId="701682F0" w:rsidR="00222D29" w:rsidRDefault="004D5478" w:rsidP="007E0C23">
      <w:r w:rsidRPr="004D5478">
        <w:lastRenderedPageBreak/>
        <w:drawing>
          <wp:inline distT="0" distB="0" distL="0" distR="0" wp14:anchorId="34837AFB" wp14:editId="7867A4E1">
            <wp:extent cx="59436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5600"/>
                    </a:xfrm>
                    <a:prstGeom prst="rect">
                      <a:avLst/>
                    </a:prstGeom>
                  </pic:spPr>
                </pic:pic>
              </a:graphicData>
            </a:graphic>
          </wp:inline>
        </w:drawing>
      </w:r>
    </w:p>
    <w:p w14:paraId="5C559099" w14:textId="77777777" w:rsidR="00222D29" w:rsidRDefault="00222D29" w:rsidP="007E0C23"/>
    <w:p w14:paraId="1AF5FAA3" w14:textId="14F782AF" w:rsidR="00222D29" w:rsidRDefault="00222D29" w:rsidP="007E0C23">
      <w:r>
        <w:t>Regarding the three remaining sub-sectors</w:t>
      </w:r>
      <w:r w:rsidR="00166FFF">
        <w:t xml:space="preserve"> it seems like the</w:t>
      </w:r>
      <w:r w:rsidR="00A0254F">
        <w:t>y have a similarity, and it is</w:t>
      </w:r>
      <w:r w:rsidR="00764A03">
        <w:t xml:space="preserve"> the fact that there is little variance between the </w:t>
      </w:r>
      <w:r w:rsidR="002656DE">
        <w:t>quarters</w:t>
      </w:r>
      <w:r w:rsidR="005459FF">
        <w:t>, they have a similar distribution within each sub-sector:</w:t>
      </w:r>
    </w:p>
    <w:p w14:paraId="100C6F3E" w14:textId="77777777" w:rsidR="00222D29" w:rsidRDefault="00222D29" w:rsidP="007E0C23"/>
    <w:p w14:paraId="126CF7FE" w14:textId="0A08CA20" w:rsidR="00AB114F" w:rsidRDefault="00D519F7" w:rsidP="007E0C23">
      <w:r w:rsidRPr="00D519F7">
        <w:drawing>
          <wp:inline distT="0" distB="0" distL="0" distR="0" wp14:anchorId="0E3EDF28" wp14:editId="0225AB56">
            <wp:extent cx="5943600" cy="2928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8620"/>
                    </a:xfrm>
                    <a:prstGeom prst="rect">
                      <a:avLst/>
                    </a:prstGeom>
                  </pic:spPr>
                </pic:pic>
              </a:graphicData>
            </a:graphic>
          </wp:inline>
        </w:drawing>
      </w:r>
    </w:p>
    <w:p w14:paraId="51429FC5" w14:textId="77777777" w:rsidR="00D519F7" w:rsidRDefault="00D519F7" w:rsidP="007E0C23"/>
    <w:p w14:paraId="1AD67098" w14:textId="42A91912" w:rsidR="00D519F7" w:rsidRDefault="00D519F7" w:rsidP="007E0C23">
      <w:r w:rsidRPr="00D519F7">
        <w:lastRenderedPageBreak/>
        <w:drawing>
          <wp:inline distT="0" distB="0" distL="0" distR="0" wp14:anchorId="6C339B75" wp14:editId="13AD09A2">
            <wp:extent cx="5943600" cy="2912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745"/>
                    </a:xfrm>
                    <a:prstGeom prst="rect">
                      <a:avLst/>
                    </a:prstGeom>
                  </pic:spPr>
                </pic:pic>
              </a:graphicData>
            </a:graphic>
          </wp:inline>
        </w:drawing>
      </w:r>
    </w:p>
    <w:p w14:paraId="50BF9135" w14:textId="70574266" w:rsidR="00B5083C" w:rsidRDefault="00B5083C" w:rsidP="007E0C23"/>
    <w:p w14:paraId="5BEC5384" w14:textId="6281DF56" w:rsidR="00B5083C" w:rsidRDefault="00B47CE4" w:rsidP="007E0C23">
      <w:r w:rsidRPr="00B47CE4">
        <w:drawing>
          <wp:inline distT="0" distB="0" distL="0" distR="0" wp14:anchorId="2B61BF55" wp14:editId="2242294E">
            <wp:extent cx="5943600" cy="291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5920"/>
                    </a:xfrm>
                    <a:prstGeom prst="rect">
                      <a:avLst/>
                    </a:prstGeom>
                  </pic:spPr>
                </pic:pic>
              </a:graphicData>
            </a:graphic>
          </wp:inline>
        </w:drawing>
      </w:r>
    </w:p>
    <w:p w14:paraId="66508F1F" w14:textId="77777777" w:rsidR="00AA2305" w:rsidRDefault="00AA2305" w:rsidP="007E0C23"/>
    <w:p w14:paraId="73384325" w14:textId="306767F9" w:rsidR="006C2846" w:rsidRDefault="00FC6295" w:rsidP="007E0C23">
      <w:r w:rsidRPr="00FC6295">
        <w:lastRenderedPageBreak/>
        <w:drawing>
          <wp:inline distT="0" distB="0" distL="0" distR="0" wp14:anchorId="0A0C9167" wp14:editId="7B80068E">
            <wp:extent cx="5943600" cy="2898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8140"/>
                    </a:xfrm>
                    <a:prstGeom prst="rect">
                      <a:avLst/>
                    </a:prstGeom>
                  </pic:spPr>
                </pic:pic>
              </a:graphicData>
            </a:graphic>
          </wp:inline>
        </w:drawing>
      </w:r>
    </w:p>
    <w:p w14:paraId="2F59A953" w14:textId="77777777" w:rsidR="00CA5DEF" w:rsidRDefault="00CA5DEF" w:rsidP="007E0C23"/>
    <w:p w14:paraId="46605D0C" w14:textId="163C33AB" w:rsidR="0052470D" w:rsidRDefault="0052470D" w:rsidP="004B1109">
      <w:pPr>
        <w:rPr>
          <w:b/>
          <w:bCs/>
        </w:rPr>
      </w:pPr>
      <w:r w:rsidRPr="0052470D">
        <w:rPr>
          <w:b/>
          <w:bCs/>
        </w:rPr>
        <w:t>Earnings</w:t>
      </w:r>
    </w:p>
    <w:p w14:paraId="25FA13BB" w14:textId="1070550C" w:rsidR="0052470D" w:rsidRPr="0052470D" w:rsidRDefault="00B45EB0" w:rsidP="004B1109">
      <w:r>
        <w:t xml:space="preserve">The public </w:t>
      </w:r>
      <w:r w:rsidR="004157D9">
        <w:t>salaries</w:t>
      </w:r>
      <w:r>
        <w:t xml:space="preserve"> in Ireland</w:t>
      </w:r>
      <w:r w:rsidR="004157D9">
        <w:t xml:space="preserve"> were </w:t>
      </w:r>
      <w:r w:rsidR="0005581B">
        <w:t xml:space="preserve">mainly above 900 euros weekly until 2016, when there is a clear </w:t>
      </w:r>
      <w:r w:rsidR="009D04DF">
        <w:t xml:space="preserve">change in the </w:t>
      </w:r>
      <w:r w:rsidR="009F713F">
        <w:t xml:space="preserve">pattern </w:t>
      </w:r>
      <w:r w:rsidR="00147D30">
        <w:t xml:space="preserve">with a slow and </w:t>
      </w:r>
      <w:r w:rsidR="005A7297">
        <w:t xml:space="preserve">progressive </w:t>
      </w:r>
      <w:r w:rsidR="001F27C1">
        <w:t>increment</w:t>
      </w:r>
      <w:r w:rsidR="005A7297">
        <w:t xml:space="preserve"> starts</w:t>
      </w:r>
      <w:r w:rsidR="00091F13">
        <w:t xml:space="preserve"> </w:t>
      </w:r>
      <w:r w:rsidR="001F27C1">
        <w:t>until</w:t>
      </w:r>
      <w:r w:rsidR="005861E2">
        <w:t xml:space="preserve"> the last observation</w:t>
      </w:r>
      <w:r w:rsidR="000D4BD0">
        <w:t>,</w:t>
      </w:r>
      <w:r w:rsidR="00F60F7A">
        <w:t xml:space="preserve"> which is</w:t>
      </w:r>
      <w:r w:rsidR="000D4BD0">
        <w:t xml:space="preserve"> around</w:t>
      </w:r>
      <w:r w:rsidR="00191CBB">
        <w:t xml:space="preserve"> 1,100 euros per week.</w:t>
      </w:r>
      <w:r w:rsidR="00EC665A">
        <w:t xml:space="preserve"> The semi-state bodies follow a fairly similar pattern and </w:t>
      </w:r>
      <w:r w:rsidR="00CF2491">
        <w:t>did increase the average</w:t>
      </w:r>
      <w:r w:rsidR="002B01AE">
        <w:t xml:space="preserve"> salaries</w:t>
      </w:r>
      <w:r w:rsidR="00CF2491">
        <w:t xml:space="preserve"> between </w:t>
      </w:r>
      <w:r w:rsidR="002929D8">
        <w:t>2011 and 2019.</w:t>
      </w:r>
      <w:r w:rsidR="00EC665A">
        <w:t xml:space="preserve"> </w:t>
      </w:r>
      <w:r w:rsidR="00AA4488">
        <w:t>Before and after these years</w:t>
      </w:r>
      <w:r w:rsidR="00167774">
        <w:t xml:space="preserve"> they did not seem </w:t>
      </w:r>
      <w:r w:rsidR="002B01AE">
        <w:t>to add</w:t>
      </w:r>
      <w:r w:rsidR="00167774">
        <w:t xml:space="preserve"> anything </w:t>
      </w:r>
      <w:r w:rsidR="00C22DA6">
        <w:t>significant to the metric:</w:t>
      </w:r>
    </w:p>
    <w:p w14:paraId="1F608DD2" w14:textId="71C3BD92" w:rsidR="0052470D" w:rsidRDefault="0052470D" w:rsidP="004B1109"/>
    <w:p w14:paraId="7F216EBB" w14:textId="4A35753A" w:rsidR="008913AF" w:rsidRDefault="009038A7" w:rsidP="004B1109">
      <w:r>
        <w:t>As far as semi-state companies are concerned</w:t>
      </w:r>
      <w:r w:rsidR="00A96B50">
        <w:t xml:space="preserve">, </w:t>
      </w:r>
      <w:r w:rsidR="001F43FD">
        <w:t xml:space="preserve">the </w:t>
      </w:r>
      <w:r w:rsidR="00A96B50">
        <w:t xml:space="preserve">non-commercial </w:t>
      </w:r>
      <w:r w:rsidR="001F43FD">
        <w:t>had higher salaries</w:t>
      </w:r>
      <w:r w:rsidR="00A96B50">
        <w:t xml:space="preserve"> </w:t>
      </w:r>
      <w:r w:rsidR="00391D71">
        <w:t>until 2013 but they fell behind</w:t>
      </w:r>
      <w:r w:rsidR="00EA4E00">
        <w:t xml:space="preserve"> the year after</w:t>
      </w:r>
      <w:r w:rsidR="000A30F5">
        <w:t xml:space="preserve"> and </w:t>
      </w:r>
      <w:r w:rsidR="004C3C5E">
        <w:t>from</w:t>
      </w:r>
      <w:r w:rsidR="000A30F5">
        <w:t xml:space="preserve"> 2020</w:t>
      </w:r>
      <w:r w:rsidR="004C3C5E">
        <w:t xml:space="preserve"> onwards </w:t>
      </w:r>
      <w:r w:rsidR="00D8039F">
        <w:t>all three types of semi-state</w:t>
      </w:r>
      <w:r w:rsidR="00C96C39">
        <w:t xml:space="preserve"> companies</w:t>
      </w:r>
      <w:r w:rsidR="004C3C5E">
        <w:t xml:space="preserve"> </w:t>
      </w:r>
      <w:r w:rsidR="008913AF">
        <w:t>showed relatively similar salaries:</w:t>
      </w:r>
    </w:p>
    <w:p w14:paraId="7A9CF2A5" w14:textId="77777777" w:rsidR="002F63FF" w:rsidRDefault="002F63FF" w:rsidP="004B1109"/>
    <w:p w14:paraId="5F01B8CB" w14:textId="7789FE79" w:rsidR="002F63FF" w:rsidRDefault="002F63FF" w:rsidP="004B1109">
      <w:r w:rsidRPr="002F63FF">
        <w:lastRenderedPageBreak/>
        <w:drawing>
          <wp:inline distT="0" distB="0" distL="0" distR="0" wp14:anchorId="03F45B93" wp14:editId="4C24D162">
            <wp:extent cx="594360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7605"/>
                    </a:xfrm>
                    <a:prstGeom prst="rect">
                      <a:avLst/>
                    </a:prstGeom>
                  </pic:spPr>
                </pic:pic>
              </a:graphicData>
            </a:graphic>
          </wp:inline>
        </w:drawing>
      </w:r>
    </w:p>
    <w:p w14:paraId="687A5536" w14:textId="3B816E0D" w:rsidR="00B12AEF" w:rsidRDefault="00B12AEF" w:rsidP="004B1109"/>
    <w:p w14:paraId="7A6CA69B" w14:textId="22577CA5" w:rsidR="00DC156D" w:rsidRDefault="00DC156D" w:rsidP="004B1109">
      <w:r w:rsidRPr="00DC156D">
        <w:drawing>
          <wp:inline distT="0" distB="0" distL="0" distR="0" wp14:anchorId="11558DA7" wp14:editId="1379A1AF">
            <wp:extent cx="59436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9525"/>
                    </a:xfrm>
                    <a:prstGeom prst="rect">
                      <a:avLst/>
                    </a:prstGeom>
                  </pic:spPr>
                </pic:pic>
              </a:graphicData>
            </a:graphic>
          </wp:inline>
        </w:drawing>
      </w:r>
    </w:p>
    <w:p w14:paraId="784C7D65" w14:textId="513A8809" w:rsidR="00DC156D" w:rsidRDefault="00DC156D" w:rsidP="004B1109">
      <w:r w:rsidRPr="00DC156D">
        <w:lastRenderedPageBreak/>
        <w:drawing>
          <wp:inline distT="0" distB="0" distL="0" distR="0" wp14:anchorId="4D81B209" wp14:editId="0A4DA3A0">
            <wp:extent cx="5943600" cy="356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8700"/>
                    </a:xfrm>
                    <a:prstGeom prst="rect">
                      <a:avLst/>
                    </a:prstGeom>
                  </pic:spPr>
                </pic:pic>
              </a:graphicData>
            </a:graphic>
          </wp:inline>
        </w:drawing>
      </w:r>
    </w:p>
    <w:p w14:paraId="15A2A003" w14:textId="1861F046" w:rsidR="00D50643" w:rsidRDefault="009A33A3" w:rsidP="004B1109">
      <w:r>
        <w:t>Regarding sub-sectors</w:t>
      </w:r>
      <w:r w:rsidR="00016DEC">
        <w:t xml:space="preserve"> it is more th</w:t>
      </w:r>
      <w:r w:rsidR="00051F08">
        <w:t xml:space="preserve">an obvious that Garda Siochana </w:t>
      </w:r>
      <w:r w:rsidR="000C30E8">
        <w:t>has always had a salary greater than the other</w:t>
      </w:r>
      <w:r w:rsidR="00302955">
        <w:t xml:space="preserve"> subsectors</w:t>
      </w:r>
      <w:r w:rsidR="003868DF">
        <w:t>, however they all have increased similarly</w:t>
      </w:r>
      <w:r w:rsidR="00DD34CC">
        <w:t xml:space="preserve"> </w:t>
      </w:r>
      <w:r w:rsidR="003868DF">
        <w:t xml:space="preserve">and </w:t>
      </w:r>
      <w:r w:rsidR="00952374">
        <w:t xml:space="preserve">seem to </w:t>
      </w:r>
      <w:r w:rsidR="00DD34CC">
        <w:t xml:space="preserve">follow </w:t>
      </w:r>
      <w:r w:rsidR="00952374">
        <w:t xml:space="preserve">the same approximate </w:t>
      </w:r>
      <w:r w:rsidR="00F36D17">
        <w:t>trend</w:t>
      </w:r>
      <w:r w:rsidR="00C41077">
        <w:t xml:space="preserve"> </w:t>
      </w:r>
      <w:r w:rsidR="005D19DE">
        <w:t>keep</w:t>
      </w:r>
      <w:r w:rsidR="00A848B2">
        <w:t>ing</w:t>
      </w:r>
      <w:r w:rsidR="005D19DE">
        <w:t xml:space="preserve"> their ranges </w:t>
      </w:r>
      <w:r w:rsidR="00A848B2">
        <w:t>within the same boundaries</w:t>
      </w:r>
      <w:r w:rsidR="005D19DE">
        <w:t xml:space="preserve">, </w:t>
      </w:r>
      <w:r w:rsidR="00623F89">
        <w:t>with Education following the Garda, then Health, Civil Service</w:t>
      </w:r>
      <w:r w:rsidR="008C6DED">
        <w:t xml:space="preserve">, Defense and finally the Regional </w:t>
      </w:r>
      <w:r w:rsidR="00AA7A50">
        <w:t>B</w:t>
      </w:r>
      <w:r w:rsidR="008C6DED">
        <w:t>odies</w:t>
      </w:r>
      <w:r w:rsidR="008A706C">
        <w:t xml:space="preserve">. Perhaps Civil Service </w:t>
      </w:r>
      <w:r w:rsidR="00B519C6">
        <w:t xml:space="preserve">has more </w:t>
      </w:r>
      <w:r w:rsidR="00B519C6">
        <w:lastRenderedPageBreak/>
        <w:t>variability around 2010.</w:t>
      </w:r>
      <w:r w:rsidR="00D50643" w:rsidRPr="00D50643">
        <w:rPr>
          <w:noProof/>
        </w:rPr>
        <w:drawing>
          <wp:inline distT="0" distB="0" distL="0" distR="0" wp14:anchorId="089F1A3B" wp14:editId="09DF1E46">
            <wp:extent cx="594360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91890"/>
                    </a:xfrm>
                    <a:prstGeom prst="rect">
                      <a:avLst/>
                    </a:prstGeom>
                  </pic:spPr>
                </pic:pic>
              </a:graphicData>
            </a:graphic>
          </wp:inline>
        </w:drawing>
      </w:r>
    </w:p>
    <w:p w14:paraId="06233F5E" w14:textId="56357BE0" w:rsidR="008A07DD" w:rsidRDefault="00217A94" w:rsidP="004B1109">
      <w:r>
        <w:t>As far as the U.K. is</w:t>
      </w:r>
      <w:r w:rsidR="000A7EC5">
        <w:t xml:space="preserve"> concerned, the time frame covered in their data is wider but only the</w:t>
      </w:r>
      <w:r w:rsidR="005D0D99">
        <w:t xml:space="preserve"> period matching the Irish one was considered.</w:t>
      </w:r>
      <w:r w:rsidR="00485BB5">
        <w:t xml:space="preserve"> </w:t>
      </w:r>
      <w:r w:rsidR="00F23518">
        <w:t>Related to employment</w:t>
      </w:r>
      <w:r w:rsidR="003F1F64">
        <w:t xml:space="preserve"> the</w:t>
      </w:r>
      <w:r w:rsidR="007A53FF">
        <w:t xml:space="preserve"> focus is on</w:t>
      </w:r>
      <w:r w:rsidR="003F1F64">
        <w:t xml:space="preserve"> </w:t>
      </w:r>
      <w:r w:rsidR="007A53FF">
        <w:t>T</w:t>
      </w:r>
      <w:r w:rsidR="003F1F64">
        <w:t xml:space="preserve">otal </w:t>
      </w:r>
      <w:r w:rsidR="007A53FF">
        <w:t>P</w:t>
      </w:r>
      <w:r w:rsidR="003F1F64">
        <w:t xml:space="preserve">ublic </w:t>
      </w:r>
      <w:r w:rsidR="007A53FF">
        <w:t>S</w:t>
      </w:r>
      <w:r w:rsidR="003F1F64">
        <w:t xml:space="preserve">ector, </w:t>
      </w:r>
      <w:r w:rsidR="007A53FF">
        <w:t>L</w:t>
      </w:r>
      <w:r w:rsidR="00084C57">
        <w:t xml:space="preserve">ocal </w:t>
      </w:r>
      <w:r w:rsidR="007A53FF">
        <w:t>G</w:t>
      </w:r>
      <w:r w:rsidR="00084C57">
        <w:t xml:space="preserve">overnment, </w:t>
      </w:r>
      <w:r w:rsidR="007A53FF">
        <w:t>C</w:t>
      </w:r>
      <w:r w:rsidR="003F1F64">
        <w:t xml:space="preserve">ivil </w:t>
      </w:r>
      <w:r w:rsidR="007A53FF">
        <w:t>S</w:t>
      </w:r>
      <w:r w:rsidR="003F1F64">
        <w:t xml:space="preserve">ervice, HM forces, </w:t>
      </w:r>
      <w:r w:rsidR="007A53FF">
        <w:t>P</w:t>
      </w:r>
      <w:r w:rsidR="003F1F64">
        <w:t>olice</w:t>
      </w:r>
      <w:r w:rsidR="00062A2A">
        <w:t xml:space="preserve">, </w:t>
      </w:r>
      <w:r w:rsidR="007A53FF">
        <w:t>Ed</w:t>
      </w:r>
      <w:r w:rsidR="00062A2A">
        <w:t>ucation and NHS</w:t>
      </w:r>
      <w:r w:rsidR="00482922">
        <w:t xml:space="preserve">. </w:t>
      </w:r>
      <w:r w:rsidR="000A1D95">
        <w:t xml:space="preserve">Since the Irish dataset </w:t>
      </w:r>
      <w:r w:rsidR="00667B6F">
        <w:t>includes both full time and part-time employees</w:t>
      </w:r>
      <w:r w:rsidR="00407306">
        <w:t xml:space="preserve"> (as confirmed with CSO by email), only the </w:t>
      </w:r>
      <w:r w:rsidR="004F031E">
        <w:t xml:space="preserve">HC (headcount) columns from UK were taken into account as opposed to </w:t>
      </w:r>
      <w:r w:rsidR="00DB63D0">
        <w:t>FTE (full-time equivalent).</w:t>
      </w:r>
    </w:p>
    <w:p w14:paraId="78F05BAF" w14:textId="75B61FB6" w:rsidR="007C1F2A" w:rsidRDefault="008A07DD" w:rsidP="004B1109">
      <w:r>
        <w:t>A</w:t>
      </w:r>
      <w:r w:rsidR="007A53FF">
        <w:t xml:space="preserve">nd </w:t>
      </w:r>
      <w:r w:rsidR="00B26650">
        <w:t xml:space="preserve">about earnings only </w:t>
      </w:r>
      <w:r w:rsidR="008A2912">
        <w:t>Public sector</w:t>
      </w:r>
      <w:r w:rsidR="00401D55">
        <w:t>, Education and Health match</w:t>
      </w:r>
      <w:r w:rsidR="00CC1CCE">
        <w:t xml:space="preserve"> between data sets</w:t>
      </w:r>
      <w:r w:rsidR="00401D55">
        <w:t xml:space="preserve"> and c</w:t>
      </w:r>
      <w:r w:rsidR="007136B3">
        <w:t>ould</w:t>
      </w:r>
      <w:r w:rsidR="00401D55">
        <w:t xml:space="preserve"> be compared</w:t>
      </w:r>
      <w:r w:rsidR="00CC1CCE">
        <w:t xml:space="preserve">, however </w:t>
      </w:r>
      <w:r w:rsidR="003A01C9">
        <w:t xml:space="preserve">the </w:t>
      </w:r>
      <w:r w:rsidR="007136B3" w:rsidRPr="007136B3">
        <w:t xml:space="preserve">data </w:t>
      </w:r>
      <w:r w:rsidR="007136B3">
        <w:t xml:space="preserve">from the UK </w:t>
      </w:r>
      <w:r w:rsidR="00386B58">
        <w:t>Public Se</w:t>
      </w:r>
      <w:r w:rsidR="007136B3" w:rsidRPr="007136B3">
        <w:t xml:space="preserve">ctor covers </w:t>
      </w:r>
      <w:r w:rsidR="003A01C9">
        <w:t xml:space="preserve">a time frame </w:t>
      </w:r>
      <w:r w:rsidR="000B02A2">
        <w:t>different to the Irish one so</w:t>
      </w:r>
      <w:r w:rsidR="00FC01C5">
        <w:t xml:space="preserve"> finally just Education and Health can be compared</w:t>
      </w:r>
      <w:r w:rsidR="00401D55">
        <w:t xml:space="preserve">. </w:t>
      </w:r>
      <w:r w:rsidR="003A2544">
        <w:t>The process of exchange currency was done by converting British pounds to Euros</w:t>
      </w:r>
      <w:r w:rsidR="00727D78">
        <w:t xml:space="preserve">, which was achieved with a function to assign the </w:t>
      </w:r>
      <w:r w:rsidR="000449EA">
        <w:t xml:space="preserve">corresponding </w:t>
      </w:r>
      <w:r w:rsidR="000449EA" w:rsidRPr="000449EA">
        <w:t>average exchange rate</w:t>
      </w:r>
      <w:r w:rsidR="000449EA">
        <w:t xml:space="preserve"> per each of the years</w:t>
      </w:r>
      <w:r w:rsidR="00126A03">
        <w:t xml:space="preserve"> considered</w:t>
      </w:r>
      <w:r w:rsidR="00DA1485">
        <w:t xml:space="preserve"> (rates</w:t>
      </w:r>
      <w:r w:rsidR="00BA3B7A">
        <w:t xml:space="preserve"> taken from </w:t>
      </w:r>
      <w:hyperlink r:id="rId21" w:history="1">
        <w:r w:rsidR="00CC1CCE" w:rsidRPr="009C04B2">
          <w:rPr>
            <w:rStyle w:val="Hyperlink"/>
          </w:rPr>
          <w:t>www.ofx.com</w:t>
        </w:r>
      </w:hyperlink>
      <w:r w:rsidR="00DA1485">
        <w:t>)</w:t>
      </w:r>
      <w:r w:rsidR="00126A03">
        <w:t>.</w:t>
      </w:r>
      <w:r w:rsidR="000449EA">
        <w:t xml:space="preserve"> </w:t>
      </w:r>
    </w:p>
    <w:p w14:paraId="58531203" w14:textId="77777777" w:rsidR="008A07DD" w:rsidRPr="00F81C44" w:rsidRDefault="008A07DD" w:rsidP="004B1109"/>
    <w:p w14:paraId="2056710C" w14:textId="6FEA53E3" w:rsidR="002B526F" w:rsidRDefault="002B526F" w:rsidP="002B526F">
      <w:pPr>
        <w:pStyle w:val="Heading1"/>
      </w:pPr>
      <w:r>
        <w:t>References</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5CFE5A9E" w14:textId="6FDB5954" w:rsidR="008B461B" w:rsidRPr="00BC64FB" w:rsidRDefault="00052CB5" w:rsidP="00BC64FB">
      <w:pPr>
        <w:pStyle w:val="NormalWeb"/>
        <w:ind w:left="567" w:hanging="567"/>
      </w:pPr>
      <w:r>
        <w:rPr>
          <w:i/>
          <w:iCs/>
        </w:rPr>
        <w:t>IBM (</w:t>
      </w:r>
      <w:r w:rsidR="00A85740" w:rsidRPr="00A85740">
        <w:t>2016</w:t>
      </w:r>
      <w:r>
        <w:rPr>
          <w:i/>
          <w:iCs/>
        </w:rPr>
        <w:t xml:space="preserve">). </w:t>
      </w:r>
      <w:r w:rsidR="008B461B">
        <w:rPr>
          <w:i/>
          <w:iCs/>
        </w:rPr>
        <w:t>IBM SPSS Modeler Crisp-DM Guide</w:t>
      </w:r>
      <w:r w:rsidR="008B461B">
        <w:t xml:space="preserve">. Available at: https://public.dhe.ibm.com/software/analytics/spss/documentation/modeler/18.0/en/ModelerCRISPDM.pdf (Accessed: 12 July 2023). </w:t>
      </w:r>
    </w:p>
    <w:p w14:paraId="43A6C37B" w14:textId="2FD01690" w:rsidR="00E1217C" w:rsidRDefault="00E1217C" w:rsidP="00E1217C">
      <w:pPr>
        <w:pStyle w:val="NormalWeb"/>
        <w:ind w:left="567" w:hanging="567"/>
      </w:pPr>
      <w:r>
        <w:rPr>
          <w:i/>
          <w:iCs/>
        </w:rPr>
        <w:lastRenderedPageBreak/>
        <w:t>Legal notice</w:t>
      </w:r>
      <w:r>
        <w:t xml:space="preserve"> (no date) </w:t>
      </w:r>
      <w:r>
        <w:rPr>
          <w:i/>
          <w:iCs/>
        </w:rPr>
        <w:t>INE</w:t>
      </w:r>
      <w:r>
        <w:t xml:space="preserve">. Available at: https://www.ine.es/dyngs/AYU/en/index.htm?cid=125 (Accessed: 17 July 2023). </w:t>
      </w:r>
    </w:p>
    <w:p w14:paraId="26CF89C2" w14:textId="626166B7" w:rsidR="00CA30C8" w:rsidRPr="00CA30C8" w:rsidRDefault="00CA30C8" w:rsidP="00CA30C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ONS</w:t>
      </w:r>
      <w:r w:rsidRPr="00CA30C8">
        <w:rPr>
          <w:rFonts w:ascii="Times New Roman" w:eastAsia="Times New Roman" w:hAnsi="Times New Roman" w:cs="Times New Roman"/>
          <w:sz w:val="24"/>
          <w:szCs w:val="24"/>
        </w:rPr>
        <w:t xml:space="preserve"> (2023) </w:t>
      </w:r>
      <w:r w:rsidRPr="00CA30C8">
        <w:rPr>
          <w:rFonts w:ascii="Times New Roman" w:eastAsia="Times New Roman" w:hAnsi="Times New Roman" w:cs="Times New Roman"/>
          <w:i/>
          <w:iCs/>
          <w:sz w:val="24"/>
          <w:szCs w:val="24"/>
        </w:rPr>
        <w:t>Public Sector Employment Time Series</w:t>
      </w:r>
      <w:r w:rsidR="00A11CAF">
        <w:rPr>
          <w:rFonts w:ascii="Times New Roman" w:eastAsia="Times New Roman" w:hAnsi="Times New Roman" w:cs="Times New Roman"/>
          <w:i/>
          <w:iCs/>
          <w:sz w:val="24"/>
          <w:szCs w:val="24"/>
        </w:rPr>
        <w:t xml:space="preserve"> - </w:t>
      </w:r>
      <w:r w:rsidR="00A11CAF" w:rsidRPr="00591E6D">
        <w:rPr>
          <w:rFonts w:ascii="Times New Roman" w:eastAsia="Times New Roman" w:hAnsi="Times New Roman" w:cs="Times New Roman"/>
          <w:i/>
          <w:iCs/>
          <w:sz w:val="24"/>
          <w:szCs w:val="24"/>
        </w:rPr>
        <w:t>Office for National Statistics</w:t>
      </w:r>
      <w:r w:rsidRPr="00CA30C8">
        <w:rPr>
          <w:rFonts w:ascii="Times New Roman" w:eastAsia="Times New Roman" w:hAnsi="Times New Roman" w:cs="Times New Roman"/>
          <w:sz w:val="24"/>
          <w:szCs w:val="24"/>
        </w:rPr>
        <w:t xml:space="preserve">. Available at: https://www.ons.gov.uk/employmentandlabourmarket/peopleinwork/publicsectorpersonnel/datasets/publicsectoremploymenttimeseriesdataset (Accessed: </w:t>
      </w:r>
      <w:r w:rsidR="00BC64FB">
        <w:rPr>
          <w:rFonts w:ascii="Times New Roman" w:eastAsia="Times New Roman" w:hAnsi="Times New Roman" w:cs="Times New Roman"/>
          <w:sz w:val="24"/>
          <w:szCs w:val="24"/>
        </w:rPr>
        <w:t>1</w:t>
      </w:r>
      <w:r w:rsidR="00EE2AB7">
        <w:rPr>
          <w:rFonts w:ascii="Times New Roman" w:eastAsia="Times New Roman" w:hAnsi="Times New Roman" w:cs="Times New Roman"/>
          <w:sz w:val="24"/>
          <w:szCs w:val="24"/>
        </w:rPr>
        <w:t>5</w:t>
      </w:r>
      <w:r w:rsidRPr="00CA30C8">
        <w:rPr>
          <w:rFonts w:ascii="Times New Roman" w:eastAsia="Times New Roman" w:hAnsi="Times New Roman" w:cs="Times New Roman"/>
          <w:sz w:val="24"/>
          <w:szCs w:val="24"/>
        </w:rPr>
        <w:t xml:space="preserve"> </w:t>
      </w:r>
      <w:r w:rsidR="00EE2AB7">
        <w:rPr>
          <w:rFonts w:ascii="Times New Roman" w:eastAsia="Times New Roman" w:hAnsi="Times New Roman" w:cs="Times New Roman"/>
          <w:sz w:val="24"/>
          <w:szCs w:val="24"/>
        </w:rPr>
        <w:t>July</w:t>
      </w:r>
      <w:r w:rsidRPr="00CA30C8">
        <w:rPr>
          <w:rFonts w:ascii="Times New Roman" w:eastAsia="Times New Roman" w:hAnsi="Times New Roman" w:cs="Times New Roman"/>
          <w:sz w:val="24"/>
          <w:szCs w:val="24"/>
        </w:rPr>
        <w:t xml:space="preserve"> 2023). </w:t>
      </w:r>
    </w:p>
    <w:p w14:paraId="015F98D9" w14:textId="41D92E5B" w:rsidR="00591E6D" w:rsidRPr="00591E6D" w:rsidRDefault="00A11CAF" w:rsidP="00591E6D">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ONS</w:t>
      </w:r>
      <w:r w:rsidR="00591E6D" w:rsidRPr="00591E6D">
        <w:rPr>
          <w:rFonts w:ascii="Times New Roman" w:eastAsia="Times New Roman" w:hAnsi="Times New Roman" w:cs="Times New Roman"/>
          <w:sz w:val="24"/>
          <w:szCs w:val="24"/>
        </w:rPr>
        <w:t xml:space="preserve"> (2023) </w:t>
      </w:r>
      <w:r w:rsidR="00591E6D" w:rsidRPr="00591E6D">
        <w:rPr>
          <w:rFonts w:ascii="Times New Roman" w:eastAsia="Times New Roman" w:hAnsi="Times New Roman" w:cs="Times New Roman"/>
          <w:i/>
          <w:iCs/>
          <w:sz w:val="24"/>
          <w:szCs w:val="24"/>
        </w:rPr>
        <w:t>Average weekly earnings time series - Office for National Statistics</w:t>
      </w:r>
      <w:r w:rsidR="00591E6D" w:rsidRPr="00591E6D">
        <w:rPr>
          <w:rFonts w:ascii="Times New Roman" w:eastAsia="Times New Roman" w:hAnsi="Times New Roman" w:cs="Times New Roman"/>
          <w:sz w:val="24"/>
          <w:szCs w:val="24"/>
        </w:rPr>
        <w:t xml:space="preserve">. Available at: https://www.ons.gov.uk/employmentandlabourmarket/peopleinwork/earningsandworkinghours/datasets/averageweeklyearnings (Accessed: 18 July 2023). </w:t>
      </w:r>
    </w:p>
    <w:p w14:paraId="3DB0F7ED" w14:textId="77777777" w:rsidR="002B526F" w:rsidRPr="002B526F" w:rsidRDefault="002B526F" w:rsidP="002B526F"/>
    <w:p w14:paraId="7AAF87DA" w14:textId="42ADB390" w:rsidR="007520E0" w:rsidRDefault="00CB0487" w:rsidP="00CB0487">
      <w:pPr>
        <w:pStyle w:val="Heading1"/>
      </w:pPr>
      <w:r>
        <w:t>Appendix</w:t>
      </w:r>
    </w:p>
    <w:p w14:paraId="621620E4" w14:textId="77777777" w:rsidR="007520E0" w:rsidRDefault="007520E0"/>
    <w:p w14:paraId="3129729B" w14:textId="0A71A82E" w:rsidR="00357E3D" w:rsidRDefault="00357E3D">
      <w:r>
        <w:t xml:space="preserve">UK </w:t>
      </w:r>
      <w:r w:rsidR="00D96B33">
        <w:t>data:</w:t>
      </w:r>
      <w:r w:rsidR="00763D92">
        <w:t xml:space="preserve"> </w:t>
      </w:r>
      <w:r w:rsidR="00763D92" w:rsidRPr="00763D92">
        <w:t>Public sector employment time series - Office for National Statistics</w:t>
      </w:r>
      <w:r w:rsidR="00763D92">
        <w:t xml:space="preserve"> -</w:t>
      </w:r>
      <w:r w:rsidR="00D96B33">
        <w:t>&gt;</w:t>
      </w:r>
      <w:r w:rsidR="009940E4">
        <w:t xml:space="preserve"> pse.csv </w:t>
      </w:r>
      <w:hyperlink r:id="rId22"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36A6C4C2" w:rsidR="007520E0" w:rsidRPr="007D1ADB" w:rsidRDefault="00D96B33">
      <w:r>
        <w:t xml:space="preserve">UK data: </w:t>
      </w:r>
      <w:r w:rsidR="007668D9" w:rsidRPr="007D1ADB">
        <w:t>Average weekly earnings time series</w:t>
      </w:r>
      <w:r w:rsidR="007D1ADB" w:rsidRPr="007D1ADB">
        <w:t xml:space="preserve"> </w:t>
      </w:r>
      <w:r w:rsidR="007D1ADB">
        <w:t xml:space="preserve">-&gt; emp.csv </w:t>
      </w:r>
      <w:hyperlink r:id="rId23"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5969C47" w14:textId="31C20EB4" w:rsidR="00F81C44" w:rsidRDefault="00F81C44">
      <w:r w:rsidRPr="00F81C44">
        <w:t>Public versus private sector earnings in the UK: 2011 to 2017</w:t>
      </w:r>
      <w:r w:rsidR="00F52CE5">
        <w:t xml:space="preserve"> </w:t>
      </w:r>
      <w:r w:rsidR="003E18BF">
        <w:t xml:space="preserve">-&gt; </w:t>
      </w:r>
      <w:proofErr w:type="spellStart"/>
      <w:r w:rsidR="003E18BF" w:rsidRPr="003E18BF">
        <w:t>pubprivcompensation</w:t>
      </w:r>
      <w:r w:rsidR="003E18BF">
        <w:t>.xslx</w:t>
      </w:r>
      <w:proofErr w:type="spellEnd"/>
    </w:p>
    <w:p w14:paraId="0C7EAAEB" w14:textId="24A103CB" w:rsidR="00F52CE5" w:rsidRDefault="00000000">
      <w:hyperlink r:id="rId24"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p w14:paraId="6D12DF07" w14:textId="77777777" w:rsidR="00482922" w:rsidRDefault="00482922"/>
    <w:p w14:paraId="3E36DD0C" w14:textId="77777777" w:rsidR="00482922" w:rsidRDefault="00000000" w:rsidP="00482922">
      <w:hyperlink r:id="rId25" w:history="1">
        <w:r w:rsidR="00482922" w:rsidRPr="00F70F98">
          <w:rPr>
            <w:rStyle w:val="Hyperlink"/>
          </w:rPr>
          <w:t>https://www.ine.es/prensa/epa_2021_d.pdf</w:t>
        </w:r>
      </w:hyperlink>
      <w:r w:rsidR="00482922">
        <w:tab/>
      </w:r>
      <w:r w:rsidR="00482922">
        <w:tab/>
      </w:r>
    </w:p>
    <w:p w14:paraId="59CAE681" w14:textId="77777777" w:rsidR="00482922" w:rsidRDefault="00482922" w:rsidP="00482922">
      <w:pPr>
        <w:rPr>
          <w:lang w:val="es-ES"/>
        </w:rPr>
      </w:pPr>
      <w:r w:rsidRPr="006D0BFF">
        <w:rPr>
          <w:lang w:val="es-ES"/>
        </w:rPr>
        <w:t>- Distribución salarial por naturaleza del empleador (privado o público)</w:t>
      </w:r>
    </w:p>
    <w:p w14:paraId="57F9D833" w14:textId="77777777" w:rsidR="00482922" w:rsidRPr="007D1ADB" w:rsidRDefault="00482922" w:rsidP="00482922">
      <w:r>
        <w:rPr>
          <w:lang w:val="es-ES"/>
        </w:rPr>
        <w:t xml:space="preserve">- </w:t>
      </w:r>
      <w:r w:rsidRPr="00042D88">
        <w:rPr>
          <w:lang w:val="es-ES"/>
        </w:rPr>
        <w:t xml:space="preserve">Salarios medios mensuales brutos del sector público y del sector privado. </w:t>
      </w:r>
      <w:r>
        <w:t>Euros</w:t>
      </w:r>
    </w:p>
    <w:p w14:paraId="76693C2F" w14:textId="0B1CE8E5" w:rsidR="00482922" w:rsidRDefault="00482922"/>
    <w:p w14:paraId="2096193B" w14:textId="5569E797" w:rsidR="00BA3B7A" w:rsidRPr="00F81C44" w:rsidRDefault="00BA3B7A">
      <w:r>
        <w:t xml:space="preserve">GBP to EUR </w:t>
      </w:r>
      <w:r w:rsidR="009052D3">
        <w:t xml:space="preserve">average annual exchange rates </w:t>
      </w:r>
      <w:hyperlink r:id="rId26" w:history="1">
        <w:r w:rsidR="009052D3" w:rsidRPr="009C04B2">
          <w:rPr>
            <w:rStyle w:val="Hyperlink"/>
          </w:rPr>
          <w:t>https://www.ofx.com/en-ie/forex-news/historical-exchange-rates/yearly-average-rates/</w:t>
        </w:r>
      </w:hyperlink>
      <w:r w:rsidR="009052D3">
        <w:t xml:space="preserve"> </w:t>
      </w:r>
    </w:p>
    <w:sectPr w:rsidR="00BA3B7A"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6CD6" w14:textId="77777777" w:rsidR="00844D4F" w:rsidRDefault="00844D4F" w:rsidP="007520E0">
      <w:pPr>
        <w:spacing w:after="0" w:line="240" w:lineRule="auto"/>
      </w:pPr>
      <w:r>
        <w:separator/>
      </w:r>
    </w:p>
  </w:endnote>
  <w:endnote w:type="continuationSeparator" w:id="0">
    <w:p w14:paraId="13B1B95B" w14:textId="77777777" w:rsidR="00844D4F" w:rsidRDefault="00844D4F"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6813" w14:textId="77777777" w:rsidR="00844D4F" w:rsidRDefault="00844D4F" w:rsidP="007520E0">
      <w:pPr>
        <w:spacing w:after="0" w:line="240" w:lineRule="auto"/>
      </w:pPr>
      <w:r>
        <w:separator/>
      </w:r>
    </w:p>
  </w:footnote>
  <w:footnote w:type="continuationSeparator" w:id="0">
    <w:p w14:paraId="203449C2" w14:textId="77777777" w:rsidR="00844D4F" w:rsidRDefault="00844D4F"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16DEC"/>
    <w:rsid w:val="000222C4"/>
    <w:rsid w:val="00042D88"/>
    <w:rsid w:val="000449EA"/>
    <w:rsid w:val="00051F08"/>
    <w:rsid w:val="00052CB5"/>
    <w:rsid w:val="0005581B"/>
    <w:rsid w:val="00056580"/>
    <w:rsid w:val="00062A2A"/>
    <w:rsid w:val="00062E10"/>
    <w:rsid w:val="00065DE5"/>
    <w:rsid w:val="00067C61"/>
    <w:rsid w:val="000720B8"/>
    <w:rsid w:val="000766D8"/>
    <w:rsid w:val="00084C57"/>
    <w:rsid w:val="00091F13"/>
    <w:rsid w:val="000A1D95"/>
    <w:rsid w:val="000A30F5"/>
    <w:rsid w:val="000A7EC5"/>
    <w:rsid w:val="000B02A2"/>
    <w:rsid w:val="000B09EA"/>
    <w:rsid w:val="000C2777"/>
    <w:rsid w:val="000C30E8"/>
    <w:rsid w:val="000D49D0"/>
    <w:rsid w:val="000D4BD0"/>
    <w:rsid w:val="000F2035"/>
    <w:rsid w:val="000F6EC0"/>
    <w:rsid w:val="00122163"/>
    <w:rsid w:val="001252AF"/>
    <w:rsid w:val="00126A03"/>
    <w:rsid w:val="00133A61"/>
    <w:rsid w:val="00134722"/>
    <w:rsid w:val="00147D30"/>
    <w:rsid w:val="001504EB"/>
    <w:rsid w:val="0015297A"/>
    <w:rsid w:val="0015439B"/>
    <w:rsid w:val="00164646"/>
    <w:rsid w:val="00166FFF"/>
    <w:rsid w:val="00167774"/>
    <w:rsid w:val="00191CBB"/>
    <w:rsid w:val="001A4C33"/>
    <w:rsid w:val="001C0458"/>
    <w:rsid w:val="001F1994"/>
    <w:rsid w:val="001F27C1"/>
    <w:rsid w:val="001F43FD"/>
    <w:rsid w:val="00204FF1"/>
    <w:rsid w:val="00213447"/>
    <w:rsid w:val="00217A94"/>
    <w:rsid w:val="00222D29"/>
    <w:rsid w:val="002400B8"/>
    <w:rsid w:val="0024439F"/>
    <w:rsid w:val="002471C4"/>
    <w:rsid w:val="00247330"/>
    <w:rsid w:val="002656DE"/>
    <w:rsid w:val="00280CC2"/>
    <w:rsid w:val="0028172F"/>
    <w:rsid w:val="00284522"/>
    <w:rsid w:val="002929D8"/>
    <w:rsid w:val="002A25B2"/>
    <w:rsid w:val="002B01AE"/>
    <w:rsid w:val="002B526F"/>
    <w:rsid w:val="002C1131"/>
    <w:rsid w:val="002C60BF"/>
    <w:rsid w:val="002D4F49"/>
    <w:rsid w:val="002E700B"/>
    <w:rsid w:val="002E7E53"/>
    <w:rsid w:val="002F3FCB"/>
    <w:rsid w:val="002F63FF"/>
    <w:rsid w:val="002F7E0F"/>
    <w:rsid w:val="00302955"/>
    <w:rsid w:val="0031158F"/>
    <w:rsid w:val="00317567"/>
    <w:rsid w:val="00357E3D"/>
    <w:rsid w:val="00374049"/>
    <w:rsid w:val="00381356"/>
    <w:rsid w:val="00382525"/>
    <w:rsid w:val="003868DF"/>
    <w:rsid w:val="00386B58"/>
    <w:rsid w:val="00391D71"/>
    <w:rsid w:val="003A01C9"/>
    <w:rsid w:val="003A2544"/>
    <w:rsid w:val="003A3DCE"/>
    <w:rsid w:val="003A56D0"/>
    <w:rsid w:val="003A7120"/>
    <w:rsid w:val="003B0A96"/>
    <w:rsid w:val="003B6476"/>
    <w:rsid w:val="003C0AAF"/>
    <w:rsid w:val="003D788F"/>
    <w:rsid w:val="003E18BF"/>
    <w:rsid w:val="003E484D"/>
    <w:rsid w:val="003F1F64"/>
    <w:rsid w:val="003F5C6C"/>
    <w:rsid w:val="00401D55"/>
    <w:rsid w:val="00404A05"/>
    <w:rsid w:val="00407306"/>
    <w:rsid w:val="0041302F"/>
    <w:rsid w:val="004157D9"/>
    <w:rsid w:val="00424C01"/>
    <w:rsid w:val="0042643A"/>
    <w:rsid w:val="00434583"/>
    <w:rsid w:val="004453E0"/>
    <w:rsid w:val="00474446"/>
    <w:rsid w:val="00480C5D"/>
    <w:rsid w:val="00482922"/>
    <w:rsid w:val="00485BB5"/>
    <w:rsid w:val="00490A15"/>
    <w:rsid w:val="004A6FE6"/>
    <w:rsid w:val="004B1109"/>
    <w:rsid w:val="004B12B1"/>
    <w:rsid w:val="004B5165"/>
    <w:rsid w:val="004C3C5E"/>
    <w:rsid w:val="004D5478"/>
    <w:rsid w:val="004D56F1"/>
    <w:rsid w:val="004E6BA6"/>
    <w:rsid w:val="004F031E"/>
    <w:rsid w:val="004F0941"/>
    <w:rsid w:val="00500426"/>
    <w:rsid w:val="0050447D"/>
    <w:rsid w:val="0052470D"/>
    <w:rsid w:val="00527460"/>
    <w:rsid w:val="00540817"/>
    <w:rsid w:val="005459FF"/>
    <w:rsid w:val="0055686D"/>
    <w:rsid w:val="00566399"/>
    <w:rsid w:val="005730F9"/>
    <w:rsid w:val="005861E2"/>
    <w:rsid w:val="00591E6D"/>
    <w:rsid w:val="005A2F79"/>
    <w:rsid w:val="005A7297"/>
    <w:rsid w:val="005B0D99"/>
    <w:rsid w:val="005D0D99"/>
    <w:rsid w:val="005D19DE"/>
    <w:rsid w:val="005D698A"/>
    <w:rsid w:val="006004F4"/>
    <w:rsid w:val="006038A6"/>
    <w:rsid w:val="00623F89"/>
    <w:rsid w:val="0064284C"/>
    <w:rsid w:val="00650A33"/>
    <w:rsid w:val="00665B57"/>
    <w:rsid w:val="00667B6F"/>
    <w:rsid w:val="00671078"/>
    <w:rsid w:val="006A71C1"/>
    <w:rsid w:val="006A7872"/>
    <w:rsid w:val="006B1FC7"/>
    <w:rsid w:val="006B27AE"/>
    <w:rsid w:val="006C2846"/>
    <w:rsid w:val="006D0BFF"/>
    <w:rsid w:val="006F5AB6"/>
    <w:rsid w:val="00704C2D"/>
    <w:rsid w:val="007136B3"/>
    <w:rsid w:val="0071727E"/>
    <w:rsid w:val="00727D78"/>
    <w:rsid w:val="007347CA"/>
    <w:rsid w:val="007520E0"/>
    <w:rsid w:val="00763D92"/>
    <w:rsid w:val="00764A03"/>
    <w:rsid w:val="007668D9"/>
    <w:rsid w:val="00781069"/>
    <w:rsid w:val="007939BF"/>
    <w:rsid w:val="00793E46"/>
    <w:rsid w:val="007A53FF"/>
    <w:rsid w:val="007A7E6E"/>
    <w:rsid w:val="007C1F2A"/>
    <w:rsid w:val="007C2F32"/>
    <w:rsid w:val="007D126C"/>
    <w:rsid w:val="007D1ADB"/>
    <w:rsid w:val="007E0C23"/>
    <w:rsid w:val="007E0C76"/>
    <w:rsid w:val="007F051B"/>
    <w:rsid w:val="007F144E"/>
    <w:rsid w:val="00806B31"/>
    <w:rsid w:val="008319EE"/>
    <w:rsid w:val="00837371"/>
    <w:rsid w:val="0084014D"/>
    <w:rsid w:val="00844D4F"/>
    <w:rsid w:val="0086210D"/>
    <w:rsid w:val="0087748B"/>
    <w:rsid w:val="008913AF"/>
    <w:rsid w:val="008926B9"/>
    <w:rsid w:val="008A07DD"/>
    <w:rsid w:val="008A2912"/>
    <w:rsid w:val="008A706C"/>
    <w:rsid w:val="008B461B"/>
    <w:rsid w:val="008B78B0"/>
    <w:rsid w:val="008C6DED"/>
    <w:rsid w:val="009038A7"/>
    <w:rsid w:val="009052D3"/>
    <w:rsid w:val="00910FF2"/>
    <w:rsid w:val="009239F1"/>
    <w:rsid w:val="00943686"/>
    <w:rsid w:val="009446C5"/>
    <w:rsid w:val="00952114"/>
    <w:rsid w:val="00952374"/>
    <w:rsid w:val="009641CB"/>
    <w:rsid w:val="009666A3"/>
    <w:rsid w:val="00970591"/>
    <w:rsid w:val="00974666"/>
    <w:rsid w:val="009940E4"/>
    <w:rsid w:val="009A33A3"/>
    <w:rsid w:val="009B0191"/>
    <w:rsid w:val="009C199E"/>
    <w:rsid w:val="009D04DF"/>
    <w:rsid w:val="009F713F"/>
    <w:rsid w:val="00A01DFE"/>
    <w:rsid w:val="00A0254F"/>
    <w:rsid w:val="00A03413"/>
    <w:rsid w:val="00A06A2C"/>
    <w:rsid w:val="00A11CAF"/>
    <w:rsid w:val="00A16629"/>
    <w:rsid w:val="00A24E26"/>
    <w:rsid w:val="00A37DB5"/>
    <w:rsid w:val="00A4586C"/>
    <w:rsid w:val="00A61188"/>
    <w:rsid w:val="00A63AC0"/>
    <w:rsid w:val="00A74E29"/>
    <w:rsid w:val="00A848B2"/>
    <w:rsid w:val="00A84A09"/>
    <w:rsid w:val="00A84CB1"/>
    <w:rsid w:val="00A85740"/>
    <w:rsid w:val="00A96B50"/>
    <w:rsid w:val="00A97495"/>
    <w:rsid w:val="00AA2305"/>
    <w:rsid w:val="00AA4488"/>
    <w:rsid w:val="00AA7A50"/>
    <w:rsid w:val="00AB114F"/>
    <w:rsid w:val="00AE2235"/>
    <w:rsid w:val="00AE5DCA"/>
    <w:rsid w:val="00AF04AD"/>
    <w:rsid w:val="00B00AB7"/>
    <w:rsid w:val="00B02195"/>
    <w:rsid w:val="00B12AEF"/>
    <w:rsid w:val="00B26650"/>
    <w:rsid w:val="00B45EB0"/>
    <w:rsid w:val="00B47CE4"/>
    <w:rsid w:val="00B5083C"/>
    <w:rsid w:val="00B519C6"/>
    <w:rsid w:val="00B6037E"/>
    <w:rsid w:val="00B81737"/>
    <w:rsid w:val="00BA20BD"/>
    <w:rsid w:val="00BA3297"/>
    <w:rsid w:val="00BA3B7A"/>
    <w:rsid w:val="00BA5CA4"/>
    <w:rsid w:val="00BB781D"/>
    <w:rsid w:val="00BC64FB"/>
    <w:rsid w:val="00BD0489"/>
    <w:rsid w:val="00BE40C8"/>
    <w:rsid w:val="00C110C9"/>
    <w:rsid w:val="00C22DA6"/>
    <w:rsid w:val="00C2615D"/>
    <w:rsid w:val="00C363AB"/>
    <w:rsid w:val="00C41077"/>
    <w:rsid w:val="00C96C39"/>
    <w:rsid w:val="00CA30C8"/>
    <w:rsid w:val="00CA5DEF"/>
    <w:rsid w:val="00CB0487"/>
    <w:rsid w:val="00CB5A56"/>
    <w:rsid w:val="00CC1CCE"/>
    <w:rsid w:val="00CD6B5F"/>
    <w:rsid w:val="00CF2140"/>
    <w:rsid w:val="00CF2491"/>
    <w:rsid w:val="00D404AB"/>
    <w:rsid w:val="00D45EF2"/>
    <w:rsid w:val="00D50643"/>
    <w:rsid w:val="00D519F7"/>
    <w:rsid w:val="00D8039F"/>
    <w:rsid w:val="00D804F2"/>
    <w:rsid w:val="00D83424"/>
    <w:rsid w:val="00D96B33"/>
    <w:rsid w:val="00DA1485"/>
    <w:rsid w:val="00DA3215"/>
    <w:rsid w:val="00DA7774"/>
    <w:rsid w:val="00DB1448"/>
    <w:rsid w:val="00DB63D0"/>
    <w:rsid w:val="00DC156D"/>
    <w:rsid w:val="00DC40AB"/>
    <w:rsid w:val="00DD34CC"/>
    <w:rsid w:val="00DE167A"/>
    <w:rsid w:val="00E1217C"/>
    <w:rsid w:val="00E3115D"/>
    <w:rsid w:val="00E31F22"/>
    <w:rsid w:val="00E47870"/>
    <w:rsid w:val="00E5464F"/>
    <w:rsid w:val="00E742FE"/>
    <w:rsid w:val="00E74F74"/>
    <w:rsid w:val="00E807C6"/>
    <w:rsid w:val="00E80C39"/>
    <w:rsid w:val="00E825FB"/>
    <w:rsid w:val="00E931D8"/>
    <w:rsid w:val="00EA47E1"/>
    <w:rsid w:val="00EA4E00"/>
    <w:rsid w:val="00EB3657"/>
    <w:rsid w:val="00EB7C77"/>
    <w:rsid w:val="00EC665A"/>
    <w:rsid w:val="00EE2538"/>
    <w:rsid w:val="00EE2AB7"/>
    <w:rsid w:val="00EE4589"/>
    <w:rsid w:val="00EE4962"/>
    <w:rsid w:val="00F22C56"/>
    <w:rsid w:val="00F2335D"/>
    <w:rsid w:val="00F23518"/>
    <w:rsid w:val="00F2362E"/>
    <w:rsid w:val="00F260FA"/>
    <w:rsid w:val="00F36D17"/>
    <w:rsid w:val="00F416B5"/>
    <w:rsid w:val="00F41CE2"/>
    <w:rsid w:val="00F52CE5"/>
    <w:rsid w:val="00F549D7"/>
    <w:rsid w:val="00F60F7A"/>
    <w:rsid w:val="00F70EBA"/>
    <w:rsid w:val="00F744B4"/>
    <w:rsid w:val="00F81C44"/>
    <w:rsid w:val="00FA7283"/>
    <w:rsid w:val="00FC01C5"/>
    <w:rsid w:val="00FC6295"/>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E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49640306">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402215067">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fx.com/en-ie/forex-news/historical-exchange-rates/yearly-average-rates/" TargetMode="External"/><Relationship Id="rId3" Type="http://schemas.openxmlformats.org/officeDocument/2006/relationships/settings" Target="settings.xml"/><Relationship Id="rId21" Type="http://schemas.openxmlformats.org/officeDocument/2006/relationships/hyperlink" Target="http://www.ofx.com" TargetMode="External"/><Relationship Id="rId7" Type="http://schemas.openxmlformats.org/officeDocument/2006/relationships/hyperlink" Target="http://www.ine.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e.es/prensa/epa_2021_d.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ons.gov.uk/employmentandlabourmarket/peopleinwork/earningsandworkinghours/adhocs/10665publicversusprivatesectorearningsintheuk2011to201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ons.gov.uk/employmentandlabourmarket/peopleinwork/earningsandworkinghours/datasets/averageweeklyearning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ns.gov.uk/employmentandlabourmarket/peopleinwork/publicsectorpersonnel/datasets/publicsectoremploymenttimeseriesdatas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11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304</cp:revision>
  <dcterms:created xsi:type="dcterms:W3CDTF">2023-07-07T21:38:00Z</dcterms:created>
  <dcterms:modified xsi:type="dcterms:W3CDTF">2023-08-06T02:58:00Z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