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9158" w14:textId="77777777" w:rsidR="00925532" w:rsidRPr="0074154F" w:rsidRDefault="00925532" w:rsidP="00925532">
      <w:pPr>
        <w:spacing w:after="0" w:line="240" w:lineRule="auto"/>
        <w:ind w:left="4395" w:right="-1"/>
        <w:rPr>
          <w:rFonts w:ascii="Arial" w:hAnsi="Arial" w:cs="Arial"/>
          <w:color w:val="000099"/>
          <w:sz w:val="20"/>
          <w:szCs w:val="20"/>
        </w:rPr>
      </w:pPr>
    </w:p>
    <w:p w14:paraId="62E0BA41" w14:textId="77777777" w:rsidR="00925532" w:rsidRPr="0074154F" w:rsidRDefault="00925532" w:rsidP="00925532">
      <w:pPr>
        <w:spacing w:after="0" w:line="240" w:lineRule="auto"/>
        <w:ind w:left="4395" w:right="-1"/>
        <w:rPr>
          <w:rFonts w:ascii="Arial" w:hAnsi="Arial" w:cs="Arial"/>
          <w:color w:val="000099"/>
          <w:sz w:val="20"/>
          <w:szCs w:val="20"/>
        </w:rPr>
      </w:pPr>
    </w:p>
    <w:p w14:paraId="62562EEC" w14:textId="77777777" w:rsidR="00925532" w:rsidRPr="0074154F" w:rsidRDefault="00925532" w:rsidP="00925532">
      <w:pPr>
        <w:spacing w:after="0" w:line="240" w:lineRule="auto"/>
        <w:ind w:left="4395" w:right="-1"/>
        <w:rPr>
          <w:rFonts w:ascii="Arial" w:hAnsi="Arial" w:cs="Arial"/>
          <w:color w:val="000099"/>
          <w:sz w:val="20"/>
          <w:szCs w:val="20"/>
        </w:rPr>
      </w:pPr>
    </w:p>
    <w:p w14:paraId="1F52EF60" w14:textId="77777777" w:rsidR="00925532" w:rsidRPr="0074154F" w:rsidRDefault="00925532" w:rsidP="00925532">
      <w:pPr>
        <w:spacing w:after="0" w:line="240" w:lineRule="auto"/>
        <w:ind w:left="4395" w:right="-1"/>
        <w:rPr>
          <w:rFonts w:ascii="Arial" w:hAnsi="Arial" w:cs="Arial"/>
          <w:color w:val="000099"/>
          <w:sz w:val="20"/>
          <w:szCs w:val="20"/>
        </w:rPr>
      </w:pPr>
    </w:p>
    <w:p w14:paraId="4BB5EEF8" w14:textId="77777777" w:rsidR="00925532" w:rsidRPr="0074154F" w:rsidRDefault="00925532" w:rsidP="00925532">
      <w:pPr>
        <w:spacing w:after="0" w:line="240" w:lineRule="auto"/>
        <w:ind w:left="4395" w:right="-1"/>
        <w:rPr>
          <w:rFonts w:ascii="Arial" w:hAnsi="Arial" w:cs="Arial"/>
          <w:color w:val="000099"/>
          <w:sz w:val="20"/>
          <w:szCs w:val="20"/>
        </w:rPr>
      </w:pPr>
    </w:p>
    <w:p w14:paraId="1D9D89AC" w14:textId="77777777" w:rsidR="00925532" w:rsidRPr="0074154F" w:rsidRDefault="00925532" w:rsidP="00925532">
      <w:pPr>
        <w:spacing w:after="0" w:line="240" w:lineRule="auto"/>
        <w:ind w:left="4395" w:right="-1"/>
        <w:rPr>
          <w:rFonts w:ascii="Arial" w:hAnsi="Arial" w:cs="Arial"/>
          <w:color w:val="000099"/>
          <w:sz w:val="20"/>
          <w:szCs w:val="20"/>
        </w:rPr>
      </w:pPr>
    </w:p>
    <w:p w14:paraId="3FB73C57" w14:textId="77777777" w:rsidR="00925532" w:rsidRPr="0074154F" w:rsidRDefault="00925532" w:rsidP="00925532">
      <w:pPr>
        <w:spacing w:after="0" w:line="240" w:lineRule="auto"/>
        <w:ind w:left="4395" w:right="-1"/>
        <w:rPr>
          <w:rFonts w:ascii="Arial" w:hAnsi="Arial" w:cs="Arial"/>
          <w:color w:val="000099"/>
          <w:sz w:val="20"/>
          <w:szCs w:val="20"/>
        </w:rPr>
      </w:pPr>
    </w:p>
    <w:p w14:paraId="73929990" w14:textId="77777777" w:rsidR="00925532" w:rsidRPr="0074154F" w:rsidRDefault="00925532" w:rsidP="00925532">
      <w:pPr>
        <w:spacing w:after="0" w:line="240" w:lineRule="auto"/>
        <w:ind w:left="4395" w:right="-1"/>
        <w:rPr>
          <w:rFonts w:ascii="Arial" w:hAnsi="Arial" w:cs="Arial"/>
          <w:color w:val="000099"/>
          <w:sz w:val="20"/>
          <w:szCs w:val="20"/>
        </w:rPr>
      </w:pPr>
    </w:p>
    <w:p w14:paraId="5A1A1FD9" w14:textId="77777777" w:rsidR="00925532" w:rsidRPr="0074154F" w:rsidRDefault="00925532" w:rsidP="00925532">
      <w:pPr>
        <w:spacing w:after="0" w:line="240" w:lineRule="auto"/>
        <w:ind w:left="4395" w:right="-1"/>
        <w:rPr>
          <w:rFonts w:ascii="Arial" w:hAnsi="Arial" w:cs="Arial"/>
          <w:color w:val="000099"/>
          <w:sz w:val="20"/>
          <w:szCs w:val="20"/>
        </w:rPr>
      </w:pPr>
    </w:p>
    <w:p w14:paraId="3744AF75" w14:textId="77777777" w:rsidR="00925532" w:rsidRPr="0074154F" w:rsidRDefault="00925532" w:rsidP="00925532">
      <w:pPr>
        <w:spacing w:after="0" w:line="240" w:lineRule="auto"/>
        <w:ind w:left="4395" w:right="-1"/>
        <w:rPr>
          <w:rFonts w:ascii="Arial" w:hAnsi="Arial" w:cs="Arial"/>
          <w:color w:val="000099"/>
          <w:sz w:val="20"/>
          <w:szCs w:val="20"/>
        </w:rPr>
      </w:pPr>
    </w:p>
    <w:p w14:paraId="610BFD5C" w14:textId="77777777" w:rsidR="00925532" w:rsidRPr="0074154F" w:rsidRDefault="00925532" w:rsidP="00925532">
      <w:pPr>
        <w:spacing w:after="0" w:line="240" w:lineRule="auto"/>
        <w:ind w:left="4395" w:right="-1"/>
        <w:rPr>
          <w:rFonts w:ascii="Arial" w:hAnsi="Arial" w:cs="Arial"/>
          <w:color w:val="000099"/>
          <w:sz w:val="20"/>
          <w:szCs w:val="20"/>
        </w:rPr>
      </w:pPr>
    </w:p>
    <w:p w14:paraId="240394CE" w14:textId="77777777" w:rsidR="00925532" w:rsidRPr="0074154F" w:rsidRDefault="00925532" w:rsidP="00925532">
      <w:pPr>
        <w:spacing w:after="0" w:line="240" w:lineRule="auto"/>
        <w:ind w:left="4395" w:right="-1"/>
        <w:rPr>
          <w:rFonts w:ascii="Arial" w:hAnsi="Arial" w:cs="Arial"/>
          <w:color w:val="000099"/>
          <w:sz w:val="20"/>
          <w:szCs w:val="20"/>
        </w:rPr>
      </w:pPr>
    </w:p>
    <w:p w14:paraId="38706945" w14:textId="77777777" w:rsidR="00925532" w:rsidRPr="0074154F" w:rsidRDefault="00925532" w:rsidP="00925532">
      <w:pPr>
        <w:spacing w:after="0" w:line="240" w:lineRule="auto"/>
        <w:ind w:left="4395" w:right="-1"/>
        <w:rPr>
          <w:rFonts w:ascii="Arial" w:hAnsi="Arial" w:cs="Arial"/>
          <w:color w:val="000099"/>
          <w:sz w:val="20"/>
          <w:szCs w:val="20"/>
        </w:rPr>
      </w:pPr>
    </w:p>
    <w:p w14:paraId="4B834C04" w14:textId="77777777" w:rsidR="00925532" w:rsidRPr="0074154F" w:rsidRDefault="00925532" w:rsidP="00925532">
      <w:pPr>
        <w:spacing w:after="0" w:line="240" w:lineRule="auto"/>
        <w:ind w:left="4395" w:right="-1"/>
        <w:rPr>
          <w:rFonts w:ascii="Arial" w:hAnsi="Arial" w:cs="Arial"/>
          <w:color w:val="000099"/>
          <w:sz w:val="20"/>
          <w:szCs w:val="20"/>
        </w:rPr>
      </w:pPr>
    </w:p>
    <w:p w14:paraId="07080807" w14:textId="77777777" w:rsidR="00925532" w:rsidRPr="0074154F" w:rsidRDefault="00925532" w:rsidP="00925532">
      <w:pPr>
        <w:spacing w:after="0" w:line="240" w:lineRule="auto"/>
        <w:ind w:left="4395" w:right="-1"/>
        <w:rPr>
          <w:rFonts w:ascii="Arial" w:hAnsi="Arial" w:cs="Arial"/>
          <w:color w:val="000099"/>
          <w:sz w:val="20"/>
          <w:szCs w:val="20"/>
        </w:rPr>
      </w:pPr>
    </w:p>
    <w:p w14:paraId="5A28AE76" w14:textId="77777777" w:rsidR="00925532" w:rsidRPr="0074154F" w:rsidRDefault="00925532" w:rsidP="00925532">
      <w:pPr>
        <w:spacing w:after="0" w:line="240" w:lineRule="auto"/>
        <w:ind w:left="4395" w:right="-1"/>
        <w:rPr>
          <w:rFonts w:ascii="Arial" w:hAnsi="Arial" w:cs="Arial"/>
          <w:color w:val="000099"/>
          <w:sz w:val="20"/>
          <w:szCs w:val="20"/>
        </w:rPr>
      </w:pPr>
    </w:p>
    <w:p w14:paraId="65B9CE5D" w14:textId="77777777" w:rsidR="00925532" w:rsidRPr="0074154F" w:rsidRDefault="00925532" w:rsidP="00925532">
      <w:pPr>
        <w:spacing w:after="0" w:line="240" w:lineRule="auto"/>
        <w:ind w:left="4395" w:right="-1"/>
        <w:rPr>
          <w:rFonts w:ascii="Arial" w:hAnsi="Arial" w:cs="Arial"/>
          <w:color w:val="000099"/>
          <w:sz w:val="20"/>
          <w:szCs w:val="20"/>
        </w:rPr>
      </w:pPr>
    </w:p>
    <w:p w14:paraId="242EBC66" w14:textId="77777777" w:rsidR="00925532" w:rsidRPr="0074154F" w:rsidRDefault="00925532" w:rsidP="00925532">
      <w:pPr>
        <w:spacing w:after="0" w:line="240" w:lineRule="auto"/>
        <w:ind w:left="4395" w:right="-1"/>
        <w:rPr>
          <w:rFonts w:ascii="Arial" w:hAnsi="Arial" w:cs="Arial"/>
          <w:color w:val="000099"/>
          <w:sz w:val="20"/>
          <w:szCs w:val="20"/>
        </w:rPr>
      </w:pPr>
    </w:p>
    <w:p w14:paraId="332DFBE7" w14:textId="333E0047" w:rsidR="00260D37" w:rsidRPr="0074154F" w:rsidRDefault="00C05E8A" w:rsidP="00413455">
      <w:pPr>
        <w:spacing w:after="0" w:line="240" w:lineRule="auto"/>
        <w:ind w:left="4253"/>
        <w:rPr>
          <w:rFonts w:ascii="Arial" w:eastAsia="Times New Roman" w:hAnsi="Arial" w:cs="Arial"/>
          <w:b/>
          <w:sz w:val="20"/>
          <w:szCs w:val="20"/>
          <w:lang w:val="es-MX" w:eastAsia="es-ES"/>
        </w:rPr>
      </w:pPr>
      <w:r w:rsidRPr="0074154F">
        <w:rPr>
          <w:rFonts w:ascii="Arial" w:eastAsia="Times New Roman" w:hAnsi="Arial" w:cs="Arial"/>
          <w:b/>
          <w:sz w:val="20"/>
          <w:szCs w:val="20"/>
          <w:lang w:val="es-MX" w:eastAsia="es-ES"/>
        </w:rPr>
        <w:t>TELCONET S.A.</w:t>
      </w:r>
    </w:p>
    <w:p w14:paraId="696AA0F6" w14:textId="0607138F" w:rsidR="00260D37" w:rsidRPr="0074154F" w:rsidRDefault="00260D37" w:rsidP="00413455">
      <w:pPr>
        <w:spacing w:after="0" w:line="240" w:lineRule="auto"/>
        <w:ind w:left="4253"/>
        <w:rPr>
          <w:rFonts w:ascii="Arial" w:eastAsia="Times New Roman" w:hAnsi="Arial" w:cs="Arial"/>
          <w:b/>
          <w:sz w:val="20"/>
          <w:szCs w:val="20"/>
          <w:lang w:eastAsia="es-ES"/>
        </w:rPr>
      </w:pPr>
      <w:r w:rsidRPr="0074154F">
        <w:rPr>
          <w:rFonts w:ascii="Arial" w:eastAsia="Times New Roman" w:hAnsi="Arial" w:cs="Arial"/>
          <w:b/>
          <w:sz w:val="20"/>
          <w:szCs w:val="20"/>
          <w:lang w:eastAsia="es-ES"/>
        </w:rPr>
        <w:t>----------------------</w:t>
      </w:r>
      <w:r w:rsidR="00721EAA" w:rsidRPr="0074154F">
        <w:rPr>
          <w:rFonts w:ascii="Arial" w:eastAsia="Times New Roman" w:hAnsi="Arial" w:cs="Arial"/>
          <w:b/>
          <w:sz w:val="20"/>
          <w:szCs w:val="20"/>
          <w:lang w:eastAsia="es-ES"/>
        </w:rPr>
        <w:t>----</w:t>
      </w:r>
      <w:r w:rsidRPr="0074154F">
        <w:rPr>
          <w:rFonts w:ascii="Arial" w:eastAsia="Times New Roman" w:hAnsi="Arial" w:cs="Arial"/>
          <w:b/>
          <w:sz w:val="20"/>
          <w:szCs w:val="20"/>
          <w:lang w:eastAsia="es-ES"/>
        </w:rPr>
        <w:t>----</w:t>
      </w:r>
      <w:r w:rsidR="00011F5E" w:rsidRPr="0074154F">
        <w:rPr>
          <w:rFonts w:ascii="Arial" w:eastAsia="Times New Roman" w:hAnsi="Arial" w:cs="Arial"/>
          <w:b/>
          <w:sz w:val="20"/>
          <w:szCs w:val="20"/>
          <w:lang w:eastAsia="es-ES"/>
        </w:rPr>
        <w:t>---------</w:t>
      </w:r>
      <w:r w:rsidR="007434F3" w:rsidRPr="0074154F">
        <w:rPr>
          <w:rFonts w:ascii="Arial" w:eastAsia="Times New Roman" w:hAnsi="Arial" w:cs="Arial"/>
          <w:b/>
          <w:sz w:val="20"/>
          <w:szCs w:val="20"/>
          <w:lang w:eastAsia="es-ES"/>
        </w:rPr>
        <w:t>---------------------------</w:t>
      </w:r>
      <w:r w:rsidR="00413455" w:rsidRPr="0074154F">
        <w:rPr>
          <w:rFonts w:ascii="Arial" w:eastAsia="Times New Roman" w:hAnsi="Arial" w:cs="Arial"/>
          <w:b/>
          <w:sz w:val="20"/>
          <w:szCs w:val="20"/>
          <w:lang w:eastAsia="es-ES"/>
        </w:rPr>
        <w:t>-----</w:t>
      </w:r>
    </w:p>
    <w:p w14:paraId="6EFBD0AE" w14:textId="2CA17D81" w:rsidR="00EC598C" w:rsidRPr="0074154F" w:rsidRDefault="00EC598C" w:rsidP="00413455">
      <w:pPr>
        <w:spacing w:after="0" w:line="240" w:lineRule="auto"/>
        <w:ind w:left="4253"/>
        <w:rPr>
          <w:rFonts w:ascii="Arial" w:hAnsi="Arial" w:cs="Arial"/>
          <w:b/>
          <w:sz w:val="20"/>
          <w:szCs w:val="20"/>
        </w:rPr>
      </w:pPr>
      <w:r w:rsidRPr="0074154F">
        <w:rPr>
          <w:rFonts w:ascii="Arial" w:hAnsi="Arial" w:cs="Arial"/>
          <w:b/>
          <w:sz w:val="20"/>
          <w:szCs w:val="20"/>
        </w:rPr>
        <w:t>ESTADOS FINANCIEROS</w:t>
      </w:r>
      <w:r w:rsidR="00615AEF" w:rsidRPr="0074154F">
        <w:rPr>
          <w:rFonts w:ascii="Arial" w:hAnsi="Arial" w:cs="Arial"/>
          <w:b/>
          <w:sz w:val="20"/>
          <w:szCs w:val="20"/>
        </w:rPr>
        <w:t xml:space="preserve"> </w:t>
      </w:r>
      <w:r w:rsidR="005F555D">
        <w:rPr>
          <w:rFonts w:ascii="Arial" w:hAnsi="Arial" w:cs="Arial"/>
          <w:b/>
          <w:sz w:val="20"/>
          <w:szCs w:val="20"/>
        </w:rPr>
        <w:t>CONSOLIDADO</w:t>
      </w:r>
      <w:r w:rsidR="00972EF7" w:rsidRPr="0074154F">
        <w:rPr>
          <w:rFonts w:ascii="Arial" w:hAnsi="Arial" w:cs="Arial"/>
          <w:b/>
          <w:sz w:val="20"/>
          <w:szCs w:val="20"/>
        </w:rPr>
        <w:t xml:space="preserve"> </w:t>
      </w:r>
      <w:r w:rsidRPr="0074154F">
        <w:rPr>
          <w:rFonts w:ascii="Arial" w:hAnsi="Arial" w:cs="Arial"/>
          <w:b/>
          <w:sz w:val="20"/>
          <w:szCs w:val="20"/>
        </w:rPr>
        <w:t>CON EL INFORME DE LOS AUDITORES INDEPENDIENTES</w:t>
      </w:r>
      <w:r w:rsidRPr="0074154F" w:rsidDel="001E398A">
        <w:rPr>
          <w:rFonts w:ascii="Arial" w:hAnsi="Arial" w:cs="Arial"/>
          <w:b/>
          <w:sz w:val="20"/>
          <w:szCs w:val="20"/>
        </w:rPr>
        <w:t xml:space="preserve"> </w:t>
      </w:r>
    </w:p>
    <w:p w14:paraId="6BE2379C" w14:textId="77777777" w:rsidR="009D34FB" w:rsidRPr="0074154F" w:rsidRDefault="009D34FB" w:rsidP="00413455">
      <w:pPr>
        <w:spacing w:after="0" w:line="240" w:lineRule="auto"/>
        <w:ind w:left="4253"/>
        <w:rPr>
          <w:rFonts w:ascii="Arial" w:hAnsi="Arial" w:cs="Arial"/>
          <w:b/>
          <w:sz w:val="20"/>
          <w:szCs w:val="20"/>
        </w:rPr>
      </w:pPr>
    </w:p>
    <w:p w14:paraId="7CA9E1D4" w14:textId="2610C1A9" w:rsidR="00EC598C" w:rsidRPr="0074154F" w:rsidRDefault="00EC598C" w:rsidP="00413455">
      <w:pPr>
        <w:spacing w:after="0" w:line="240" w:lineRule="auto"/>
        <w:ind w:left="4253"/>
        <w:rPr>
          <w:rFonts w:ascii="Arial" w:hAnsi="Arial" w:cs="Arial"/>
          <w:b/>
          <w:sz w:val="20"/>
          <w:szCs w:val="20"/>
        </w:rPr>
      </w:pPr>
      <w:r w:rsidRPr="0074154F">
        <w:rPr>
          <w:rFonts w:ascii="Arial" w:hAnsi="Arial" w:cs="Arial"/>
          <w:b/>
          <w:sz w:val="20"/>
          <w:szCs w:val="20"/>
        </w:rPr>
        <w:t>Al 31 de diciembre del 20</w:t>
      </w:r>
      <w:r w:rsidR="008A349B" w:rsidRPr="0074154F">
        <w:rPr>
          <w:rFonts w:ascii="Arial" w:hAnsi="Arial" w:cs="Arial"/>
          <w:b/>
          <w:sz w:val="20"/>
          <w:szCs w:val="20"/>
        </w:rPr>
        <w:t>20</w:t>
      </w:r>
    </w:p>
    <w:p w14:paraId="0C703948" w14:textId="77777777" w:rsidR="005267FE" w:rsidRPr="0074154F" w:rsidRDefault="005267FE" w:rsidP="00413455">
      <w:pPr>
        <w:spacing w:after="0" w:line="240" w:lineRule="auto"/>
        <w:ind w:left="567" w:right="3968"/>
        <w:jc w:val="center"/>
        <w:rPr>
          <w:rFonts w:ascii="Arial" w:eastAsia="Times New Roman" w:hAnsi="Arial" w:cs="Arial"/>
          <w:b/>
          <w:sz w:val="20"/>
          <w:szCs w:val="20"/>
          <w:lang w:eastAsia="es-ES"/>
        </w:rPr>
      </w:pPr>
    </w:p>
    <w:p w14:paraId="4852333B" w14:textId="77777777" w:rsidR="0076052D" w:rsidRPr="0074154F" w:rsidRDefault="0076052D" w:rsidP="00413455">
      <w:pPr>
        <w:spacing w:after="0" w:line="240" w:lineRule="auto"/>
        <w:ind w:left="567" w:right="3968"/>
        <w:jc w:val="center"/>
        <w:rPr>
          <w:rFonts w:ascii="Arial" w:eastAsia="Times New Roman" w:hAnsi="Arial" w:cs="Arial"/>
          <w:b/>
          <w:sz w:val="20"/>
          <w:szCs w:val="20"/>
          <w:lang w:eastAsia="es-ES"/>
        </w:rPr>
      </w:pPr>
    </w:p>
    <w:p w14:paraId="6493AC61" w14:textId="77777777" w:rsidR="00D82827" w:rsidRPr="0074154F" w:rsidRDefault="00D82827" w:rsidP="00413455">
      <w:pPr>
        <w:spacing w:after="0" w:line="240" w:lineRule="auto"/>
        <w:rPr>
          <w:rFonts w:ascii="Arial" w:hAnsi="Arial" w:cs="Arial"/>
          <w:b/>
          <w:sz w:val="20"/>
          <w:szCs w:val="20"/>
          <w:u w:val="single"/>
          <w:lang w:val="es-MX"/>
        </w:rPr>
      </w:pPr>
      <w:r w:rsidRPr="0074154F">
        <w:rPr>
          <w:rFonts w:ascii="Arial" w:hAnsi="Arial" w:cs="Arial"/>
          <w:b/>
          <w:sz w:val="20"/>
          <w:szCs w:val="20"/>
          <w:u w:val="single"/>
          <w:lang w:val="es-MX"/>
        </w:rPr>
        <w:br w:type="page"/>
      </w:r>
    </w:p>
    <w:p w14:paraId="1484417E" w14:textId="62F7B5C0" w:rsidR="00444E6B" w:rsidRPr="0074154F" w:rsidRDefault="00C05E8A" w:rsidP="00413455">
      <w:pPr>
        <w:spacing w:after="0" w:line="240" w:lineRule="auto"/>
        <w:ind w:right="-1"/>
        <w:jc w:val="center"/>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C62692" w:rsidRPr="0074154F">
        <w:rPr>
          <w:rFonts w:ascii="Arial" w:hAnsi="Arial" w:cs="Arial"/>
          <w:b/>
          <w:sz w:val="20"/>
          <w:szCs w:val="20"/>
          <w:u w:val="single"/>
          <w:lang w:val="es-MX"/>
        </w:rPr>
        <w:t xml:space="preserve"> Y COMPAÑÍA</w:t>
      </w:r>
      <w:r w:rsidR="00C0644F">
        <w:rPr>
          <w:rFonts w:ascii="Arial" w:hAnsi="Arial" w:cs="Arial"/>
          <w:b/>
          <w:sz w:val="20"/>
          <w:szCs w:val="20"/>
          <w:u w:val="single"/>
          <w:lang w:val="es-MX"/>
        </w:rPr>
        <w:t xml:space="preserve"> </w:t>
      </w:r>
      <w:r w:rsidR="00C0644F" w:rsidRPr="00C0644F">
        <w:rPr>
          <w:rFonts w:ascii="Arial" w:hAnsi="Arial" w:cs="Arial"/>
          <w:b/>
          <w:sz w:val="20"/>
          <w:szCs w:val="20"/>
          <w:highlight w:val="green"/>
          <w:u w:val="single"/>
          <w:lang w:val="es-MX"/>
        </w:rPr>
        <w:t>RELACIONADA</w:t>
      </w:r>
    </w:p>
    <w:p w14:paraId="30D13732" w14:textId="77777777" w:rsidR="00444E6B" w:rsidRPr="0074154F" w:rsidRDefault="00444E6B" w:rsidP="00413455">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Arial" w:hAnsi="Arial" w:cs="Arial"/>
          <w:lang w:val="es-MX" w:eastAsia="es-ES"/>
        </w:rPr>
      </w:pPr>
    </w:p>
    <w:p w14:paraId="653F4A62" w14:textId="707DE345" w:rsidR="00444E6B" w:rsidRPr="0074154F" w:rsidRDefault="00444E6B" w:rsidP="00413455">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Arial" w:hAnsi="Arial" w:cs="Arial"/>
          <w:lang w:val="es-EC" w:eastAsia="es-ES"/>
        </w:rPr>
      </w:pPr>
      <w:r w:rsidRPr="0074154F">
        <w:rPr>
          <w:rFonts w:ascii="Arial" w:hAnsi="Arial" w:cs="Arial"/>
          <w:lang w:val="es-EC" w:eastAsia="es-ES"/>
        </w:rPr>
        <w:t>Estados Financieros</w:t>
      </w:r>
      <w:r w:rsidR="00477714" w:rsidRPr="0074154F">
        <w:rPr>
          <w:rFonts w:ascii="Arial" w:hAnsi="Arial" w:cs="Arial"/>
          <w:lang w:val="es-EC" w:eastAsia="es-ES"/>
        </w:rPr>
        <w:t xml:space="preserve"> </w:t>
      </w:r>
      <w:r w:rsidR="00C0644F">
        <w:rPr>
          <w:rFonts w:ascii="Arial" w:hAnsi="Arial" w:cs="Arial"/>
        </w:rPr>
        <w:t>Combinados</w:t>
      </w:r>
    </w:p>
    <w:p w14:paraId="48158DE8" w14:textId="71836D02" w:rsidR="00444E6B" w:rsidRPr="0074154F" w:rsidRDefault="00444E6B"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Arial" w:hAnsi="Arial" w:cs="Arial"/>
          <w:lang w:val="es-EC" w:eastAsia="es-ES"/>
        </w:rPr>
      </w:pPr>
      <w:r w:rsidRPr="0074154F">
        <w:rPr>
          <w:rFonts w:ascii="Arial" w:hAnsi="Arial" w:cs="Arial"/>
          <w:lang w:val="es-EC" w:eastAsia="es-ES"/>
        </w:rPr>
        <w:t xml:space="preserve">Por el año terminado el </w:t>
      </w:r>
      <w:r w:rsidR="00D82827" w:rsidRPr="0074154F">
        <w:rPr>
          <w:rFonts w:ascii="Arial" w:hAnsi="Arial" w:cs="Arial"/>
          <w:lang w:val="es-EC" w:eastAsia="es-ES"/>
        </w:rPr>
        <w:t>31 de diciembre del 20</w:t>
      </w:r>
      <w:r w:rsidR="008A349B" w:rsidRPr="0074154F">
        <w:rPr>
          <w:rFonts w:ascii="Arial" w:hAnsi="Arial" w:cs="Arial"/>
          <w:lang w:val="es-EC" w:eastAsia="es-ES"/>
        </w:rPr>
        <w:t>20</w:t>
      </w:r>
    </w:p>
    <w:p w14:paraId="7DF1E43B" w14:textId="77777777" w:rsidR="00444E6B" w:rsidRPr="0074154F" w:rsidRDefault="00444E6B" w:rsidP="00413455">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ind w:right="-1"/>
        <w:jc w:val="center"/>
        <w:rPr>
          <w:rFonts w:ascii="Arial" w:hAnsi="Arial" w:cs="Arial"/>
          <w:lang w:val="es-EC" w:eastAsia="es-ES"/>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382"/>
        <w:gridCol w:w="5954"/>
        <w:gridCol w:w="1701"/>
      </w:tblGrid>
      <w:tr w:rsidR="00EC598C" w:rsidRPr="0074154F" w14:paraId="5BBDF179" w14:textId="77777777" w:rsidTr="00EE1C4D">
        <w:trPr>
          <w:trHeight w:val="624"/>
        </w:trPr>
        <w:tc>
          <w:tcPr>
            <w:tcW w:w="7655" w:type="dxa"/>
            <w:gridSpan w:val="3"/>
            <w:vAlign w:val="bottom"/>
          </w:tcPr>
          <w:p w14:paraId="1DC1139A" w14:textId="4DDFE8A7" w:rsidR="00EC598C" w:rsidRPr="0074154F" w:rsidRDefault="00E83529" w:rsidP="00413455">
            <w:pPr>
              <w:contextualSpacing/>
              <w:mirrorIndents/>
              <w:rPr>
                <w:rFonts w:ascii="Arial" w:hAnsi="Arial" w:cs="Arial"/>
                <w:sz w:val="20"/>
                <w:szCs w:val="20"/>
              </w:rPr>
            </w:pPr>
            <w:r w:rsidRPr="0074154F">
              <w:rPr>
                <w:rFonts w:ascii="Arial" w:hAnsi="Arial" w:cs="Arial"/>
                <w:b/>
                <w:sz w:val="20"/>
                <w:szCs w:val="20"/>
                <w:u w:val="single"/>
              </w:rPr>
              <w:t>Índice de c</w:t>
            </w:r>
            <w:r w:rsidR="00EC598C" w:rsidRPr="0074154F">
              <w:rPr>
                <w:rFonts w:ascii="Arial" w:hAnsi="Arial" w:cs="Arial"/>
                <w:b/>
                <w:sz w:val="20"/>
                <w:szCs w:val="20"/>
                <w:u w:val="single"/>
              </w:rPr>
              <w:t>ontenido</w:t>
            </w:r>
          </w:p>
        </w:tc>
        <w:tc>
          <w:tcPr>
            <w:tcW w:w="1701" w:type="dxa"/>
            <w:vAlign w:val="bottom"/>
          </w:tcPr>
          <w:p w14:paraId="1319B192" w14:textId="0CB93017" w:rsidR="00EC598C" w:rsidRPr="0074154F" w:rsidRDefault="00491BF9" w:rsidP="00413455">
            <w:pPr>
              <w:contextualSpacing/>
              <w:mirrorIndents/>
              <w:jc w:val="center"/>
              <w:rPr>
                <w:rFonts w:ascii="Arial" w:hAnsi="Arial" w:cs="Arial"/>
                <w:b/>
                <w:sz w:val="20"/>
                <w:szCs w:val="20"/>
                <w:u w:val="single"/>
              </w:rPr>
            </w:pPr>
            <w:r w:rsidRPr="0074154F">
              <w:rPr>
                <w:rFonts w:ascii="Arial" w:hAnsi="Arial" w:cs="Arial"/>
                <w:b/>
                <w:sz w:val="20"/>
                <w:szCs w:val="20"/>
                <w:u w:val="single"/>
              </w:rPr>
              <w:t>Página</w:t>
            </w:r>
          </w:p>
        </w:tc>
      </w:tr>
      <w:tr w:rsidR="00EC598C" w:rsidRPr="0074154F" w14:paraId="475C7E5E" w14:textId="77777777" w:rsidTr="00EE1C4D">
        <w:trPr>
          <w:trHeight w:val="509"/>
        </w:trPr>
        <w:tc>
          <w:tcPr>
            <w:tcW w:w="7655" w:type="dxa"/>
            <w:gridSpan w:val="3"/>
            <w:vAlign w:val="bottom"/>
          </w:tcPr>
          <w:p w14:paraId="20E59B15" w14:textId="77777777"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Informe de los auditores independientes</w:t>
            </w:r>
          </w:p>
        </w:tc>
        <w:tc>
          <w:tcPr>
            <w:tcW w:w="1701" w:type="dxa"/>
            <w:vAlign w:val="bottom"/>
          </w:tcPr>
          <w:p w14:paraId="237B2C3A" w14:textId="30CC753F"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1 – 3</w:t>
            </w:r>
          </w:p>
        </w:tc>
      </w:tr>
      <w:tr w:rsidR="00EC598C" w:rsidRPr="0074154F" w14:paraId="2A712F0A" w14:textId="77777777" w:rsidTr="00EE1C4D">
        <w:trPr>
          <w:trHeight w:val="417"/>
        </w:trPr>
        <w:tc>
          <w:tcPr>
            <w:tcW w:w="7655" w:type="dxa"/>
            <w:gridSpan w:val="3"/>
            <w:vAlign w:val="bottom"/>
          </w:tcPr>
          <w:p w14:paraId="4268B90F" w14:textId="6FFF5AC9"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 xml:space="preserve">Estado </w:t>
            </w:r>
            <w:r w:rsidR="00C0644F">
              <w:rPr>
                <w:rFonts w:ascii="Arial" w:hAnsi="Arial" w:cs="Arial"/>
                <w:sz w:val="20"/>
                <w:szCs w:val="20"/>
              </w:rPr>
              <w:t>combinado</w:t>
            </w:r>
            <w:r w:rsidR="00615AEF" w:rsidRPr="0074154F">
              <w:rPr>
                <w:rFonts w:ascii="Arial" w:hAnsi="Arial" w:cs="Arial"/>
                <w:sz w:val="20"/>
                <w:szCs w:val="20"/>
              </w:rPr>
              <w:t xml:space="preserve"> </w:t>
            </w:r>
            <w:r w:rsidRPr="0074154F">
              <w:rPr>
                <w:rFonts w:ascii="Arial" w:hAnsi="Arial" w:cs="Arial"/>
                <w:sz w:val="20"/>
                <w:szCs w:val="20"/>
              </w:rPr>
              <w:t>de situación financiera</w:t>
            </w:r>
          </w:p>
        </w:tc>
        <w:tc>
          <w:tcPr>
            <w:tcW w:w="1701" w:type="dxa"/>
            <w:vAlign w:val="bottom"/>
          </w:tcPr>
          <w:p w14:paraId="46905748" w14:textId="4BC83AE4"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4 – 5</w:t>
            </w:r>
          </w:p>
        </w:tc>
      </w:tr>
      <w:tr w:rsidR="00EC598C" w:rsidRPr="0074154F" w14:paraId="4548F364" w14:textId="77777777" w:rsidTr="00EE1C4D">
        <w:trPr>
          <w:trHeight w:val="423"/>
        </w:trPr>
        <w:tc>
          <w:tcPr>
            <w:tcW w:w="7655" w:type="dxa"/>
            <w:gridSpan w:val="3"/>
            <w:vAlign w:val="bottom"/>
          </w:tcPr>
          <w:p w14:paraId="532649DB" w14:textId="2A98D728"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 xml:space="preserve">Estado </w:t>
            </w:r>
            <w:r w:rsidR="00C0644F">
              <w:rPr>
                <w:rFonts w:ascii="Arial" w:hAnsi="Arial" w:cs="Arial"/>
                <w:sz w:val="20"/>
                <w:szCs w:val="20"/>
              </w:rPr>
              <w:t>combinado</w:t>
            </w:r>
            <w:r w:rsidR="00615AEF" w:rsidRPr="0074154F">
              <w:rPr>
                <w:rFonts w:ascii="Arial" w:hAnsi="Arial" w:cs="Arial"/>
                <w:sz w:val="20"/>
                <w:szCs w:val="20"/>
              </w:rPr>
              <w:t xml:space="preserve"> </w:t>
            </w:r>
            <w:r w:rsidRPr="0074154F">
              <w:rPr>
                <w:rFonts w:ascii="Arial" w:hAnsi="Arial" w:cs="Arial"/>
                <w:sz w:val="20"/>
                <w:szCs w:val="20"/>
              </w:rPr>
              <w:t xml:space="preserve">de resultados integrales </w:t>
            </w:r>
          </w:p>
        </w:tc>
        <w:tc>
          <w:tcPr>
            <w:tcW w:w="1701" w:type="dxa"/>
            <w:vAlign w:val="bottom"/>
          </w:tcPr>
          <w:p w14:paraId="7EEC2B60" w14:textId="5B881CA9"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6</w:t>
            </w:r>
          </w:p>
        </w:tc>
      </w:tr>
      <w:tr w:rsidR="00EC598C" w:rsidRPr="0074154F" w14:paraId="488EE824" w14:textId="77777777" w:rsidTr="00EE1C4D">
        <w:trPr>
          <w:trHeight w:val="428"/>
        </w:trPr>
        <w:tc>
          <w:tcPr>
            <w:tcW w:w="7655" w:type="dxa"/>
            <w:gridSpan w:val="3"/>
            <w:vAlign w:val="bottom"/>
          </w:tcPr>
          <w:p w14:paraId="1AAE245D" w14:textId="6BB1785C"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 xml:space="preserve">Estado </w:t>
            </w:r>
            <w:r w:rsidR="00C0644F">
              <w:rPr>
                <w:rFonts w:ascii="Arial" w:hAnsi="Arial" w:cs="Arial"/>
                <w:sz w:val="20"/>
                <w:szCs w:val="20"/>
              </w:rPr>
              <w:t>combinado</w:t>
            </w:r>
            <w:r w:rsidR="00615AEF" w:rsidRPr="0074154F">
              <w:rPr>
                <w:rFonts w:ascii="Arial" w:hAnsi="Arial" w:cs="Arial"/>
                <w:sz w:val="20"/>
                <w:szCs w:val="20"/>
              </w:rPr>
              <w:t xml:space="preserve"> </w:t>
            </w:r>
            <w:r w:rsidRPr="0074154F">
              <w:rPr>
                <w:rFonts w:ascii="Arial" w:hAnsi="Arial" w:cs="Arial"/>
                <w:sz w:val="20"/>
                <w:szCs w:val="20"/>
              </w:rPr>
              <w:t>de cambios en el patrimonio</w:t>
            </w:r>
          </w:p>
        </w:tc>
        <w:tc>
          <w:tcPr>
            <w:tcW w:w="1701" w:type="dxa"/>
            <w:vAlign w:val="bottom"/>
          </w:tcPr>
          <w:p w14:paraId="25B5BFE1" w14:textId="7E2D6DD3"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7</w:t>
            </w:r>
          </w:p>
        </w:tc>
      </w:tr>
      <w:tr w:rsidR="00EC598C" w:rsidRPr="0074154F" w14:paraId="528BA0D5" w14:textId="77777777" w:rsidTr="00EE1C4D">
        <w:trPr>
          <w:trHeight w:val="420"/>
        </w:trPr>
        <w:tc>
          <w:tcPr>
            <w:tcW w:w="7655" w:type="dxa"/>
            <w:gridSpan w:val="3"/>
            <w:vAlign w:val="bottom"/>
          </w:tcPr>
          <w:p w14:paraId="2D6C78E8" w14:textId="0515FD62"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 xml:space="preserve">Estado </w:t>
            </w:r>
            <w:r w:rsidR="00C0644F">
              <w:rPr>
                <w:rFonts w:ascii="Arial" w:hAnsi="Arial" w:cs="Arial"/>
                <w:sz w:val="20"/>
                <w:szCs w:val="20"/>
              </w:rPr>
              <w:t>combinado</w:t>
            </w:r>
            <w:r w:rsidR="00615AEF" w:rsidRPr="0074154F">
              <w:rPr>
                <w:rFonts w:ascii="Arial" w:hAnsi="Arial" w:cs="Arial"/>
                <w:sz w:val="20"/>
                <w:szCs w:val="20"/>
              </w:rPr>
              <w:t xml:space="preserve"> </w:t>
            </w:r>
            <w:r w:rsidRPr="0074154F">
              <w:rPr>
                <w:rFonts w:ascii="Arial" w:hAnsi="Arial" w:cs="Arial"/>
                <w:sz w:val="20"/>
                <w:szCs w:val="20"/>
              </w:rPr>
              <w:t>de flujos de efectivo</w:t>
            </w:r>
          </w:p>
        </w:tc>
        <w:tc>
          <w:tcPr>
            <w:tcW w:w="1701" w:type="dxa"/>
            <w:vAlign w:val="bottom"/>
          </w:tcPr>
          <w:p w14:paraId="35672F3A" w14:textId="2FDB3B4D"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8</w:t>
            </w:r>
          </w:p>
        </w:tc>
      </w:tr>
      <w:tr w:rsidR="00EC598C" w:rsidRPr="0074154F" w14:paraId="19F09110" w14:textId="77777777" w:rsidTr="00EE1C4D">
        <w:trPr>
          <w:trHeight w:val="427"/>
        </w:trPr>
        <w:tc>
          <w:tcPr>
            <w:tcW w:w="7655" w:type="dxa"/>
            <w:gridSpan w:val="3"/>
            <w:vAlign w:val="bottom"/>
          </w:tcPr>
          <w:p w14:paraId="51A5E046" w14:textId="00825B4C" w:rsidR="00EC598C" w:rsidRPr="0074154F" w:rsidRDefault="00EC598C" w:rsidP="00413455">
            <w:pPr>
              <w:keepNext/>
              <w:contextualSpacing/>
              <w:mirrorIndents/>
              <w:outlineLvl w:val="7"/>
              <w:rPr>
                <w:rFonts w:ascii="Arial" w:hAnsi="Arial" w:cs="Arial"/>
                <w:sz w:val="20"/>
                <w:szCs w:val="20"/>
              </w:rPr>
            </w:pPr>
            <w:r w:rsidRPr="0074154F">
              <w:rPr>
                <w:rFonts w:ascii="Arial" w:hAnsi="Arial" w:cs="Arial"/>
                <w:sz w:val="20"/>
                <w:szCs w:val="20"/>
              </w:rPr>
              <w:t xml:space="preserve">Notas a los estados financieros </w:t>
            </w:r>
            <w:r w:rsidR="00C0644F">
              <w:rPr>
                <w:rFonts w:ascii="Arial" w:hAnsi="Arial" w:cs="Arial"/>
                <w:sz w:val="20"/>
                <w:szCs w:val="20"/>
              </w:rPr>
              <w:t>combinado</w:t>
            </w:r>
          </w:p>
        </w:tc>
        <w:tc>
          <w:tcPr>
            <w:tcW w:w="1701" w:type="dxa"/>
            <w:vAlign w:val="bottom"/>
          </w:tcPr>
          <w:p w14:paraId="6399AF8D" w14:textId="21E90000" w:rsidR="00EC598C" w:rsidRPr="0074154F" w:rsidRDefault="00491BF9" w:rsidP="00413455">
            <w:pPr>
              <w:keepNext/>
              <w:contextualSpacing/>
              <w:mirrorIndents/>
              <w:jc w:val="center"/>
              <w:outlineLvl w:val="7"/>
              <w:rPr>
                <w:rFonts w:ascii="Arial" w:hAnsi="Arial" w:cs="Arial"/>
                <w:sz w:val="20"/>
                <w:szCs w:val="20"/>
              </w:rPr>
            </w:pPr>
            <w:r w:rsidRPr="0074154F">
              <w:rPr>
                <w:rFonts w:ascii="Arial" w:hAnsi="Arial" w:cs="Arial"/>
                <w:sz w:val="20"/>
                <w:szCs w:val="20"/>
              </w:rPr>
              <w:t xml:space="preserve">9 </w:t>
            </w:r>
            <w:r w:rsidR="007434F3" w:rsidRPr="0074154F">
              <w:rPr>
                <w:rFonts w:ascii="Arial" w:hAnsi="Arial" w:cs="Arial"/>
                <w:sz w:val="20"/>
                <w:szCs w:val="20"/>
              </w:rPr>
              <w:t>–</w:t>
            </w:r>
            <w:r w:rsidR="00B534F6" w:rsidRPr="0074154F">
              <w:rPr>
                <w:rFonts w:ascii="Arial" w:hAnsi="Arial" w:cs="Arial"/>
                <w:sz w:val="20"/>
                <w:szCs w:val="20"/>
              </w:rPr>
              <w:t xml:space="preserve"> </w:t>
            </w:r>
            <w:r w:rsidR="0029053D" w:rsidRPr="0074154F">
              <w:rPr>
                <w:rFonts w:ascii="Arial" w:hAnsi="Arial" w:cs="Arial"/>
                <w:sz w:val="20"/>
                <w:szCs w:val="20"/>
              </w:rPr>
              <w:t>5</w:t>
            </w:r>
            <w:r w:rsidR="00231CC5">
              <w:rPr>
                <w:rFonts w:ascii="Arial" w:hAnsi="Arial" w:cs="Arial"/>
                <w:sz w:val="20"/>
                <w:szCs w:val="20"/>
              </w:rPr>
              <w:t>3</w:t>
            </w:r>
          </w:p>
        </w:tc>
      </w:tr>
      <w:tr w:rsidR="00EC598C" w:rsidRPr="0074154F" w14:paraId="55867310" w14:textId="77777777" w:rsidTr="00E72B19">
        <w:trPr>
          <w:trHeight w:val="624"/>
        </w:trPr>
        <w:tc>
          <w:tcPr>
            <w:tcW w:w="9356" w:type="dxa"/>
            <w:gridSpan w:val="4"/>
            <w:vAlign w:val="center"/>
          </w:tcPr>
          <w:p w14:paraId="3CF9C850" w14:textId="77777777" w:rsidR="00EC598C" w:rsidRPr="0074154F" w:rsidRDefault="00EC598C" w:rsidP="00413455">
            <w:pPr>
              <w:contextualSpacing/>
              <w:mirrorIndents/>
              <w:rPr>
                <w:rFonts w:ascii="Arial" w:hAnsi="Arial" w:cs="Arial"/>
                <w:b/>
                <w:sz w:val="20"/>
                <w:szCs w:val="20"/>
                <w:lang w:val="en-US"/>
              </w:rPr>
            </w:pPr>
            <w:r w:rsidRPr="0074154F">
              <w:rPr>
                <w:rFonts w:ascii="Arial" w:hAnsi="Arial" w:cs="Arial"/>
                <w:b/>
                <w:sz w:val="20"/>
                <w:szCs w:val="20"/>
                <w:u w:val="single"/>
              </w:rPr>
              <w:t>Abreviaturas usadas</w:t>
            </w:r>
            <w:r w:rsidRPr="0074154F">
              <w:rPr>
                <w:rFonts w:ascii="Arial" w:hAnsi="Arial" w:cs="Arial"/>
                <w:b/>
                <w:sz w:val="20"/>
                <w:szCs w:val="20"/>
              </w:rPr>
              <w:t>:</w:t>
            </w:r>
          </w:p>
        </w:tc>
      </w:tr>
      <w:tr w:rsidR="00EC598C" w:rsidRPr="0074154F" w14:paraId="714BEDFC" w14:textId="77777777" w:rsidTr="00413455">
        <w:trPr>
          <w:trHeight w:val="283"/>
        </w:trPr>
        <w:tc>
          <w:tcPr>
            <w:tcW w:w="1319" w:type="dxa"/>
            <w:vAlign w:val="center"/>
          </w:tcPr>
          <w:p w14:paraId="21F90A07"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US$</w:t>
            </w:r>
          </w:p>
        </w:tc>
        <w:tc>
          <w:tcPr>
            <w:tcW w:w="382" w:type="dxa"/>
            <w:vAlign w:val="center"/>
          </w:tcPr>
          <w:p w14:paraId="6A026085" w14:textId="77777777" w:rsidR="00EC598C" w:rsidRPr="0074154F" w:rsidRDefault="00EC598C"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783DAE12"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Dólares de los Estados Unidos de América</w:t>
            </w:r>
          </w:p>
        </w:tc>
      </w:tr>
      <w:tr w:rsidR="00EC598C" w:rsidRPr="0074154F" w14:paraId="323F61BD" w14:textId="77777777" w:rsidTr="00413455">
        <w:trPr>
          <w:trHeight w:val="283"/>
        </w:trPr>
        <w:tc>
          <w:tcPr>
            <w:tcW w:w="1319" w:type="dxa"/>
            <w:vAlign w:val="center"/>
          </w:tcPr>
          <w:p w14:paraId="08F5C9B9"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NIC</w:t>
            </w:r>
          </w:p>
        </w:tc>
        <w:tc>
          <w:tcPr>
            <w:tcW w:w="382" w:type="dxa"/>
            <w:vAlign w:val="center"/>
          </w:tcPr>
          <w:p w14:paraId="58486458" w14:textId="77777777" w:rsidR="00EC598C" w:rsidRPr="0074154F" w:rsidRDefault="00EC598C"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6C3E6F44"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Normas Internacionales de Contabilidad</w:t>
            </w:r>
          </w:p>
        </w:tc>
      </w:tr>
      <w:tr w:rsidR="00EC598C" w:rsidRPr="0074154F" w14:paraId="1A0E070C" w14:textId="77777777" w:rsidTr="00413455">
        <w:trPr>
          <w:trHeight w:val="283"/>
        </w:trPr>
        <w:tc>
          <w:tcPr>
            <w:tcW w:w="1319" w:type="dxa"/>
            <w:vAlign w:val="center"/>
          </w:tcPr>
          <w:p w14:paraId="44956800"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NIIF</w:t>
            </w:r>
          </w:p>
        </w:tc>
        <w:tc>
          <w:tcPr>
            <w:tcW w:w="382" w:type="dxa"/>
            <w:vAlign w:val="center"/>
          </w:tcPr>
          <w:p w14:paraId="32C3A7C2" w14:textId="77777777" w:rsidR="00EC598C" w:rsidRPr="0074154F" w:rsidRDefault="00EC598C"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17079C90"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Norma Internacional de Información Financiera</w:t>
            </w:r>
          </w:p>
        </w:tc>
      </w:tr>
      <w:tr w:rsidR="00EC598C" w:rsidRPr="0074154F" w14:paraId="7886D271" w14:textId="77777777" w:rsidTr="00413455">
        <w:trPr>
          <w:trHeight w:val="283"/>
        </w:trPr>
        <w:tc>
          <w:tcPr>
            <w:tcW w:w="1319" w:type="dxa"/>
            <w:vAlign w:val="center"/>
          </w:tcPr>
          <w:p w14:paraId="27311CD2"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SCVS</w:t>
            </w:r>
          </w:p>
        </w:tc>
        <w:tc>
          <w:tcPr>
            <w:tcW w:w="382" w:type="dxa"/>
            <w:vAlign w:val="center"/>
          </w:tcPr>
          <w:p w14:paraId="222B6661" w14:textId="77777777" w:rsidR="00EC598C" w:rsidRPr="0074154F" w:rsidRDefault="00EC598C"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760352A7"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Superintendencia de Compañías, Valores y Seguros</w:t>
            </w:r>
          </w:p>
        </w:tc>
      </w:tr>
      <w:tr w:rsidR="00BC45BB" w:rsidRPr="0074154F" w14:paraId="72979020" w14:textId="77777777" w:rsidTr="00413455">
        <w:trPr>
          <w:trHeight w:val="283"/>
        </w:trPr>
        <w:tc>
          <w:tcPr>
            <w:tcW w:w="1319" w:type="dxa"/>
            <w:vAlign w:val="center"/>
          </w:tcPr>
          <w:p w14:paraId="4B614FA5" w14:textId="64900CFD" w:rsidR="00BC45BB" w:rsidRPr="0074154F" w:rsidRDefault="00BC45BB" w:rsidP="00413455">
            <w:pPr>
              <w:keepNext/>
              <w:tabs>
                <w:tab w:val="left" w:pos="1200"/>
                <w:tab w:val="left" w:pos="1560"/>
              </w:tabs>
              <w:contextualSpacing/>
              <w:mirrorIndents/>
              <w:outlineLvl w:val="7"/>
              <w:rPr>
                <w:rFonts w:ascii="Arial" w:hAnsi="Arial" w:cs="Arial"/>
                <w:sz w:val="20"/>
                <w:szCs w:val="20"/>
              </w:rPr>
            </w:pPr>
            <w:r>
              <w:rPr>
                <w:rFonts w:ascii="Arial" w:hAnsi="Arial" w:cs="Arial"/>
                <w:sz w:val="20"/>
                <w:szCs w:val="20"/>
              </w:rPr>
              <w:t>ORI</w:t>
            </w:r>
          </w:p>
        </w:tc>
        <w:tc>
          <w:tcPr>
            <w:tcW w:w="382" w:type="dxa"/>
            <w:vAlign w:val="center"/>
          </w:tcPr>
          <w:p w14:paraId="6F395CA8" w14:textId="054F2167" w:rsidR="00BC45BB" w:rsidRPr="0074154F" w:rsidRDefault="00BC45BB" w:rsidP="00413455">
            <w:pPr>
              <w:keepNext/>
              <w:tabs>
                <w:tab w:val="left" w:pos="1200"/>
                <w:tab w:val="left" w:pos="1560"/>
              </w:tabs>
              <w:contextualSpacing/>
              <w:mirrorIndents/>
              <w:jc w:val="center"/>
              <w:outlineLvl w:val="7"/>
              <w:rPr>
                <w:rFonts w:ascii="Arial" w:hAnsi="Arial" w:cs="Arial"/>
                <w:sz w:val="20"/>
                <w:szCs w:val="20"/>
              </w:rPr>
            </w:pPr>
            <w:r>
              <w:rPr>
                <w:rFonts w:ascii="Arial" w:hAnsi="Arial" w:cs="Arial"/>
                <w:sz w:val="20"/>
                <w:szCs w:val="20"/>
              </w:rPr>
              <w:t>-</w:t>
            </w:r>
          </w:p>
        </w:tc>
        <w:tc>
          <w:tcPr>
            <w:tcW w:w="7655" w:type="dxa"/>
            <w:gridSpan w:val="2"/>
            <w:vAlign w:val="center"/>
          </w:tcPr>
          <w:p w14:paraId="06A49292" w14:textId="2C68DB7F" w:rsidR="00BC45BB" w:rsidRPr="0074154F" w:rsidRDefault="00BC45BB" w:rsidP="00413455">
            <w:pPr>
              <w:keepNext/>
              <w:tabs>
                <w:tab w:val="left" w:pos="1200"/>
                <w:tab w:val="left" w:pos="1560"/>
              </w:tabs>
              <w:contextualSpacing/>
              <w:mirrorIndents/>
              <w:outlineLvl w:val="7"/>
              <w:rPr>
                <w:rFonts w:ascii="Arial" w:hAnsi="Arial" w:cs="Arial"/>
                <w:sz w:val="20"/>
                <w:szCs w:val="20"/>
              </w:rPr>
            </w:pPr>
            <w:r>
              <w:rPr>
                <w:rFonts w:ascii="Arial" w:hAnsi="Arial" w:cs="Arial"/>
                <w:sz w:val="20"/>
                <w:szCs w:val="20"/>
              </w:rPr>
              <w:t>Otros Resultados Integrales</w:t>
            </w:r>
          </w:p>
        </w:tc>
      </w:tr>
      <w:tr w:rsidR="00EC598C" w:rsidRPr="0074154F" w14:paraId="3146A266" w14:textId="77777777" w:rsidTr="00413455">
        <w:trPr>
          <w:trHeight w:val="283"/>
        </w:trPr>
        <w:tc>
          <w:tcPr>
            <w:tcW w:w="1319" w:type="dxa"/>
            <w:vAlign w:val="center"/>
          </w:tcPr>
          <w:p w14:paraId="674429F7"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 xml:space="preserve">ISD  </w:t>
            </w:r>
          </w:p>
        </w:tc>
        <w:tc>
          <w:tcPr>
            <w:tcW w:w="382" w:type="dxa"/>
            <w:vAlign w:val="center"/>
          </w:tcPr>
          <w:p w14:paraId="3D0ADEBE" w14:textId="77777777" w:rsidR="00EC598C" w:rsidRPr="0074154F" w:rsidRDefault="00EC598C"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650FFC15" w14:textId="77777777" w:rsidR="00EC598C" w:rsidRPr="0074154F" w:rsidRDefault="00EC598C"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Impuesto a la Salida de Divisas</w:t>
            </w:r>
          </w:p>
        </w:tc>
      </w:tr>
      <w:tr w:rsidR="00D0232F" w:rsidRPr="0074154F" w14:paraId="430B1BB6" w14:textId="77777777" w:rsidTr="00413455">
        <w:trPr>
          <w:trHeight w:val="283"/>
        </w:trPr>
        <w:tc>
          <w:tcPr>
            <w:tcW w:w="1319" w:type="dxa"/>
            <w:vAlign w:val="center"/>
          </w:tcPr>
          <w:p w14:paraId="0AFD3C5C" w14:textId="493DECFF" w:rsidR="00D0232F" w:rsidRPr="0074154F" w:rsidRDefault="00D0232F"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IESS</w:t>
            </w:r>
          </w:p>
        </w:tc>
        <w:tc>
          <w:tcPr>
            <w:tcW w:w="382" w:type="dxa"/>
            <w:vAlign w:val="center"/>
          </w:tcPr>
          <w:p w14:paraId="30015689" w14:textId="67B9D16B" w:rsidR="00D0232F" w:rsidRPr="0074154F" w:rsidRDefault="00D0232F"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3E61A531" w14:textId="5EA3ED75" w:rsidR="00D0232F" w:rsidRPr="0074154F" w:rsidRDefault="00D0232F"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Instituto Ecuatoriano de Seguridad Social</w:t>
            </w:r>
          </w:p>
        </w:tc>
      </w:tr>
      <w:tr w:rsidR="00D0232F" w:rsidRPr="0074154F" w14:paraId="697D4BFC" w14:textId="77777777" w:rsidTr="00413455">
        <w:trPr>
          <w:trHeight w:val="283"/>
        </w:trPr>
        <w:tc>
          <w:tcPr>
            <w:tcW w:w="1319" w:type="dxa"/>
            <w:vAlign w:val="center"/>
          </w:tcPr>
          <w:p w14:paraId="64CDD329" w14:textId="51D97772" w:rsidR="00D0232F" w:rsidRPr="0074154F" w:rsidRDefault="00D0232F"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SRI</w:t>
            </w:r>
          </w:p>
        </w:tc>
        <w:tc>
          <w:tcPr>
            <w:tcW w:w="382" w:type="dxa"/>
            <w:vAlign w:val="center"/>
          </w:tcPr>
          <w:p w14:paraId="472AC906" w14:textId="1EC8375E" w:rsidR="00D0232F" w:rsidRPr="0074154F" w:rsidRDefault="00D0232F"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4F6ED20E" w14:textId="0200DAA8" w:rsidR="00D0232F" w:rsidRPr="0074154F" w:rsidRDefault="00D0232F"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Servicio de Rentas Internas</w:t>
            </w:r>
          </w:p>
        </w:tc>
      </w:tr>
      <w:tr w:rsidR="006420B0" w:rsidRPr="0074154F" w14:paraId="5C94FDBF" w14:textId="77777777" w:rsidTr="00413455">
        <w:trPr>
          <w:trHeight w:val="283"/>
        </w:trPr>
        <w:tc>
          <w:tcPr>
            <w:tcW w:w="1319" w:type="dxa"/>
            <w:vAlign w:val="center"/>
          </w:tcPr>
          <w:p w14:paraId="7C0A3063" w14:textId="5F03535F" w:rsidR="006420B0" w:rsidRPr="0074154F" w:rsidRDefault="006420B0"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CONECEL</w:t>
            </w:r>
          </w:p>
        </w:tc>
        <w:tc>
          <w:tcPr>
            <w:tcW w:w="382" w:type="dxa"/>
            <w:vAlign w:val="center"/>
          </w:tcPr>
          <w:p w14:paraId="2DEF3430" w14:textId="77777777" w:rsidR="006420B0" w:rsidRPr="0074154F" w:rsidRDefault="006420B0" w:rsidP="00413455">
            <w:pPr>
              <w:keepNext/>
              <w:tabs>
                <w:tab w:val="left" w:pos="1200"/>
                <w:tab w:val="left" w:pos="1560"/>
              </w:tabs>
              <w:contextualSpacing/>
              <w:mirrorIndents/>
              <w:jc w:val="center"/>
              <w:outlineLvl w:val="7"/>
              <w:rPr>
                <w:rFonts w:ascii="Arial" w:hAnsi="Arial" w:cs="Arial"/>
                <w:sz w:val="20"/>
                <w:szCs w:val="20"/>
              </w:rPr>
            </w:pPr>
          </w:p>
        </w:tc>
        <w:tc>
          <w:tcPr>
            <w:tcW w:w="7655" w:type="dxa"/>
            <w:gridSpan w:val="2"/>
            <w:vAlign w:val="center"/>
          </w:tcPr>
          <w:p w14:paraId="4CB1D068" w14:textId="3F039CA3" w:rsidR="006420B0" w:rsidRPr="0074154F" w:rsidRDefault="006420B0"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Consorcio Ecuatoriano de Telecomunic</w:t>
            </w:r>
            <w:r w:rsidR="005F555D">
              <w:rPr>
                <w:rFonts w:ascii="Arial" w:hAnsi="Arial" w:cs="Arial"/>
                <w:sz w:val="20"/>
                <w:szCs w:val="20"/>
              </w:rPr>
              <w:t>ac</w:t>
            </w:r>
            <w:r w:rsidRPr="0074154F">
              <w:rPr>
                <w:rFonts w:ascii="Arial" w:hAnsi="Arial" w:cs="Arial"/>
                <w:sz w:val="20"/>
                <w:szCs w:val="20"/>
              </w:rPr>
              <w:t>iones</w:t>
            </w:r>
            <w:r w:rsidR="00AF1DEA" w:rsidRPr="0074154F">
              <w:rPr>
                <w:rFonts w:ascii="Arial" w:hAnsi="Arial" w:cs="Arial"/>
                <w:sz w:val="20"/>
                <w:szCs w:val="20"/>
              </w:rPr>
              <w:t xml:space="preserve"> </w:t>
            </w:r>
          </w:p>
        </w:tc>
      </w:tr>
      <w:tr w:rsidR="00D0232F" w:rsidRPr="0074154F" w14:paraId="144DC274" w14:textId="77777777" w:rsidTr="00413455">
        <w:trPr>
          <w:trHeight w:val="283"/>
        </w:trPr>
        <w:tc>
          <w:tcPr>
            <w:tcW w:w="1319" w:type="dxa"/>
            <w:vAlign w:val="center"/>
          </w:tcPr>
          <w:p w14:paraId="7DD0E4B0" w14:textId="77777777" w:rsidR="00D0232F" w:rsidRPr="0074154F" w:rsidRDefault="00D0232F"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Compañía</w:t>
            </w:r>
          </w:p>
        </w:tc>
        <w:tc>
          <w:tcPr>
            <w:tcW w:w="382" w:type="dxa"/>
            <w:vAlign w:val="center"/>
          </w:tcPr>
          <w:p w14:paraId="51E238A2" w14:textId="77777777" w:rsidR="00D0232F" w:rsidRPr="0074154F" w:rsidRDefault="00D0232F" w:rsidP="00413455">
            <w:pPr>
              <w:keepNext/>
              <w:tabs>
                <w:tab w:val="left" w:pos="1200"/>
                <w:tab w:val="left" w:pos="1560"/>
              </w:tabs>
              <w:contextualSpacing/>
              <w:mirrorIndents/>
              <w:jc w:val="center"/>
              <w:outlineLvl w:val="7"/>
              <w:rPr>
                <w:rFonts w:ascii="Arial" w:hAnsi="Arial" w:cs="Arial"/>
                <w:sz w:val="20"/>
                <w:szCs w:val="20"/>
              </w:rPr>
            </w:pPr>
            <w:r w:rsidRPr="0074154F">
              <w:rPr>
                <w:rFonts w:ascii="Arial" w:hAnsi="Arial" w:cs="Arial"/>
                <w:sz w:val="20"/>
                <w:szCs w:val="20"/>
              </w:rPr>
              <w:t>-</w:t>
            </w:r>
          </w:p>
        </w:tc>
        <w:tc>
          <w:tcPr>
            <w:tcW w:w="7655" w:type="dxa"/>
            <w:gridSpan w:val="2"/>
            <w:vAlign w:val="center"/>
          </w:tcPr>
          <w:p w14:paraId="6EA39310" w14:textId="2AF046CE" w:rsidR="00D0232F" w:rsidRPr="0074154F" w:rsidRDefault="00C05E8A" w:rsidP="00413455">
            <w:pPr>
              <w:keepNext/>
              <w:tabs>
                <w:tab w:val="left" w:pos="1200"/>
                <w:tab w:val="left" w:pos="1560"/>
              </w:tabs>
              <w:contextualSpacing/>
              <w:mirrorIndents/>
              <w:outlineLvl w:val="7"/>
              <w:rPr>
                <w:rFonts w:ascii="Arial" w:hAnsi="Arial" w:cs="Arial"/>
                <w:sz w:val="20"/>
                <w:szCs w:val="20"/>
              </w:rPr>
            </w:pPr>
            <w:r w:rsidRPr="0074154F">
              <w:rPr>
                <w:rFonts w:ascii="Arial" w:hAnsi="Arial" w:cs="Arial"/>
                <w:sz w:val="20"/>
                <w:szCs w:val="20"/>
              </w:rPr>
              <w:t>Telconet S.A.</w:t>
            </w:r>
            <w:r w:rsidR="00C62692" w:rsidRPr="0074154F">
              <w:rPr>
                <w:rFonts w:ascii="Arial" w:hAnsi="Arial" w:cs="Arial"/>
                <w:sz w:val="20"/>
                <w:szCs w:val="20"/>
              </w:rPr>
              <w:t xml:space="preserve"> y Compañía</w:t>
            </w:r>
            <w:r w:rsidR="00F04C82">
              <w:rPr>
                <w:rFonts w:ascii="Arial" w:hAnsi="Arial" w:cs="Arial"/>
                <w:sz w:val="20"/>
                <w:szCs w:val="20"/>
              </w:rPr>
              <w:t xml:space="preserve"> Relacionada</w:t>
            </w:r>
          </w:p>
        </w:tc>
      </w:tr>
    </w:tbl>
    <w:p w14:paraId="1E73739E" w14:textId="12BA744C" w:rsidR="00011F5E" w:rsidRPr="0074154F" w:rsidRDefault="00011F5E" w:rsidP="00413455">
      <w:pPr>
        <w:spacing w:after="0" w:line="240" w:lineRule="auto"/>
        <w:ind w:right="-1"/>
        <w:jc w:val="center"/>
        <w:rPr>
          <w:rFonts w:ascii="Arial" w:hAnsi="Arial" w:cs="Arial"/>
          <w:b/>
          <w:sz w:val="20"/>
          <w:szCs w:val="20"/>
          <w:u w:val="single"/>
        </w:rPr>
      </w:pPr>
    </w:p>
    <w:p w14:paraId="06C9F1DC" w14:textId="23094275" w:rsidR="00491BF9" w:rsidRPr="0074154F" w:rsidRDefault="00D3742F" w:rsidP="00413455">
      <w:pPr>
        <w:spacing w:after="0" w:line="240" w:lineRule="auto"/>
        <w:contextualSpacing/>
        <w:mirrorIndents/>
        <w:rPr>
          <w:rFonts w:ascii="Arial" w:hAnsi="Arial" w:cs="Arial"/>
          <w:sz w:val="20"/>
          <w:szCs w:val="20"/>
          <w:u w:val="single"/>
        </w:rPr>
      </w:pPr>
      <w:r w:rsidRPr="0074154F">
        <w:rPr>
          <w:noProof/>
        </w:rPr>
        <mc:AlternateContent>
          <mc:Choice Requires="wps">
            <w:drawing>
              <wp:anchor distT="0" distB="0" distL="114300" distR="114300" simplePos="0" relativeHeight="251659264" behindDoc="0" locked="0" layoutInCell="1" allowOverlap="1" wp14:anchorId="7D47A78E" wp14:editId="26D70C8D">
                <wp:simplePos x="0" y="0"/>
                <wp:positionH relativeFrom="column">
                  <wp:posOffset>45720</wp:posOffset>
                </wp:positionH>
                <wp:positionV relativeFrom="paragraph">
                  <wp:posOffset>121285</wp:posOffset>
                </wp:positionV>
                <wp:extent cx="5797550" cy="6350"/>
                <wp:effectExtent l="0" t="0" r="12700" b="127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7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819932"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55pt" to="460.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" strokecolor="black [3200]" strokeweight=".5pt">
                <v:stroke joinstyle="miter"/>
                <o:lock v:ext="edit" shapetype="f"/>
              </v:line>
            </w:pict>
          </mc:Fallback>
        </mc:AlternateContent>
      </w:r>
      <w:r w:rsidR="00EC598C" w:rsidRPr="0074154F">
        <w:rPr>
          <w:rFonts w:ascii="Arial" w:hAnsi="Arial" w:cs="Arial"/>
          <w:sz w:val="20"/>
          <w:szCs w:val="20"/>
          <w:u w:val="single"/>
        </w:rPr>
        <w:t xml:space="preserve">               </w:t>
      </w:r>
    </w:p>
    <w:p w14:paraId="7AA4E8D7" w14:textId="77777777" w:rsidR="00491BF9" w:rsidRPr="0074154F" w:rsidRDefault="00491BF9" w:rsidP="00413455">
      <w:pPr>
        <w:spacing w:after="0" w:line="240" w:lineRule="auto"/>
        <w:contextualSpacing/>
        <w:mirrorIndents/>
        <w:rPr>
          <w:rFonts w:ascii="Arial" w:hAnsi="Arial" w:cs="Arial"/>
          <w:sz w:val="20"/>
          <w:szCs w:val="20"/>
          <w:u w:val="single"/>
        </w:rPr>
      </w:pPr>
    </w:p>
    <w:p w14:paraId="238567A9" w14:textId="77777777" w:rsidR="00491BF9" w:rsidRPr="0074154F" w:rsidRDefault="00491BF9" w:rsidP="00413455">
      <w:pPr>
        <w:spacing w:after="0" w:line="240" w:lineRule="auto"/>
        <w:contextualSpacing/>
        <w:mirrorIndents/>
        <w:rPr>
          <w:rFonts w:ascii="Arial" w:hAnsi="Arial" w:cs="Arial"/>
          <w:sz w:val="20"/>
          <w:szCs w:val="20"/>
          <w:u w:val="single"/>
        </w:rPr>
      </w:pPr>
    </w:p>
    <w:p w14:paraId="04B34B9A" w14:textId="77777777" w:rsidR="00491BF9" w:rsidRPr="0074154F" w:rsidRDefault="00491BF9" w:rsidP="00413455">
      <w:pPr>
        <w:spacing w:after="0" w:line="240" w:lineRule="auto"/>
        <w:contextualSpacing/>
        <w:mirrorIndents/>
        <w:rPr>
          <w:rFonts w:ascii="Arial" w:hAnsi="Arial" w:cs="Arial"/>
          <w:b/>
          <w:sz w:val="20"/>
          <w:szCs w:val="20"/>
          <w:u w:val="single"/>
        </w:rPr>
        <w:sectPr w:rsidR="00491BF9" w:rsidRPr="0074154F" w:rsidSect="00413455">
          <w:headerReference w:type="default" r:id="rId8"/>
          <w:footerReference w:type="default" r:id="rId9"/>
          <w:pgSz w:w="11906" w:h="16838" w:code="9"/>
          <w:pgMar w:top="1418" w:right="1418" w:bottom="1418" w:left="1418" w:header="709" w:footer="510" w:gutter="0"/>
          <w:cols w:space="708"/>
          <w:titlePg/>
          <w:docGrid w:linePitch="360"/>
        </w:sectPr>
      </w:pPr>
    </w:p>
    <w:p w14:paraId="7712436E"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481365A1"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39022098"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72602E94"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50D99626"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3A524E07"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3E9597E1"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20575FE5"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3C1F61D6"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1FAEF0F7" w14:textId="77777777" w:rsidR="00413455" w:rsidRPr="0074154F" w:rsidRDefault="00413455" w:rsidP="00413455">
      <w:pPr>
        <w:spacing w:after="0" w:line="240" w:lineRule="auto"/>
        <w:contextualSpacing/>
        <w:mirrorIndents/>
        <w:jc w:val="center"/>
        <w:rPr>
          <w:rFonts w:ascii="Arial" w:hAnsi="Arial" w:cs="Arial"/>
          <w:b/>
          <w:sz w:val="20"/>
          <w:szCs w:val="20"/>
          <w:u w:val="single"/>
        </w:rPr>
      </w:pPr>
    </w:p>
    <w:p w14:paraId="75B1FEE0" w14:textId="77777777" w:rsidR="009D34FB" w:rsidRPr="0074154F" w:rsidRDefault="009D34FB" w:rsidP="00413455">
      <w:pPr>
        <w:spacing w:after="0" w:line="240" w:lineRule="auto"/>
        <w:contextualSpacing/>
        <w:mirrorIndents/>
        <w:jc w:val="center"/>
        <w:rPr>
          <w:rFonts w:ascii="Arial" w:hAnsi="Arial" w:cs="Arial"/>
          <w:b/>
          <w:sz w:val="20"/>
          <w:szCs w:val="20"/>
          <w:u w:val="single"/>
        </w:rPr>
      </w:pPr>
    </w:p>
    <w:p w14:paraId="0CEFAD1B" w14:textId="27EE2299" w:rsidR="00827DD1" w:rsidRPr="0074154F" w:rsidRDefault="00827DD1" w:rsidP="00413455">
      <w:pPr>
        <w:spacing w:after="0" w:line="240" w:lineRule="auto"/>
        <w:contextualSpacing/>
        <w:mirrorIndents/>
        <w:jc w:val="center"/>
        <w:rPr>
          <w:rFonts w:ascii="Arial" w:hAnsi="Arial" w:cs="Arial"/>
          <w:b/>
          <w:sz w:val="20"/>
          <w:szCs w:val="20"/>
          <w:u w:val="single"/>
        </w:rPr>
      </w:pPr>
      <w:r w:rsidRPr="0074154F">
        <w:rPr>
          <w:rFonts w:ascii="Arial" w:hAnsi="Arial" w:cs="Arial"/>
          <w:b/>
          <w:sz w:val="20"/>
          <w:szCs w:val="20"/>
          <w:u w:val="single"/>
        </w:rPr>
        <w:t>INFORME DE LOS AUDITORES INDEPENDIENTES</w:t>
      </w:r>
    </w:p>
    <w:p w14:paraId="61D094D6" w14:textId="77777777" w:rsidR="00827DD1" w:rsidRPr="0074154F" w:rsidRDefault="00827DD1" w:rsidP="00413455">
      <w:pPr>
        <w:pStyle w:val="NoSpacing"/>
        <w:tabs>
          <w:tab w:val="left" w:pos="1276"/>
        </w:tabs>
        <w:contextualSpacing/>
        <w:mirrorIndents/>
        <w:jc w:val="both"/>
        <w:rPr>
          <w:rFonts w:ascii="Arial" w:hAnsi="Arial" w:cs="Arial"/>
          <w:sz w:val="20"/>
          <w:szCs w:val="20"/>
        </w:rPr>
      </w:pPr>
    </w:p>
    <w:p w14:paraId="19EAC025" w14:textId="0FE4341E" w:rsidR="00827DD1" w:rsidRPr="0074154F" w:rsidRDefault="00827DD1" w:rsidP="00413455">
      <w:pPr>
        <w:pStyle w:val="NoSpacing"/>
        <w:tabs>
          <w:tab w:val="left" w:pos="1276"/>
        </w:tabs>
        <w:ind w:left="1701" w:hanging="1701"/>
        <w:contextualSpacing/>
        <w:mirrorIndents/>
        <w:jc w:val="both"/>
        <w:rPr>
          <w:rFonts w:ascii="Arial" w:hAnsi="Arial" w:cs="Arial"/>
          <w:sz w:val="20"/>
          <w:szCs w:val="20"/>
        </w:rPr>
      </w:pPr>
      <w:r w:rsidRPr="0074154F">
        <w:rPr>
          <w:rFonts w:ascii="Arial" w:hAnsi="Arial" w:cs="Arial"/>
          <w:sz w:val="20"/>
          <w:szCs w:val="20"/>
        </w:rPr>
        <w:t>A l</w:t>
      </w:r>
      <w:r w:rsidR="00EE1C4D" w:rsidRPr="0074154F">
        <w:rPr>
          <w:rFonts w:ascii="Arial" w:hAnsi="Arial" w:cs="Arial"/>
          <w:sz w:val="20"/>
          <w:szCs w:val="20"/>
        </w:rPr>
        <w:t>os</w:t>
      </w:r>
      <w:r w:rsidRPr="0074154F">
        <w:rPr>
          <w:rFonts w:ascii="Arial" w:hAnsi="Arial" w:cs="Arial"/>
          <w:sz w:val="20"/>
          <w:szCs w:val="20"/>
        </w:rPr>
        <w:t xml:space="preserve"> Accionistas </w:t>
      </w:r>
      <w:r w:rsidR="00EE1C4D" w:rsidRPr="0074154F">
        <w:rPr>
          <w:rFonts w:ascii="Arial" w:hAnsi="Arial" w:cs="Arial"/>
          <w:sz w:val="20"/>
          <w:szCs w:val="20"/>
        </w:rPr>
        <w:t xml:space="preserve">y Junta </w:t>
      </w:r>
      <w:r w:rsidRPr="0074154F">
        <w:rPr>
          <w:rFonts w:ascii="Arial" w:hAnsi="Arial" w:cs="Arial"/>
          <w:sz w:val="20"/>
          <w:szCs w:val="20"/>
        </w:rPr>
        <w:t>de</w:t>
      </w:r>
      <w:r w:rsidR="00F20B8F" w:rsidRPr="0074154F">
        <w:rPr>
          <w:rFonts w:ascii="Arial" w:hAnsi="Arial" w:cs="Arial"/>
          <w:sz w:val="20"/>
          <w:szCs w:val="20"/>
        </w:rPr>
        <w:t xml:space="preserve"> directorio</w:t>
      </w:r>
      <w:r w:rsidR="00FC096B">
        <w:rPr>
          <w:rFonts w:ascii="Arial" w:hAnsi="Arial" w:cs="Arial"/>
          <w:sz w:val="20"/>
          <w:szCs w:val="20"/>
        </w:rPr>
        <w:t xml:space="preserve"> de</w:t>
      </w:r>
      <w:r w:rsidR="00012090">
        <w:rPr>
          <w:rFonts w:ascii="Arial" w:hAnsi="Arial" w:cs="Arial"/>
          <w:sz w:val="20"/>
          <w:szCs w:val="20"/>
        </w:rPr>
        <w:t>:</w:t>
      </w:r>
    </w:p>
    <w:p w14:paraId="5DD9FC38" w14:textId="7C4CEC80" w:rsidR="00827DD1" w:rsidRPr="0074154F" w:rsidRDefault="009D34FB" w:rsidP="00413455">
      <w:pPr>
        <w:pStyle w:val="NoSpacing"/>
        <w:tabs>
          <w:tab w:val="left" w:pos="142"/>
        </w:tabs>
        <w:ind w:left="142"/>
        <w:contextualSpacing/>
        <w:mirrorIndents/>
        <w:jc w:val="both"/>
        <w:rPr>
          <w:rFonts w:ascii="Arial" w:hAnsi="Arial" w:cs="Arial"/>
          <w:b/>
          <w:sz w:val="20"/>
          <w:szCs w:val="20"/>
        </w:rPr>
      </w:pPr>
      <w:r w:rsidRPr="0074154F">
        <w:rPr>
          <w:rFonts w:ascii="Arial" w:hAnsi="Arial" w:cs="Arial"/>
          <w:b/>
          <w:sz w:val="20"/>
          <w:szCs w:val="20"/>
        </w:rPr>
        <w:t xml:space="preserve">   </w:t>
      </w:r>
      <w:r w:rsidR="00C05E8A" w:rsidRPr="0074154F">
        <w:rPr>
          <w:rFonts w:ascii="Arial" w:hAnsi="Arial" w:cs="Arial"/>
          <w:b/>
          <w:sz w:val="20"/>
          <w:szCs w:val="20"/>
        </w:rPr>
        <w:t>Telconet S.A.</w:t>
      </w:r>
      <w:r w:rsidR="00C62692" w:rsidRPr="0074154F">
        <w:rPr>
          <w:rFonts w:ascii="Arial" w:hAnsi="Arial" w:cs="Arial"/>
          <w:b/>
          <w:sz w:val="20"/>
          <w:szCs w:val="20"/>
        </w:rPr>
        <w:t xml:space="preserve"> y </w:t>
      </w:r>
      <w:r w:rsidR="00C0644F">
        <w:rPr>
          <w:rFonts w:ascii="Arial" w:hAnsi="Arial" w:cs="Arial"/>
          <w:b/>
          <w:sz w:val="20"/>
          <w:szCs w:val="20"/>
        </w:rPr>
        <w:t>Compañía Relacionada</w:t>
      </w:r>
    </w:p>
    <w:p w14:paraId="0EADD3B4" w14:textId="77777777" w:rsidR="00827DD1" w:rsidRPr="0074154F" w:rsidRDefault="00827DD1" w:rsidP="00413455">
      <w:pPr>
        <w:tabs>
          <w:tab w:val="left" w:pos="1276"/>
        </w:tabs>
        <w:spacing w:after="0" w:line="240" w:lineRule="auto"/>
        <w:contextualSpacing/>
        <w:mirrorIndents/>
        <w:jc w:val="both"/>
        <w:rPr>
          <w:rFonts w:ascii="Arial" w:hAnsi="Arial" w:cs="Arial"/>
          <w:b/>
          <w:sz w:val="20"/>
          <w:szCs w:val="20"/>
        </w:rPr>
      </w:pPr>
    </w:p>
    <w:p w14:paraId="79F7802C" w14:textId="77777777" w:rsidR="00443603" w:rsidRPr="003468FE" w:rsidRDefault="00443603" w:rsidP="00443603">
      <w:pPr>
        <w:tabs>
          <w:tab w:val="left" w:pos="1276"/>
        </w:tabs>
        <w:spacing w:after="0" w:line="240" w:lineRule="auto"/>
        <w:contextualSpacing/>
        <w:mirrorIndents/>
        <w:jc w:val="both"/>
        <w:rPr>
          <w:rFonts w:ascii="Arial" w:hAnsi="Arial" w:cs="Arial"/>
          <w:b/>
          <w:sz w:val="20"/>
          <w:szCs w:val="20"/>
        </w:rPr>
      </w:pPr>
      <w:r w:rsidRPr="003468FE">
        <w:rPr>
          <w:rFonts w:ascii="Arial" w:hAnsi="Arial" w:cs="Arial"/>
          <w:b/>
          <w:sz w:val="20"/>
          <w:szCs w:val="20"/>
        </w:rPr>
        <w:t>Opinión</w:t>
      </w:r>
    </w:p>
    <w:p w14:paraId="26FD1258" w14:textId="77777777" w:rsidR="00443603" w:rsidRPr="003468FE" w:rsidRDefault="00443603" w:rsidP="00443603">
      <w:pPr>
        <w:tabs>
          <w:tab w:val="left" w:pos="1276"/>
        </w:tabs>
        <w:spacing w:after="0" w:line="240" w:lineRule="auto"/>
        <w:contextualSpacing/>
        <w:mirrorIndents/>
        <w:jc w:val="both"/>
        <w:rPr>
          <w:rFonts w:ascii="Arial" w:hAnsi="Arial" w:cs="Arial"/>
          <w:sz w:val="20"/>
          <w:szCs w:val="20"/>
        </w:rPr>
      </w:pPr>
    </w:p>
    <w:p w14:paraId="55B58545" w14:textId="0DA867F3"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r w:rsidRPr="003468FE">
        <w:rPr>
          <w:rFonts w:ascii="Arial" w:hAnsi="Arial" w:cs="Arial"/>
          <w:sz w:val="20"/>
          <w:szCs w:val="20"/>
          <w:lang w:val="es-ES_tradnl"/>
        </w:rPr>
        <w:t xml:space="preserve">Hemos auditado los estados financieros consolidados adjuntos de </w:t>
      </w:r>
      <w:bookmarkStart w:id="0" w:name="_Hlk75432089"/>
      <w:r w:rsidRPr="003468FE">
        <w:rPr>
          <w:rFonts w:ascii="Arial" w:hAnsi="Arial" w:cs="Arial"/>
          <w:b/>
          <w:bCs/>
          <w:sz w:val="20"/>
          <w:szCs w:val="20"/>
          <w:lang w:val="es-ES_tradnl"/>
        </w:rPr>
        <w:t>Telconet</w:t>
      </w:r>
      <w:r w:rsidRPr="003468FE">
        <w:rPr>
          <w:rFonts w:ascii="Arial" w:hAnsi="Arial" w:cs="Arial"/>
          <w:sz w:val="20"/>
          <w:szCs w:val="20"/>
          <w:lang w:val="es-ES_tradnl"/>
        </w:rPr>
        <w:t xml:space="preserve"> </w:t>
      </w:r>
      <w:r w:rsidRPr="003468FE">
        <w:rPr>
          <w:rFonts w:ascii="Arial" w:hAnsi="Arial" w:cs="Arial"/>
          <w:b/>
          <w:bCs/>
          <w:sz w:val="20"/>
          <w:szCs w:val="20"/>
          <w:lang w:val="es-ES_tradnl"/>
        </w:rPr>
        <w:t>S.A.</w:t>
      </w:r>
      <w:r w:rsidRPr="003468FE">
        <w:rPr>
          <w:rFonts w:ascii="Arial" w:hAnsi="Arial" w:cs="Arial"/>
          <w:sz w:val="20"/>
          <w:szCs w:val="20"/>
          <w:lang w:val="es-ES_tradnl"/>
        </w:rPr>
        <w:t xml:space="preserve"> </w:t>
      </w:r>
      <w:r w:rsidRPr="003468FE">
        <w:rPr>
          <w:rFonts w:ascii="Arial" w:hAnsi="Arial" w:cs="Arial"/>
          <w:b/>
          <w:bCs/>
          <w:sz w:val="20"/>
          <w:szCs w:val="20"/>
          <w:lang w:val="es-ES_tradnl"/>
        </w:rPr>
        <w:t xml:space="preserve">y Compañía </w:t>
      </w:r>
      <w:r>
        <w:rPr>
          <w:rFonts w:ascii="Arial" w:hAnsi="Arial" w:cs="Arial"/>
          <w:b/>
          <w:bCs/>
          <w:sz w:val="20"/>
          <w:szCs w:val="20"/>
          <w:lang w:val="es-ES_tradnl"/>
        </w:rPr>
        <w:t>Relacionada</w:t>
      </w:r>
      <w:bookmarkEnd w:id="0"/>
      <w:r w:rsidRPr="003468FE">
        <w:rPr>
          <w:rFonts w:ascii="Arial" w:hAnsi="Arial" w:cs="Arial"/>
          <w:sz w:val="20"/>
          <w:szCs w:val="20"/>
          <w:lang w:val="es-ES_tradnl"/>
        </w:rPr>
        <w:t>, que comprenden el estado consolidado de situación financiera al                                                31 de diciembre del 2020 y los correspondientes estados consolidados de resultado integral, de cambios en el patrimonio y de flujos de efectivo por el año terminado en esa fecha, así como las notas a los estados financieros consolidados que incluyen un resumen de las políticas contables significativas.</w:t>
      </w:r>
    </w:p>
    <w:p w14:paraId="2FC696F6" w14:textId="77777777" w:rsidR="00443603" w:rsidRPr="003468FE" w:rsidRDefault="00443603" w:rsidP="00443603">
      <w:pPr>
        <w:tabs>
          <w:tab w:val="left" w:pos="1276"/>
        </w:tabs>
        <w:spacing w:after="0" w:line="240" w:lineRule="auto"/>
        <w:contextualSpacing/>
        <w:mirrorIndents/>
        <w:jc w:val="both"/>
        <w:rPr>
          <w:rFonts w:ascii="Arial" w:hAnsi="Arial" w:cs="Arial"/>
          <w:sz w:val="20"/>
          <w:szCs w:val="20"/>
          <w:lang w:val="es-ES_tradnl"/>
        </w:rPr>
      </w:pPr>
    </w:p>
    <w:p w14:paraId="709A2E9C" w14:textId="42C23EC9"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r w:rsidRPr="003468FE">
        <w:rPr>
          <w:rFonts w:ascii="Arial" w:hAnsi="Arial" w:cs="Arial"/>
          <w:sz w:val="20"/>
          <w:szCs w:val="20"/>
        </w:rPr>
        <w:t xml:space="preserve">En nuestra opinión, los estados financieros consolidados adjuntos presentan razonablemente, en                    todos los aspectos materiales, la posición financiera de </w:t>
      </w:r>
      <w:r w:rsidRPr="003468FE">
        <w:rPr>
          <w:rFonts w:ascii="Arial" w:hAnsi="Arial" w:cs="Arial"/>
          <w:b/>
          <w:bCs/>
          <w:sz w:val="20"/>
          <w:szCs w:val="20"/>
          <w:lang w:val="es-ES_tradnl"/>
        </w:rPr>
        <w:t>Telconet</w:t>
      </w:r>
      <w:r w:rsidRPr="003468FE">
        <w:rPr>
          <w:rFonts w:ascii="Arial" w:hAnsi="Arial" w:cs="Arial"/>
          <w:sz w:val="20"/>
          <w:szCs w:val="20"/>
          <w:lang w:val="es-ES_tradnl"/>
        </w:rPr>
        <w:t xml:space="preserve"> </w:t>
      </w:r>
      <w:r w:rsidRPr="003468FE">
        <w:rPr>
          <w:rFonts w:ascii="Arial" w:hAnsi="Arial" w:cs="Arial"/>
          <w:b/>
          <w:bCs/>
          <w:sz w:val="20"/>
          <w:szCs w:val="20"/>
          <w:lang w:val="es-ES_tradnl"/>
        </w:rPr>
        <w:t>S.A.</w:t>
      </w:r>
      <w:r w:rsidRPr="003468FE">
        <w:rPr>
          <w:rFonts w:ascii="Arial" w:hAnsi="Arial" w:cs="Arial"/>
          <w:sz w:val="20"/>
          <w:szCs w:val="20"/>
          <w:lang w:val="es-ES_tradnl"/>
        </w:rPr>
        <w:t xml:space="preserve"> </w:t>
      </w:r>
      <w:r w:rsidRPr="003468FE">
        <w:rPr>
          <w:rFonts w:ascii="Arial" w:hAnsi="Arial" w:cs="Arial"/>
          <w:b/>
          <w:bCs/>
          <w:sz w:val="20"/>
          <w:szCs w:val="20"/>
          <w:lang w:val="es-ES_tradnl"/>
        </w:rPr>
        <w:t xml:space="preserve">y Compañías </w:t>
      </w:r>
      <w:r>
        <w:rPr>
          <w:rFonts w:ascii="Arial" w:hAnsi="Arial" w:cs="Arial"/>
          <w:b/>
          <w:bCs/>
          <w:sz w:val="20"/>
          <w:szCs w:val="20"/>
          <w:lang w:val="es-ES_tradnl"/>
        </w:rPr>
        <w:t>Relacionada</w:t>
      </w:r>
      <w:r w:rsidRPr="003468FE">
        <w:rPr>
          <w:rFonts w:ascii="Arial" w:hAnsi="Arial" w:cs="Arial"/>
          <w:b/>
          <w:bCs/>
          <w:sz w:val="20"/>
          <w:szCs w:val="20"/>
          <w:lang w:val="es-ES_tradnl"/>
        </w:rPr>
        <w:t xml:space="preserve"> </w:t>
      </w:r>
      <w:r w:rsidRPr="003468FE">
        <w:rPr>
          <w:rFonts w:ascii="Arial" w:hAnsi="Arial" w:cs="Arial"/>
          <w:sz w:val="20"/>
          <w:szCs w:val="20"/>
          <w:lang w:val="es-ES_tradnl"/>
        </w:rPr>
        <w:t>por el año terminado el  31 de diciembre del 2020, el resultado de sus operaciones y sus flujos de efectivo por el año terminado en esa fecha, de conformidad con las Normas Internacionales de Información Financiera (NIIF) emitidas por el Consejo de Normas Internacionales de Contabilidad (IASB) y disposiciones establecidas por la Superintendencia de Compañías, Valores y Seguros (SCVS) descritas en la Nota 2.</w:t>
      </w:r>
    </w:p>
    <w:p w14:paraId="65FB0F4E" w14:textId="77777777" w:rsidR="00443603" w:rsidRPr="003468FE" w:rsidRDefault="00443603" w:rsidP="00443603">
      <w:pPr>
        <w:tabs>
          <w:tab w:val="left" w:pos="1276"/>
        </w:tabs>
        <w:spacing w:after="0" w:line="240" w:lineRule="auto"/>
        <w:contextualSpacing/>
        <w:mirrorIndents/>
        <w:jc w:val="both"/>
        <w:rPr>
          <w:rFonts w:ascii="Arial" w:hAnsi="Arial" w:cs="Arial"/>
          <w:sz w:val="20"/>
          <w:szCs w:val="20"/>
          <w:lang w:val="es-ES_tradnl"/>
        </w:rPr>
      </w:pPr>
    </w:p>
    <w:p w14:paraId="6B870E42" w14:textId="77777777" w:rsidR="00443603" w:rsidRPr="003468FE" w:rsidRDefault="00443603" w:rsidP="00443603">
      <w:pPr>
        <w:tabs>
          <w:tab w:val="left" w:pos="1276"/>
        </w:tabs>
        <w:spacing w:after="0" w:line="240" w:lineRule="auto"/>
        <w:contextualSpacing/>
        <w:mirrorIndents/>
        <w:jc w:val="both"/>
        <w:rPr>
          <w:rFonts w:ascii="Arial" w:hAnsi="Arial" w:cs="Arial"/>
          <w:b/>
          <w:sz w:val="20"/>
          <w:szCs w:val="20"/>
        </w:rPr>
      </w:pPr>
      <w:r w:rsidRPr="003468FE">
        <w:rPr>
          <w:rFonts w:ascii="Arial" w:hAnsi="Arial" w:cs="Arial"/>
          <w:b/>
          <w:sz w:val="20"/>
          <w:szCs w:val="20"/>
        </w:rPr>
        <w:t>Fundamentos de la opinión</w:t>
      </w:r>
    </w:p>
    <w:p w14:paraId="373ADB89" w14:textId="77777777" w:rsidR="00443603" w:rsidRPr="003468FE" w:rsidRDefault="00443603" w:rsidP="00443603">
      <w:pPr>
        <w:tabs>
          <w:tab w:val="left" w:pos="1276"/>
        </w:tabs>
        <w:spacing w:after="0" w:line="240" w:lineRule="auto"/>
        <w:contextualSpacing/>
        <w:mirrorIndents/>
        <w:jc w:val="both"/>
        <w:rPr>
          <w:rFonts w:ascii="Arial" w:hAnsi="Arial" w:cs="Arial"/>
          <w:sz w:val="20"/>
          <w:szCs w:val="20"/>
        </w:rPr>
      </w:pPr>
    </w:p>
    <w:p w14:paraId="6804DD6D" w14:textId="77777777"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3468FE">
        <w:rPr>
          <w:rFonts w:ascii="Arial" w:hAnsi="Arial" w:cs="Arial"/>
          <w:sz w:val="20"/>
          <w:szCs w:val="20"/>
        </w:rPr>
        <w:t xml:space="preserve">Nuestra auditoría fue efectuada de acuerdo con las Normas Internacionales de Auditoría (NIA) y            las disposiciones emitidas por la Superintendencia de Compañías, Valores y Seguros. Nuestras responsabilidades de acuerdo con estas normas se describen más adelante en este informe en la sección “Responsabilidades del auditor en relación con la auditoría de los estados financieros consolidados”.  </w:t>
      </w:r>
    </w:p>
    <w:p w14:paraId="1DAF8374" w14:textId="77777777"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7152BF59" w14:textId="6F278C7D"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3468FE">
        <w:rPr>
          <w:rFonts w:ascii="Arial" w:hAnsi="Arial" w:cs="Arial"/>
          <w:sz w:val="20"/>
          <w:szCs w:val="20"/>
        </w:rPr>
        <w:t xml:space="preserve">Somos independientes de </w:t>
      </w:r>
      <w:r w:rsidRPr="003468FE">
        <w:rPr>
          <w:rFonts w:ascii="Arial" w:hAnsi="Arial" w:cs="Arial"/>
          <w:b/>
          <w:bCs/>
          <w:sz w:val="20"/>
          <w:szCs w:val="20"/>
          <w:lang w:val="es-ES_tradnl"/>
        </w:rPr>
        <w:t>Telconet</w:t>
      </w:r>
      <w:r w:rsidRPr="003468FE">
        <w:rPr>
          <w:rFonts w:ascii="Arial" w:hAnsi="Arial" w:cs="Arial"/>
          <w:sz w:val="20"/>
          <w:szCs w:val="20"/>
          <w:lang w:val="es-ES_tradnl"/>
        </w:rPr>
        <w:t xml:space="preserve"> </w:t>
      </w:r>
      <w:r w:rsidRPr="003468FE">
        <w:rPr>
          <w:rFonts w:ascii="Arial" w:hAnsi="Arial" w:cs="Arial"/>
          <w:b/>
          <w:bCs/>
          <w:sz w:val="20"/>
          <w:szCs w:val="20"/>
          <w:lang w:val="es-ES_tradnl"/>
        </w:rPr>
        <w:t>S.A.</w:t>
      </w:r>
      <w:r w:rsidRPr="003468FE">
        <w:rPr>
          <w:rFonts w:ascii="Arial" w:hAnsi="Arial" w:cs="Arial"/>
          <w:sz w:val="20"/>
          <w:szCs w:val="20"/>
          <w:lang w:val="es-ES_tradnl"/>
        </w:rPr>
        <w:t xml:space="preserve"> </w:t>
      </w:r>
      <w:r w:rsidRPr="003468FE">
        <w:rPr>
          <w:rFonts w:ascii="Arial" w:hAnsi="Arial" w:cs="Arial"/>
          <w:b/>
          <w:bCs/>
          <w:sz w:val="20"/>
          <w:szCs w:val="20"/>
          <w:lang w:val="es-ES_tradnl"/>
        </w:rPr>
        <w:t>y Compañía</w:t>
      </w:r>
      <w:r>
        <w:rPr>
          <w:rFonts w:ascii="Arial" w:hAnsi="Arial" w:cs="Arial"/>
          <w:b/>
          <w:bCs/>
          <w:sz w:val="20"/>
          <w:szCs w:val="20"/>
          <w:lang w:val="es-ES_tradnl"/>
        </w:rPr>
        <w:t xml:space="preserve"> Relacionada </w:t>
      </w:r>
      <w:r w:rsidRPr="003468FE">
        <w:rPr>
          <w:rFonts w:ascii="Arial" w:hAnsi="Arial" w:cs="Arial"/>
          <w:sz w:val="20"/>
          <w:szCs w:val="20"/>
        </w:rPr>
        <w:t xml:space="preserve">de acuerdo con el Código de Ética para Profesionales de la Contabilidad del Consejo de Normas Internacionales de Ética para Contadores (IESBA por sus siglas en inglés) y las disposiciones de independencia de la Superintendencia de Compañías, Valores y Seguros del Ecuador (SCVS), y hemos cumplido las demás responsabilidades de ética de conformidad con el referido Código. </w:t>
      </w:r>
    </w:p>
    <w:p w14:paraId="0E839ABE" w14:textId="77777777"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69D42398" w14:textId="77777777"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3468FE">
        <w:rPr>
          <w:rFonts w:ascii="Arial" w:hAnsi="Arial" w:cs="Arial"/>
          <w:sz w:val="20"/>
          <w:szCs w:val="20"/>
        </w:rPr>
        <w:t>Consideramos que la evidencia de auditoría que hemos obtenido es suficiente y apropiada para proporcionar una base para nuestra opinión de auditoría.</w:t>
      </w:r>
    </w:p>
    <w:p w14:paraId="0A665D62" w14:textId="77777777" w:rsidR="00443603" w:rsidRPr="003468FE" w:rsidRDefault="00443603" w:rsidP="00443603">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p>
    <w:p w14:paraId="6FF9C46F" w14:textId="384714C8" w:rsidR="00615AEF" w:rsidRPr="0074154F" w:rsidRDefault="00615AEF" w:rsidP="00413455">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b/>
          <w:bCs/>
          <w:sz w:val="20"/>
          <w:szCs w:val="20"/>
        </w:rPr>
      </w:pPr>
      <w:r w:rsidRPr="0074154F">
        <w:rPr>
          <w:rFonts w:ascii="Arial" w:hAnsi="Arial" w:cs="Arial"/>
          <w:b/>
          <w:bCs/>
          <w:sz w:val="20"/>
          <w:szCs w:val="20"/>
        </w:rPr>
        <w:t>Asuntos de énfasis</w:t>
      </w:r>
    </w:p>
    <w:p w14:paraId="099C74CC" w14:textId="77777777" w:rsidR="00615AEF" w:rsidRPr="0074154F" w:rsidRDefault="00615AEF" w:rsidP="00413455">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254B4810" w14:textId="77777777" w:rsidR="00AF44BC" w:rsidRPr="0074154F" w:rsidRDefault="00615AEF" w:rsidP="00413455">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74154F">
        <w:rPr>
          <w:rFonts w:ascii="Arial" w:hAnsi="Arial" w:cs="Arial"/>
          <w:sz w:val="20"/>
          <w:szCs w:val="20"/>
        </w:rPr>
        <w:t>Sin calificar nuestra opinión informamos que</w:t>
      </w:r>
      <w:r w:rsidR="00AF44BC" w:rsidRPr="0074154F">
        <w:rPr>
          <w:rFonts w:ascii="Arial" w:hAnsi="Arial" w:cs="Arial"/>
          <w:sz w:val="20"/>
          <w:szCs w:val="20"/>
        </w:rPr>
        <w:t>:</w:t>
      </w:r>
    </w:p>
    <w:p w14:paraId="41F23808" w14:textId="64EC4F5D" w:rsidR="00AF44BC" w:rsidRPr="0074154F" w:rsidRDefault="00AF44BC" w:rsidP="00413455">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23ED3458" w14:textId="77777777" w:rsidR="001F156D" w:rsidRPr="0074154F" w:rsidRDefault="00C649CE" w:rsidP="00C649CE">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 xml:space="preserve">El 21 de noviembre del 2018, de acuerdo </w:t>
      </w:r>
      <w:r w:rsidR="0023063C" w:rsidRPr="0074154F">
        <w:rPr>
          <w:rFonts w:ascii="Arial" w:hAnsi="Arial" w:cs="Arial"/>
          <w:sz w:val="20"/>
          <w:szCs w:val="20"/>
        </w:rPr>
        <w:t xml:space="preserve">con </w:t>
      </w:r>
      <w:r w:rsidRPr="0074154F">
        <w:rPr>
          <w:rFonts w:ascii="Arial" w:hAnsi="Arial" w:cs="Arial"/>
          <w:sz w:val="20"/>
          <w:szCs w:val="20"/>
        </w:rPr>
        <w:t xml:space="preserve">la Resolución No. SCVS.INC.DNSD-2018-00873 </w:t>
      </w:r>
      <w:proofErr w:type="gramStart"/>
      <w:r w:rsidRPr="0074154F">
        <w:rPr>
          <w:rFonts w:ascii="Arial" w:hAnsi="Arial" w:cs="Arial"/>
          <w:sz w:val="20"/>
          <w:szCs w:val="20"/>
        </w:rPr>
        <w:t xml:space="preserve">de </w:t>
      </w:r>
      <w:r w:rsidR="0074010B" w:rsidRPr="0074154F">
        <w:rPr>
          <w:rFonts w:ascii="Arial" w:hAnsi="Arial" w:cs="Arial"/>
          <w:sz w:val="20"/>
          <w:szCs w:val="20"/>
        </w:rPr>
        <w:t xml:space="preserve"> </w:t>
      </w:r>
      <w:r w:rsidRPr="0074154F">
        <w:rPr>
          <w:rFonts w:ascii="Arial" w:hAnsi="Arial" w:cs="Arial"/>
          <w:sz w:val="20"/>
          <w:szCs w:val="20"/>
        </w:rPr>
        <w:t>la</w:t>
      </w:r>
      <w:proofErr w:type="gramEnd"/>
      <w:r w:rsidRPr="0074154F">
        <w:rPr>
          <w:rFonts w:ascii="Arial" w:hAnsi="Arial" w:cs="Arial"/>
          <w:sz w:val="20"/>
          <w:szCs w:val="20"/>
        </w:rPr>
        <w:t xml:space="preserve"> Superintendencia de Compañías, Valores y Seguros (SCVS) declaró la intervención </w:t>
      </w:r>
      <w:r w:rsidR="0074010B" w:rsidRPr="0074154F">
        <w:rPr>
          <w:rFonts w:ascii="Arial" w:hAnsi="Arial" w:cs="Arial"/>
          <w:sz w:val="20"/>
          <w:szCs w:val="20"/>
        </w:rPr>
        <w:t xml:space="preserve">                           </w:t>
      </w:r>
      <w:r w:rsidRPr="0074154F">
        <w:rPr>
          <w:rFonts w:ascii="Arial" w:hAnsi="Arial" w:cs="Arial"/>
          <w:sz w:val="20"/>
          <w:szCs w:val="20"/>
        </w:rPr>
        <w:t>de la Compañía con el objeto de supervigilar la marcha económica financiera y propiciar la corrección de las irregularidades advertidas a fin de evitar perjuicios a sus accionistas y/o terceros, por</w:t>
      </w:r>
      <w:r w:rsidR="0023063C" w:rsidRPr="0074154F">
        <w:rPr>
          <w:rFonts w:ascii="Arial" w:hAnsi="Arial" w:cs="Arial"/>
          <w:sz w:val="20"/>
          <w:szCs w:val="20"/>
        </w:rPr>
        <w:t xml:space="preserve"> </w:t>
      </w:r>
      <w:r w:rsidRPr="0074154F">
        <w:rPr>
          <w:rFonts w:ascii="Arial" w:hAnsi="Arial" w:cs="Arial"/>
          <w:sz w:val="20"/>
          <w:szCs w:val="20"/>
        </w:rPr>
        <w:t>estar incursa en la causal tercera del Art. 354 de la Ley de Compañías</w:t>
      </w:r>
      <w:r w:rsidR="001F156D" w:rsidRPr="0074154F">
        <w:rPr>
          <w:rFonts w:ascii="Arial" w:hAnsi="Arial" w:cs="Arial"/>
          <w:sz w:val="20"/>
          <w:szCs w:val="20"/>
        </w:rPr>
        <w:t xml:space="preserve">. </w:t>
      </w:r>
    </w:p>
    <w:p w14:paraId="705F9DF7" w14:textId="77777777" w:rsidR="001F156D" w:rsidRPr="0074154F" w:rsidRDefault="001F156D" w:rsidP="001F156D">
      <w:pPr>
        <w:pStyle w:val="ListParagraph"/>
        <w:autoSpaceDE w:val="0"/>
        <w:autoSpaceDN w:val="0"/>
        <w:adjustRightInd w:val="0"/>
        <w:spacing w:after="0" w:line="240" w:lineRule="auto"/>
        <w:ind w:left="426"/>
        <w:jc w:val="both"/>
        <w:rPr>
          <w:rFonts w:ascii="Arial" w:hAnsi="Arial" w:cs="Arial"/>
          <w:sz w:val="20"/>
          <w:szCs w:val="20"/>
        </w:rPr>
      </w:pPr>
    </w:p>
    <w:p w14:paraId="5332060D" w14:textId="1C2769E0" w:rsidR="00C649CE" w:rsidRPr="0074154F" w:rsidRDefault="001F156D" w:rsidP="001F156D">
      <w:pPr>
        <w:pStyle w:val="ListParagraph"/>
        <w:autoSpaceDE w:val="0"/>
        <w:autoSpaceDN w:val="0"/>
        <w:adjustRightInd w:val="0"/>
        <w:spacing w:after="0" w:line="240" w:lineRule="auto"/>
        <w:ind w:left="426"/>
        <w:jc w:val="both"/>
        <w:rPr>
          <w:rFonts w:ascii="Arial" w:hAnsi="Arial" w:cs="Arial"/>
          <w:sz w:val="20"/>
          <w:szCs w:val="20"/>
        </w:rPr>
      </w:pPr>
      <w:r w:rsidRPr="0074154F">
        <w:rPr>
          <w:rFonts w:ascii="Arial" w:hAnsi="Arial" w:cs="Arial"/>
          <w:sz w:val="20"/>
          <w:szCs w:val="20"/>
        </w:rPr>
        <w:lastRenderedPageBreak/>
        <w:t>D</w:t>
      </w:r>
      <w:r w:rsidR="00C649CE" w:rsidRPr="0074154F">
        <w:rPr>
          <w:rFonts w:ascii="Arial" w:hAnsi="Arial" w:cs="Arial"/>
          <w:sz w:val="20"/>
          <w:szCs w:val="20"/>
        </w:rPr>
        <w:t xml:space="preserve">e acuerdo </w:t>
      </w:r>
      <w:r w:rsidRPr="0074154F">
        <w:rPr>
          <w:rFonts w:ascii="Arial" w:hAnsi="Arial" w:cs="Arial"/>
          <w:sz w:val="20"/>
          <w:szCs w:val="20"/>
        </w:rPr>
        <w:t>con l</w:t>
      </w:r>
      <w:r w:rsidR="00C649CE" w:rsidRPr="0074154F">
        <w:rPr>
          <w:rFonts w:ascii="Arial" w:hAnsi="Arial" w:cs="Arial"/>
          <w:sz w:val="20"/>
          <w:szCs w:val="20"/>
        </w:rPr>
        <w:t>as conclusiones constantes en los memorandos de la Dirección Nacional de Inspección,</w:t>
      </w:r>
      <w:r w:rsidRPr="0074154F">
        <w:rPr>
          <w:rFonts w:ascii="Arial" w:hAnsi="Arial" w:cs="Arial"/>
          <w:sz w:val="20"/>
          <w:szCs w:val="20"/>
        </w:rPr>
        <w:t xml:space="preserve"> </w:t>
      </w:r>
      <w:r w:rsidR="00C649CE" w:rsidRPr="0074154F">
        <w:rPr>
          <w:rFonts w:ascii="Arial" w:hAnsi="Arial" w:cs="Arial"/>
          <w:sz w:val="20"/>
          <w:szCs w:val="20"/>
        </w:rPr>
        <w:t xml:space="preserve">Control, Auditoría e intervención y de la Dirección Nacional de Actos Societarios y Disolución No SCVS-INC-DNICAI-2018-0634-M y No SCVS-INC-DNASD-2018-0478-M ambos </w:t>
      </w:r>
      <w:r w:rsidRPr="0074154F">
        <w:rPr>
          <w:rFonts w:ascii="Arial" w:hAnsi="Arial" w:cs="Arial"/>
          <w:sz w:val="20"/>
          <w:szCs w:val="20"/>
        </w:rPr>
        <w:t xml:space="preserve">  </w:t>
      </w:r>
      <w:r w:rsidR="00C649CE" w:rsidRPr="0074154F">
        <w:rPr>
          <w:rFonts w:ascii="Arial" w:hAnsi="Arial" w:cs="Arial"/>
          <w:sz w:val="20"/>
          <w:szCs w:val="20"/>
        </w:rPr>
        <w:t xml:space="preserve">del 26 de noviembre del 2018, respectivamente.    </w:t>
      </w:r>
    </w:p>
    <w:p w14:paraId="646BFD64" w14:textId="77777777" w:rsidR="00C649CE" w:rsidRPr="0074154F" w:rsidRDefault="00C649CE" w:rsidP="00C649CE">
      <w:pPr>
        <w:spacing w:after="0" w:line="240" w:lineRule="auto"/>
        <w:ind w:left="426"/>
        <w:jc w:val="both"/>
        <w:rPr>
          <w:rFonts w:ascii="Arial" w:hAnsi="Arial" w:cs="Arial"/>
          <w:sz w:val="20"/>
          <w:szCs w:val="20"/>
        </w:rPr>
      </w:pPr>
    </w:p>
    <w:p w14:paraId="5B5A052D" w14:textId="0D1966BA" w:rsidR="00C649CE" w:rsidRPr="0074154F" w:rsidRDefault="00C649CE" w:rsidP="00C649CE">
      <w:pPr>
        <w:spacing w:after="0" w:line="240" w:lineRule="auto"/>
        <w:ind w:left="426"/>
        <w:jc w:val="both"/>
        <w:rPr>
          <w:rFonts w:ascii="Arial" w:hAnsi="Arial" w:cs="Arial"/>
          <w:sz w:val="20"/>
          <w:szCs w:val="20"/>
        </w:rPr>
      </w:pPr>
      <w:r w:rsidRPr="0074154F">
        <w:rPr>
          <w:rFonts w:ascii="Arial" w:hAnsi="Arial" w:cs="Arial"/>
          <w:sz w:val="20"/>
          <w:szCs w:val="20"/>
        </w:rPr>
        <w:t>Durante el año 2019, a través del interventor designado, se emitieron informes mensuales a la Intendencia Nacional de Valores acerca de las actividades cumplidas y de las acciones realizadas por la Administración de la Compañía, tendentes a superar las causales que originaron la intervención.</w:t>
      </w:r>
    </w:p>
    <w:p w14:paraId="27856717" w14:textId="77777777" w:rsidR="00C649CE" w:rsidRPr="0074154F" w:rsidRDefault="00C649CE" w:rsidP="00C649CE">
      <w:pPr>
        <w:pStyle w:val="ListParagraph"/>
        <w:spacing w:after="0" w:line="240" w:lineRule="auto"/>
        <w:jc w:val="both"/>
        <w:rPr>
          <w:rFonts w:ascii="Arial" w:hAnsi="Arial" w:cs="Arial"/>
          <w:sz w:val="20"/>
          <w:szCs w:val="20"/>
        </w:rPr>
      </w:pPr>
    </w:p>
    <w:p w14:paraId="43D0ABBB" w14:textId="59EA514C" w:rsidR="00C649CE" w:rsidRPr="0074154F" w:rsidRDefault="00C649CE" w:rsidP="00C649CE">
      <w:pPr>
        <w:spacing w:after="0" w:line="240" w:lineRule="auto"/>
        <w:ind w:left="426"/>
        <w:jc w:val="both"/>
        <w:rPr>
          <w:rFonts w:ascii="Arial" w:hAnsi="Arial" w:cs="Arial"/>
          <w:sz w:val="20"/>
          <w:szCs w:val="20"/>
        </w:rPr>
      </w:pPr>
      <w:r w:rsidRPr="0074154F">
        <w:rPr>
          <w:rFonts w:ascii="Arial" w:hAnsi="Arial" w:cs="Arial"/>
          <w:sz w:val="20"/>
          <w:szCs w:val="20"/>
        </w:rPr>
        <w:t>Con fecha 20 de diciembre del</w:t>
      </w:r>
      <w:r w:rsidR="001F156D" w:rsidRPr="0074154F">
        <w:rPr>
          <w:rFonts w:ascii="Arial" w:hAnsi="Arial" w:cs="Arial"/>
          <w:sz w:val="20"/>
          <w:szCs w:val="20"/>
        </w:rPr>
        <w:t xml:space="preserve"> </w:t>
      </w:r>
      <w:r w:rsidRPr="0074154F">
        <w:rPr>
          <w:rFonts w:ascii="Arial" w:hAnsi="Arial" w:cs="Arial"/>
          <w:sz w:val="20"/>
          <w:szCs w:val="20"/>
        </w:rPr>
        <w:t>2019,</w:t>
      </w:r>
      <w:r w:rsidR="00DB59ED" w:rsidRPr="0074154F">
        <w:rPr>
          <w:rFonts w:ascii="Arial" w:hAnsi="Arial" w:cs="Arial"/>
          <w:sz w:val="20"/>
          <w:szCs w:val="20"/>
        </w:rPr>
        <w:t xml:space="preserve"> </w:t>
      </w:r>
      <w:r w:rsidRPr="0074154F">
        <w:rPr>
          <w:rFonts w:ascii="Arial" w:hAnsi="Arial" w:cs="Arial"/>
          <w:sz w:val="20"/>
          <w:szCs w:val="20"/>
        </w:rPr>
        <w:t xml:space="preserve">mediante </w:t>
      </w:r>
      <w:r w:rsidR="001F156D" w:rsidRPr="0074154F">
        <w:rPr>
          <w:rFonts w:ascii="Arial" w:hAnsi="Arial" w:cs="Arial"/>
          <w:sz w:val="20"/>
          <w:szCs w:val="20"/>
        </w:rPr>
        <w:t>O</w:t>
      </w:r>
      <w:r w:rsidRPr="0074154F">
        <w:rPr>
          <w:rFonts w:ascii="Arial" w:hAnsi="Arial" w:cs="Arial"/>
          <w:sz w:val="20"/>
          <w:szCs w:val="20"/>
        </w:rPr>
        <w:t>ficio No.</w:t>
      </w:r>
      <w:r w:rsidR="001F156D" w:rsidRPr="0074154F">
        <w:rPr>
          <w:rFonts w:ascii="Arial" w:hAnsi="Arial" w:cs="Arial"/>
          <w:sz w:val="20"/>
          <w:szCs w:val="20"/>
        </w:rPr>
        <w:t xml:space="preserve"> </w:t>
      </w:r>
      <w:r w:rsidRPr="0074154F">
        <w:rPr>
          <w:rFonts w:ascii="Arial" w:hAnsi="Arial" w:cs="Arial"/>
          <w:sz w:val="20"/>
          <w:szCs w:val="20"/>
        </w:rPr>
        <w:t>SCVS.SG.2019-02639-O de la Superintendencia de Compañías, Valores y Seguros (SCVS) se resuelve levantar la intervención de la Compañía.</w:t>
      </w:r>
    </w:p>
    <w:p w14:paraId="3758FEA0" w14:textId="77777777" w:rsidR="00C649CE" w:rsidRPr="0074154F" w:rsidRDefault="00C649CE" w:rsidP="00C649CE">
      <w:pPr>
        <w:pStyle w:val="ListParagraph"/>
        <w:spacing w:after="0" w:line="240" w:lineRule="auto"/>
        <w:jc w:val="both"/>
        <w:rPr>
          <w:rFonts w:ascii="Arial" w:hAnsi="Arial" w:cs="Arial"/>
          <w:sz w:val="20"/>
          <w:szCs w:val="20"/>
        </w:rPr>
      </w:pPr>
    </w:p>
    <w:p w14:paraId="6C2D03DC" w14:textId="6D15EDB0" w:rsidR="00C649CE" w:rsidRPr="0074154F" w:rsidRDefault="00C649CE" w:rsidP="00C649CE">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Desde el año 2017, la fiscalía se encuentra en investigación a los accionistas de la Compañía acerca del origen de una parte de los recursos que se invirtieron para la instalación del cable submarino, producto de la cual la Compañía ha comparecido, con el fin de coadyuvar, en el proceso de investigación por pedido de la Unidad de Análisis Financiero y Económico (UAFE), deposit</w:t>
      </w:r>
      <w:r w:rsidR="00D3742F" w:rsidRPr="0074154F">
        <w:rPr>
          <w:rFonts w:ascii="Arial" w:hAnsi="Arial" w:cs="Arial"/>
          <w:sz w:val="20"/>
          <w:szCs w:val="20"/>
        </w:rPr>
        <w:t>ó</w:t>
      </w:r>
      <w:r w:rsidRPr="0074154F">
        <w:rPr>
          <w:rFonts w:ascii="Arial" w:hAnsi="Arial" w:cs="Arial"/>
          <w:sz w:val="20"/>
          <w:szCs w:val="20"/>
        </w:rPr>
        <w:t xml:space="preserve"> en el mes </w:t>
      </w:r>
      <w:r w:rsidR="00D3742F" w:rsidRPr="0074154F">
        <w:rPr>
          <w:rFonts w:ascii="Arial" w:hAnsi="Arial" w:cs="Arial"/>
          <w:sz w:val="20"/>
          <w:szCs w:val="20"/>
        </w:rPr>
        <w:t xml:space="preserve">enero </w:t>
      </w:r>
      <w:r w:rsidRPr="0074154F">
        <w:rPr>
          <w:rFonts w:ascii="Arial" w:hAnsi="Arial" w:cs="Arial"/>
          <w:sz w:val="20"/>
          <w:szCs w:val="20"/>
        </w:rPr>
        <w:t>del</w:t>
      </w:r>
      <w:r w:rsidR="00DB59ED" w:rsidRPr="0074154F">
        <w:rPr>
          <w:rFonts w:ascii="Arial" w:hAnsi="Arial" w:cs="Arial"/>
          <w:sz w:val="20"/>
          <w:szCs w:val="20"/>
        </w:rPr>
        <w:t xml:space="preserve"> año</w:t>
      </w:r>
      <w:r w:rsidR="001F156D" w:rsidRPr="0074154F">
        <w:rPr>
          <w:rFonts w:ascii="Arial" w:hAnsi="Arial" w:cs="Arial"/>
          <w:sz w:val="20"/>
          <w:szCs w:val="20"/>
        </w:rPr>
        <w:t xml:space="preserve"> </w:t>
      </w:r>
      <w:r w:rsidRPr="0074154F">
        <w:rPr>
          <w:rFonts w:ascii="Arial" w:hAnsi="Arial" w:cs="Arial"/>
          <w:sz w:val="20"/>
          <w:szCs w:val="20"/>
        </w:rPr>
        <w:t>2019 de forma provisional</w:t>
      </w:r>
      <w:r w:rsidR="00D3742F" w:rsidRPr="0074154F">
        <w:rPr>
          <w:rFonts w:ascii="Arial" w:hAnsi="Arial" w:cs="Arial"/>
          <w:sz w:val="20"/>
          <w:szCs w:val="20"/>
        </w:rPr>
        <w:t xml:space="preserve"> la cantidad de </w:t>
      </w:r>
      <w:r w:rsidRPr="0074154F">
        <w:rPr>
          <w:rFonts w:ascii="Arial" w:hAnsi="Arial" w:cs="Arial"/>
          <w:sz w:val="20"/>
          <w:szCs w:val="20"/>
        </w:rPr>
        <w:t>US$13</w:t>
      </w:r>
      <w:r w:rsidR="00D3742F" w:rsidRPr="0074154F">
        <w:rPr>
          <w:rFonts w:ascii="Arial" w:hAnsi="Arial" w:cs="Arial"/>
          <w:sz w:val="20"/>
          <w:szCs w:val="20"/>
        </w:rPr>
        <w:t xml:space="preserve">.5 millones </w:t>
      </w:r>
      <w:r w:rsidRPr="0074154F">
        <w:rPr>
          <w:rFonts w:ascii="Arial" w:hAnsi="Arial" w:cs="Arial"/>
          <w:sz w:val="20"/>
          <w:szCs w:val="20"/>
        </w:rPr>
        <w:t>en la cuenta del Servicio de Gestión Inmobiliaria (</w:t>
      </w:r>
      <w:proofErr w:type="spellStart"/>
      <w:r w:rsidRPr="0074154F">
        <w:rPr>
          <w:rFonts w:ascii="Arial" w:hAnsi="Arial" w:cs="Arial"/>
          <w:sz w:val="20"/>
          <w:szCs w:val="20"/>
        </w:rPr>
        <w:t>Inmobiliar</w:t>
      </w:r>
      <w:proofErr w:type="spellEnd"/>
      <w:r w:rsidRPr="0074154F">
        <w:rPr>
          <w:rFonts w:ascii="Arial" w:hAnsi="Arial" w:cs="Arial"/>
          <w:sz w:val="20"/>
          <w:szCs w:val="20"/>
        </w:rPr>
        <w:t>). A la fecha de emisión de estos estados financieros</w:t>
      </w:r>
      <w:r w:rsidR="00DB59ED" w:rsidRPr="0074154F">
        <w:rPr>
          <w:rFonts w:ascii="Arial" w:hAnsi="Arial" w:cs="Arial"/>
          <w:sz w:val="20"/>
          <w:szCs w:val="20"/>
        </w:rPr>
        <w:t xml:space="preserve"> </w:t>
      </w:r>
      <w:r w:rsidR="00E36468" w:rsidRPr="0074154F">
        <w:rPr>
          <w:rFonts w:ascii="Arial" w:hAnsi="Arial" w:cs="Arial"/>
          <w:sz w:val="20"/>
          <w:szCs w:val="20"/>
        </w:rPr>
        <w:t>consolidado</w:t>
      </w:r>
      <w:r w:rsidR="00DB59ED" w:rsidRPr="0074154F">
        <w:rPr>
          <w:rFonts w:ascii="Arial" w:hAnsi="Arial" w:cs="Arial"/>
          <w:sz w:val="20"/>
          <w:szCs w:val="20"/>
        </w:rPr>
        <w:t>s</w:t>
      </w:r>
      <w:r w:rsidRPr="0074154F">
        <w:rPr>
          <w:rFonts w:ascii="Arial" w:hAnsi="Arial" w:cs="Arial"/>
          <w:sz w:val="20"/>
          <w:szCs w:val="20"/>
        </w:rPr>
        <w:t xml:space="preserve">, y de acuerdo </w:t>
      </w:r>
      <w:r w:rsidR="00DC14F0" w:rsidRPr="0074154F">
        <w:rPr>
          <w:rFonts w:ascii="Arial" w:hAnsi="Arial" w:cs="Arial"/>
          <w:sz w:val="20"/>
          <w:szCs w:val="20"/>
        </w:rPr>
        <w:t xml:space="preserve">con </w:t>
      </w:r>
      <w:r w:rsidRPr="0074154F">
        <w:rPr>
          <w:rFonts w:ascii="Arial" w:hAnsi="Arial" w:cs="Arial"/>
          <w:sz w:val="20"/>
          <w:szCs w:val="20"/>
        </w:rPr>
        <w:t xml:space="preserve">sus asesores legales, el proceso ya cumplió con el plazo de ley para su finalización, por lo que se prevé el cierre de </w:t>
      </w:r>
      <w:proofErr w:type="gramStart"/>
      <w:r w:rsidRPr="0074154F">
        <w:rPr>
          <w:rFonts w:ascii="Arial" w:hAnsi="Arial" w:cs="Arial"/>
          <w:sz w:val="20"/>
          <w:szCs w:val="20"/>
        </w:rPr>
        <w:t>la misma</w:t>
      </w:r>
      <w:proofErr w:type="gramEnd"/>
      <w:r w:rsidRPr="0074154F">
        <w:rPr>
          <w:rFonts w:ascii="Arial" w:hAnsi="Arial" w:cs="Arial"/>
          <w:sz w:val="20"/>
          <w:szCs w:val="20"/>
        </w:rPr>
        <w:t xml:space="preserve"> en una próxima fecha.</w:t>
      </w:r>
    </w:p>
    <w:p w14:paraId="15F9F08E" w14:textId="77777777" w:rsidR="00C649CE" w:rsidRPr="0074154F" w:rsidRDefault="00C649CE" w:rsidP="00C649CE">
      <w:pPr>
        <w:pStyle w:val="ListParagraph"/>
        <w:spacing w:after="0" w:line="240" w:lineRule="auto"/>
        <w:jc w:val="both"/>
        <w:rPr>
          <w:rFonts w:asciiTheme="minorHAnsi" w:hAnsiTheme="minorHAnsi" w:cstheme="minorBidi"/>
          <w:sz w:val="20"/>
          <w:szCs w:val="20"/>
        </w:rPr>
      </w:pPr>
    </w:p>
    <w:p w14:paraId="27AE79AD" w14:textId="7742ACEC" w:rsidR="00702FC1" w:rsidRPr="0074154F" w:rsidRDefault="00C649CE" w:rsidP="00DC14F0">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 xml:space="preserve">En el mes de noviembre del </w:t>
      </w:r>
      <w:r w:rsidR="00DC14F0" w:rsidRPr="0074154F">
        <w:rPr>
          <w:rFonts w:ascii="Arial" w:hAnsi="Arial" w:cs="Arial"/>
          <w:sz w:val="20"/>
          <w:szCs w:val="20"/>
        </w:rPr>
        <w:t xml:space="preserve">año </w:t>
      </w:r>
      <w:r w:rsidRPr="0074154F">
        <w:rPr>
          <w:rFonts w:ascii="Arial" w:hAnsi="Arial" w:cs="Arial"/>
          <w:sz w:val="20"/>
          <w:szCs w:val="20"/>
        </w:rPr>
        <w:t>2019, se efectuó un d</w:t>
      </w:r>
      <w:r w:rsidR="00DC14F0" w:rsidRPr="0074154F">
        <w:rPr>
          <w:rFonts w:ascii="Arial" w:hAnsi="Arial" w:cs="Arial"/>
          <w:sz w:val="20"/>
          <w:szCs w:val="20"/>
        </w:rPr>
        <w:t>é</w:t>
      </w:r>
      <w:r w:rsidRPr="0074154F">
        <w:rPr>
          <w:rFonts w:ascii="Arial" w:hAnsi="Arial" w:cs="Arial"/>
          <w:sz w:val="20"/>
          <w:szCs w:val="20"/>
        </w:rPr>
        <w:t xml:space="preserve">bito en el rubro de </w:t>
      </w:r>
      <w:r w:rsidR="00DC14F0" w:rsidRPr="0074154F">
        <w:rPr>
          <w:rFonts w:ascii="Arial" w:hAnsi="Arial" w:cs="Arial"/>
          <w:sz w:val="20"/>
          <w:szCs w:val="20"/>
        </w:rPr>
        <w:t>r</w:t>
      </w:r>
      <w:r w:rsidRPr="0074154F">
        <w:rPr>
          <w:rFonts w:ascii="Arial" w:hAnsi="Arial" w:cs="Arial"/>
          <w:sz w:val="20"/>
          <w:szCs w:val="20"/>
        </w:rPr>
        <w:t xml:space="preserve">esultados </w:t>
      </w:r>
      <w:r w:rsidR="00DC14F0" w:rsidRPr="0074154F">
        <w:rPr>
          <w:rFonts w:ascii="Arial" w:hAnsi="Arial" w:cs="Arial"/>
          <w:sz w:val="20"/>
          <w:szCs w:val="20"/>
        </w:rPr>
        <w:t>a</w:t>
      </w:r>
      <w:r w:rsidRPr="0074154F">
        <w:rPr>
          <w:rFonts w:ascii="Arial" w:hAnsi="Arial" w:cs="Arial"/>
          <w:sz w:val="20"/>
          <w:szCs w:val="20"/>
        </w:rPr>
        <w:t>cumulados producto del registro de una distribución de dividendos por US$5</w:t>
      </w:r>
      <w:r w:rsidR="00DC14F0" w:rsidRPr="0074154F">
        <w:rPr>
          <w:rFonts w:ascii="Arial" w:hAnsi="Arial" w:cs="Arial"/>
          <w:sz w:val="20"/>
          <w:szCs w:val="20"/>
        </w:rPr>
        <w:t xml:space="preserve">.5 millones el cual fue </w:t>
      </w:r>
      <w:r w:rsidR="00F7672F" w:rsidRPr="0074154F">
        <w:rPr>
          <w:rFonts w:ascii="Arial" w:hAnsi="Arial" w:cs="Arial"/>
          <w:sz w:val="20"/>
          <w:szCs w:val="20"/>
        </w:rPr>
        <w:t xml:space="preserve">                  </w:t>
      </w:r>
      <w:r w:rsidRPr="0074154F">
        <w:rPr>
          <w:rFonts w:ascii="Arial" w:hAnsi="Arial" w:cs="Arial"/>
          <w:sz w:val="20"/>
          <w:szCs w:val="20"/>
        </w:rPr>
        <w:t xml:space="preserve">reportado en el Acta de Junta General de Accionistas </w:t>
      </w:r>
      <w:r w:rsidR="00DC14F0" w:rsidRPr="0074154F">
        <w:rPr>
          <w:rFonts w:ascii="Arial" w:hAnsi="Arial" w:cs="Arial"/>
          <w:sz w:val="20"/>
          <w:szCs w:val="20"/>
        </w:rPr>
        <w:t xml:space="preserve">de fecha </w:t>
      </w:r>
      <w:r w:rsidRPr="0074154F">
        <w:rPr>
          <w:rFonts w:ascii="Arial" w:hAnsi="Arial" w:cs="Arial"/>
          <w:sz w:val="20"/>
          <w:szCs w:val="20"/>
        </w:rPr>
        <w:t>16 de marzo del 2020</w:t>
      </w:r>
      <w:r w:rsidR="00702FC1" w:rsidRPr="0074154F">
        <w:rPr>
          <w:rFonts w:ascii="Arial" w:hAnsi="Arial" w:cs="Arial"/>
          <w:sz w:val="20"/>
          <w:szCs w:val="20"/>
        </w:rPr>
        <w:t xml:space="preserve">, </w:t>
      </w:r>
      <w:r w:rsidRPr="0074154F">
        <w:rPr>
          <w:rFonts w:ascii="Arial" w:hAnsi="Arial" w:cs="Arial"/>
          <w:sz w:val="20"/>
          <w:szCs w:val="20"/>
        </w:rPr>
        <w:t>donde los accionistas deciden</w:t>
      </w:r>
      <w:r w:rsidR="00F7672F" w:rsidRPr="0074154F">
        <w:rPr>
          <w:rFonts w:ascii="Arial" w:hAnsi="Arial" w:cs="Arial"/>
          <w:sz w:val="20"/>
          <w:szCs w:val="20"/>
        </w:rPr>
        <w:t xml:space="preserve"> </w:t>
      </w:r>
      <w:r w:rsidRPr="0074154F">
        <w:rPr>
          <w:rFonts w:ascii="Arial" w:hAnsi="Arial" w:cs="Arial"/>
          <w:sz w:val="20"/>
          <w:szCs w:val="20"/>
        </w:rPr>
        <w:t>ratificar l</w:t>
      </w:r>
      <w:r w:rsidR="00702FC1" w:rsidRPr="0074154F">
        <w:rPr>
          <w:rFonts w:ascii="Arial" w:hAnsi="Arial" w:cs="Arial"/>
          <w:sz w:val="20"/>
          <w:szCs w:val="20"/>
        </w:rPr>
        <w:t xml:space="preserve">o </w:t>
      </w:r>
      <w:r w:rsidRPr="0074154F">
        <w:rPr>
          <w:rFonts w:ascii="Arial" w:hAnsi="Arial" w:cs="Arial"/>
          <w:sz w:val="20"/>
          <w:szCs w:val="20"/>
        </w:rPr>
        <w:t xml:space="preserve">actuado al momento de efectuar el registro contable </w:t>
      </w:r>
      <w:r w:rsidR="00702FC1" w:rsidRPr="0074154F">
        <w:rPr>
          <w:rFonts w:ascii="Arial" w:hAnsi="Arial" w:cs="Arial"/>
          <w:sz w:val="20"/>
          <w:szCs w:val="20"/>
        </w:rPr>
        <w:t xml:space="preserve">con fecha                                        </w:t>
      </w:r>
      <w:r w:rsidRPr="0074154F">
        <w:rPr>
          <w:rFonts w:ascii="Arial" w:hAnsi="Arial" w:cs="Arial"/>
          <w:sz w:val="20"/>
          <w:szCs w:val="20"/>
        </w:rPr>
        <w:t xml:space="preserve">30 de noviembre del 2019.    </w:t>
      </w:r>
    </w:p>
    <w:p w14:paraId="6B7E9C37" w14:textId="1128E5C2" w:rsidR="00702FC1" w:rsidRDefault="00702FC1" w:rsidP="00702FC1">
      <w:pPr>
        <w:pStyle w:val="ListParagraph"/>
        <w:rPr>
          <w:rFonts w:ascii="Arial" w:hAnsi="Arial" w:cs="Arial"/>
          <w:sz w:val="20"/>
          <w:szCs w:val="20"/>
        </w:rPr>
      </w:pPr>
    </w:p>
    <w:p w14:paraId="2B5021D2" w14:textId="77777777" w:rsidR="00342195" w:rsidRPr="0074154F" w:rsidRDefault="00342195" w:rsidP="00342195">
      <w:pPr>
        <w:pStyle w:val="ListParagraph"/>
        <w:numPr>
          <w:ilvl w:val="0"/>
          <w:numId w:val="37"/>
        </w:numPr>
        <w:autoSpaceDE w:val="0"/>
        <w:autoSpaceDN w:val="0"/>
        <w:adjustRightInd w:val="0"/>
        <w:spacing w:after="0" w:line="240" w:lineRule="auto"/>
        <w:ind w:left="426" w:hanging="426"/>
        <w:jc w:val="both"/>
        <w:rPr>
          <w:sz w:val="20"/>
          <w:szCs w:val="20"/>
        </w:rPr>
      </w:pPr>
      <w:r w:rsidRPr="0074154F">
        <w:rPr>
          <w:rFonts w:ascii="Arial" w:hAnsi="Arial" w:cs="Arial"/>
          <w:sz w:val="20"/>
          <w:szCs w:val="20"/>
        </w:rPr>
        <w:t>Como se explica con más detalle en la Nota 25 a los estados financieros separados, con                 fecha 29 de diciembre del 2020, se celebró el Acta de Junta General Universal y Extraordinaria de Accionistas para conocer y resolver acerca de la disminución de capital social de la Compañía por US$21.6 millones y la respectiva reforma del estatuto social en cuanto a los porcentajes de tenencia accionaria de los actuales propietarios. Hasta la fecha de emisión de este informe, la Compañía en conjunto con sus asesores legales, se encuentran en proceso de obtener la aprobación del organismo de control.</w:t>
      </w:r>
    </w:p>
    <w:p w14:paraId="5CFF297A" w14:textId="77777777" w:rsidR="00C649CE" w:rsidRPr="0074154F" w:rsidRDefault="00C649CE" w:rsidP="00C649CE">
      <w:pPr>
        <w:spacing w:after="0" w:line="240" w:lineRule="auto"/>
        <w:jc w:val="both"/>
        <w:rPr>
          <w:sz w:val="20"/>
          <w:szCs w:val="20"/>
        </w:rPr>
      </w:pPr>
    </w:p>
    <w:p w14:paraId="051B228A" w14:textId="789D623E" w:rsidR="00780DEB" w:rsidRPr="0074154F" w:rsidRDefault="00780DEB" w:rsidP="00C649CE">
      <w:pPr>
        <w:spacing w:after="0" w:line="240" w:lineRule="auto"/>
        <w:contextualSpacing/>
        <w:jc w:val="both"/>
        <w:rPr>
          <w:rFonts w:ascii="Arial" w:hAnsi="Arial" w:cs="Arial"/>
          <w:b/>
          <w:sz w:val="20"/>
          <w:szCs w:val="20"/>
        </w:rPr>
      </w:pPr>
      <w:bookmarkStart w:id="1" w:name="_Hlk510027033"/>
      <w:r w:rsidRPr="0074154F">
        <w:rPr>
          <w:rFonts w:ascii="Arial" w:hAnsi="Arial" w:cs="Arial"/>
          <w:b/>
          <w:sz w:val="20"/>
          <w:szCs w:val="20"/>
        </w:rPr>
        <w:t>Cuestiones claves de auditoría</w:t>
      </w:r>
    </w:p>
    <w:p w14:paraId="59174BFD" w14:textId="6DCB03F2" w:rsidR="00780DEB" w:rsidRPr="0074154F" w:rsidRDefault="00780DEB" w:rsidP="00C649CE">
      <w:pPr>
        <w:spacing w:after="0" w:line="240" w:lineRule="auto"/>
        <w:contextualSpacing/>
        <w:jc w:val="both"/>
        <w:rPr>
          <w:rFonts w:ascii="Arial" w:hAnsi="Arial" w:cs="Arial"/>
          <w:b/>
          <w:sz w:val="20"/>
          <w:szCs w:val="20"/>
        </w:rPr>
      </w:pPr>
    </w:p>
    <w:p w14:paraId="20634F5B" w14:textId="40B0D9EB" w:rsidR="00780DEB" w:rsidRPr="0074154F" w:rsidRDefault="006F2974" w:rsidP="00C649CE">
      <w:pPr>
        <w:spacing w:after="0" w:line="240" w:lineRule="auto"/>
        <w:contextualSpacing/>
        <w:jc w:val="both"/>
        <w:rPr>
          <w:rFonts w:ascii="Arial" w:hAnsi="Arial" w:cs="Arial"/>
          <w:bCs/>
          <w:sz w:val="20"/>
          <w:szCs w:val="20"/>
        </w:rPr>
      </w:pPr>
      <w:r w:rsidRPr="0074154F">
        <w:rPr>
          <w:rFonts w:ascii="Arial" w:hAnsi="Arial" w:cs="Arial"/>
          <w:bCs/>
          <w:sz w:val="20"/>
          <w:szCs w:val="20"/>
        </w:rPr>
        <w:t xml:space="preserve">Las cuestiones claves de auditoría son aquellas que, según nuestro juicio y criterio profesional, han sido de mayor significatividad en nuestra auditoría de los estados financieros </w:t>
      </w:r>
      <w:r w:rsidR="00F703AA" w:rsidRPr="0074154F">
        <w:rPr>
          <w:rFonts w:ascii="Arial" w:hAnsi="Arial" w:cs="Arial"/>
          <w:bCs/>
          <w:sz w:val="20"/>
          <w:szCs w:val="20"/>
        </w:rPr>
        <w:t>consolidado</w:t>
      </w:r>
      <w:r w:rsidRPr="0074154F">
        <w:rPr>
          <w:rFonts w:ascii="Arial" w:hAnsi="Arial" w:cs="Arial"/>
          <w:bCs/>
          <w:sz w:val="20"/>
          <w:szCs w:val="20"/>
        </w:rPr>
        <w:t xml:space="preserve">s del periodo actual. Estas cuestiones han sido tratadas en el contexto de nuestra auditoría de los estados financieros </w:t>
      </w:r>
      <w:r w:rsidR="00E36468" w:rsidRPr="0074154F">
        <w:rPr>
          <w:rFonts w:ascii="Arial" w:hAnsi="Arial" w:cs="Arial"/>
          <w:bCs/>
          <w:sz w:val="20"/>
          <w:szCs w:val="20"/>
        </w:rPr>
        <w:t>consolidado</w:t>
      </w:r>
      <w:r w:rsidRPr="0074154F">
        <w:rPr>
          <w:rFonts w:ascii="Arial" w:hAnsi="Arial" w:cs="Arial"/>
          <w:bCs/>
          <w:sz w:val="20"/>
          <w:szCs w:val="20"/>
        </w:rPr>
        <w:t>s en su conjunto y en la formación de nuestra opinión sobre éstos, y no expresamos una opinión por separado sobre estas cuestiones.</w:t>
      </w:r>
    </w:p>
    <w:p w14:paraId="3CB1FFFE" w14:textId="13B67DAE" w:rsidR="006F2974" w:rsidRPr="0074154F" w:rsidRDefault="006F2974" w:rsidP="00C649CE">
      <w:pPr>
        <w:spacing w:after="0" w:line="240" w:lineRule="auto"/>
        <w:contextualSpacing/>
        <w:jc w:val="both"/>
        <w:rPr>
          <w:rFonts w:ascii="Arial" w:hAnsi="Arial" w:cs="Arial"/>
          <w:bCs/>
          <w:sz w:val="20"/>
          <w:szCs w:val="20"/>
        </w:rPr>
      </w:pPr>
    </w:p>
    <w:p w14:paraId="33518C2B" w14:textId="77777777" w:rsidR="006F2974" w:rsidRPr="0074154F" w:rsidRDefault="006F2974" w:rsidP="00C649CE">
      <w:pPr>
        <w:spacing w:after="0" w:line="240" w:lineRule="auto"/>
        <w:contextualSpacing/>
        <w:rPr>
          <w:rFonts w:ascii="Arial" w:hAnsi="Arial" w:cs="Arial"/>
          <w:i/>
          <w:sz w:val="20"/>
          <w:szCs w:val="20"/>
          <w:u w:val="single"/>
        </w:rPr>
      </w:pPr>
      <w:r w:rsidRPr="0074154F">
        <w:rPr>
          <w:rFonts w:ascii="Arial" w:hAnsi="Arial" w:cs="Arial"/>
          <w:i/>
          <w:sz w:val="20"/>
          <w:szCs w:val="20"/>
          <w:u w:val="single"/>
        </w:rPr>
        <w:t>Reconocimiento de ingresos y valuación de cuentas por cobrar</w:t>
      </w:r>
    </w:p>
    <w:p w14:paraId="5B003DD9" w14:textId="77777777" w:rsidR="006F2974" w:rsidRPr="0074154F" w:rsidRDefault="006F2974" w:rsidP="00C649CE">
      <w:pPr>
        <w:spacing w:after="0" w:line="240" w:lineRule="auto"/>
        <w:contextualSpacing/>
        <w:jc w:val="both"/>
        <w:rPr>
          <w:rFonts w:ascii="Arial" w:hAnsi="Arial" w:cs="Arial"/>
          <w:bCs/>
          <w:sz w:val="20"/>
          <w:szCs w:val="20"/>
        </w:rPr>
      </w:pPr>
    </w:p>
    <w:p w14:paraId="1F0CAEB1" w14:textId="0AAEF6F3" w:rsidR="00E54B0C" w:rsidRPr="0074154F" w:rsidRDefault="006F2974" w:rsidP="00C649CE">
      <w:pPr>
        <w:spacing w:after="0" w:line="240" w:lineRule="auto"/>
        <w:contextualSpacing/>
        <w:jc w:val="both"/>
        <w:rPr>
          <w:rFonts w:ascii="Arial" w:hAnsi="Arial" w:cs="Arial"/>
          <w:bCs/>
          <w:sz w:val="20"/>
          <w:szCs w:val="20"/>
        </w:rPr>
      </w:pPr>
      <w:r w:rsidRPr="0074154F">
        <w:rPr>
          <w:rFonts w:ascii="Arial" w:hAnsi="Arial" w:cs="Arial"/>
          <w:bCs/>
          <w:sz w:val="20"/>
          <w:szCs w:val="20"/>
        </w:rPr>
        <w:t xml:space="preserve">La Compañía reconoce los ingresos en los estados financieros </w:t>
      </w:r>
      <w:r w:rsidR="00F703AA" w:rsidRPr="0074154F">
        <w:rPr>
          <w:rFonts w:ascii="Arial" w:hAnsi="Arial" w:cs="Arial"/>
          <w:bCs/>
          <w:sz w:val="20"/>
          <w:szCs w:val="20"/>
        </w:rPr>
        <w:t>consolidado</w:t>
      </w:r>
      <w:r w:rsidRPr="0074154F">
        <w:rPr>
          <w:rFonts w:ascii="Arial" w:hAnsi="Arial" w:cs="Arial"/>
          <w:bCs/>
          <w:sz w:val="20"/>
          <w:szCs w:val="20"/>
        </w:rPr>
        <w:t>s en función de la prestación de los servicios de internet, servicios de portadores en territorio nacional y con conexión internacional y servicios de Data Center</w:t>
      </w:r>
      <w:r w:rsidR="006F67C2" w:rsidRPr="0074154F">
        <w:rPr>
          <w:rFonts w:ascii="Arial" w:hAnsi="Arial" w:cs="Arial"/>
          <w:bCs/>
          <w:sz w:val="20"/>
          <w:szCs w:val="20"/>
        </w:rPr>
        <w:t xml:space="preserve"> y que constituye su principal fuente de generación de recursos para su operatividad</w:t>
      </w:r>
      <w:r w:rsidRPr="0074154F">
        <w:rPr>
          <w:rFonts w:ascii="Arial" w:hAnsi="Arial" w:cs="Arial"/>
          <w:bCs/>
          <w:sz w:val="20"/>
          <w:szCs w:val="20"/>
        </w:rPr>
        <w:t xml:space="preserve">. </w:t>
      </w:r>
    </w:p>
    <w:p w14:paraId="7B5637B7" w14:textId="77777777" w:rsidR="00342195" w:rsidRPr="0074154F" w:rsidRDefault="00342195" w:rsidP="00C649CE">
      <w:pPr>
        <w:spacing w:after="0" w:line="240" w:lineRule="auto"/>
        <w:contextualSpacing/>
        <w:jc w:val="both"/>
        <w:rPr>
          <w:rFonts w:ascii="Arial" w:hAnsi="Arial" w:cs="Arial"/>
          <w:bCs/>
          <w:sz w:val="20"/>
          <w:szCs w:val="20"/>
        </w:rPr>
      </w:pPr>
    </w:p>
    <w:p w14:paraId="7005B88E" w14:textId="77777777" w:rsidR="008C4E64" w:rsidRDefault="006F2974" w:rsidP="00C649CE">
      <w:pPr>
        <w:spacing w:after="0" w:line="240" w:lineRule="auto"/>
        <w:contextualSpacing/>
        <w:jc w:val="both"/>
        <w:rPr>
          <w:rFonts w:ascii="Arial" w:hAnsi="Arial" w:cs="Arial"/>
          <w:bCs/>
          <w:sz w:val="20"/>
          <w:szCs w:val="20"/>
        </w:rPr>
      </w:pPr>
      <w:r w:rsidRPr="0074154F">
        <w:rPr>
          <w:rFonts w:ascii="Arial" w:hAnsi="Arial" w:cs="Arial"/>
          <w:bCs/>
          <w:sz w:val="20"/>
          <w:szCs w:val="20"/>
        </w:rPr>
        <w:t xml:space="preserve">Debido a que </w:t>
      </w:r>
      <w:r w:rsidR="006F67C2" w:rsidRPr="0074154F">
        <w:rPr>
          <w:rFonts w:ascii="Arial" w:hAnsi="Arial" w:cs="Arial"/>
          <w:bCs/>
          <w:sz w:val="20"/>
          <w:szCs w:val="20"/>
        </w:rPr>
        <w:t xml:space="preserve">la Compañía </w:t>
      </w:r>
      <w:r w:rsidRPr="0074154F">
        <w:rPr>
          <w:rFonts w:ascii="Arial" w:hAnsi="Arial" w:cs="Arial"/>
          <w:bCs/>
          <w:sz w:val="20"/>
          <w:szCs w:val="20"/>
        </w:rPr>
        <w:t xml:space="preserve">presta </w:t>
      </w:r>
      <w:r w:rsidR="006F67C2" w:rsidRPr="0074154F">
        <w:rPr>
          <w:rFonts w:ascii="Arial" w:hAnsi="Arial" w:cs="Arial"/>
          <w:bCs/>
          <w:sz w:val="20"/>
          <w:szCs w:val="20"/>
        </w:rPr>
        <w:t xml:space="preserve">sus </w:t>
      </w:r>
      <w:r w:rsidRPr="0074154F">
        <w:rPr>
          <w:rFonts w:ascii="Arial" w:hAnsi="Arial" w:cs="Arial"/>
          <w:bCs/>
          <w:sz w:val="20"/>
          <w:szCs w:val="20"/>
        </w:rPr>
        <w:t xml:space="preserve">servicios </w:t>
      </w:r>
      <w:r w:rsidR="006F67C2" w:rsidRPr="0074154F">
        <w:rPr>
          <w:rFonts w:ascii="Arial" w:hAnsi="Arial" w:cs="Arial"/>
          <w:bCs/>
          <w:sz w:val="20"/>
          <w:szCs w:val="20"/>
        </w:rPr>
        <w:t xml:space="preserve">de internet y </w:t>
      </w:r>
      <w:r w:rsidR="002221A8" w:rsidRPr="0074154F">
        <w:rPr>
          <w:rFonts w:ascii="Arial" w:hAnsi="Arial" w:cs="Arial"/>
          <w:bCs/>
          <w:sz w:val="20"/>
          <w:szCs w:val="20"/>
        </w:rPr>
        <w:t xml:space="preserve">otros servicios a terceros y </w:t>
      </w:r>
      <w:r w:rsidR="006F67C2" w:rsidRPr="0074154F">
        <w:rPr>
          <w:rFonts w:ascii="Arial" w:hAnsi="Arial" w:cs="Arial"/>
          <w:bCs/>
          <w:sz w:val="20"/>
          <w:szCs w:val="20"/>
        </w:rPr>
        <w:t xml:space="preserve">a </w:t>
      </w:r>
      <w:r w:rsidR="002221A8" w:rsidRPr="0074154F">
        <w:rPr>
          <w:rFonts w:ascii="Arial" w:hAnsi="Arial" w:cs="Arial"/>
          <w:bCs/>
          <w:sz w:val="20"/>
          <w:szCs w:val="20"/>
        </w:rPr>
        <w:t xml:space="preserve">entidades </w:t>
      </w:r>
      <w:r w:rsidR="006F67C2" w:rsidRPr="0074154F">
        <w:rPr>
          <w:rFonts w:ascii="Arial" w:hAnsi="Arial" w:cs="Arial"/>
          <w:bCs/>
          <w:sz w:val="20"/>
          <w:szCs w:val="20"/>
        </w:rPr>
        <w:t>relacionad</w:t>
      </w:r>
      <w:r w:rsidR="002221A8" w:rsidRPr="0074154F">
        <w:rPr>
          <w:rFonts w:ascii="Arial" w:hAnsi="Arial" w:cs="Arial"/>
          <w:bCs/>
          <w:sz w:val="20"/>
          <w:szCs w:val="20"/>
        </w:rPr>
        <w:t xml:space="preserve">as </w:t>
      </w:r>
      <w:r w:rsidR="006F67C2" w:rsidRPr="0074154F">
        <w:rPr>
          <w:rFonts w:ascii="Arial" w:hAnsi="Arial" w:cs="Arial"/>
          <w:bCs/>
          <w:sz w:val="20"/>
          <w:szCs w:val="20"/>
        </w:rPr>
        <w:t>para su comercialización a nivel nacional</w:t>
      </w:r>
      <w:r w:rsidRPr="0074154F">
        <w:rPr>
          <w:rFonts w:ascii="Arial" w:hAnsi="Arial" w:cs="Arial"/>
          <w:bCs/>
          <w:sz w:val="20"/>
          <w:szCs w:val="20"/>
        </w:rPr>
        <w:t xml:space="preserve">, el reconocimiento de ingresos depende directamente </w:t>
      </w:r>
      <w:r w:rsidR="006F67C2" w:rsidRPr="0074154F">
        <w:rPr>
          <w:rFonts w:ascii="Arial" w:hAnsi="Arial" w:cs="Arial"/>
          <w:bCs/>
          <w:sz w:val="20"/>
          <w:szCs w:val="20"/>
        </w:rPr>
        <w:t xml:space="preserve">del mercado y </w:t>
      </w:r>
      <w:r w:rsidR="002221A8" w:rsidRPr="0074154F">
        <w:rPr>
          <w:rFonts w:ascii="Arial" w:hAnsi="Arial" w:cs="Arial"/>
          <w:bCs/>
          <w:sz w:val="20"/>
          <w:szCs w:val="20"/>
        </w:rPr>
        <w:t xml:space="preserve">de </w:t>
      </w:r>
      <w:r w:rsidR="006F67C2" w:rsidRPr="0074154F">
        <w:rPr>
          <w:rFonts w:ascii="Arial" w:hAnsi="Arial" w:cs="Arial"/>
          <w:bCs/>
          <w:sz w:val="20"/>
          <w:szCs w:val="20"/>
        </w:rPr>
        <w:t>los mecanismos comerciales</w:t>
      </w:r>
      <w:r w:rsidR="002221A8" w:rsidRPr="0074154F">
        <w:rPr>
          <w:rFonts w:ascii="Arial" w:hAnsi="Arial" w:cs="Arial"/>
          <w:bCs/>
          <w:sz w:val="20"/>
          <w:szCs w:val="20"/>
        </w:rPr>
        <w:t xml:space="preserve"> de sus entidades relacionadas</w:t>
      </w:r>
      <w:r w:rsidRPr="0074154F">
        <w:rPr>
          <w:rFonts w:ascii="Arial" w:hAnsi="Arial" w:cs="Arial"/>
          <w:bCs/>
          <w:sz w:val="20"/>
          <w:szCs w:val="20"/>
        </w:rPr>
        <w:t xml:space="preserve">, lo cual incluye </w:t>
      </w:r>
      <w:r w:rsidR="002221A8" w:rsidRPr="0074154F">
        <w:rPr>
          <w:rFonts w:ascii="Arial" w:hAnsi="Arial" w:cs="Arial"/>
          <w:bCs/>
          <w:sz w:val="20"/>
          <w:szCs w:val="20"/>
        </w:rPr>
        <w:t>su estructura de marketing, operatividad, análisis del sector, convenios y conexiones empresariales</w:t>
      </w:r>
      <w:r w:rsidRPr="0074154F">
        <w:rPr>
          <w:rFonts w:ascii="Arial" w:hAnsi="Arial" w:cs="Arial"/>
          <w:bCs/>
          <w:sz w:val="20"/>
          <w:szCs w:val="20"/>
        </w:rPr>
        <w:t xml:space="preserve">. Además, la </w:t>
      </w:r>
      <w:r w:rsidR="002221A8" w:rsidRPr="0074154F">
        <w:rPr>
          <w:rFonts w:ascii="Arial" w:hAnsi="Arial" w:cs="Arial"/>
          <w:bCs/>
          <w:sz w:val="20"/>
          <w:szCs w:val="20"/>
        </w:rPr>
        <w:t>Compañía</w:t>
      </w:r>
      <w:r w:rsidRPr="0074154F">
        <w:rPr>
          <w:rFonts w:ascii="Arial" w:hAnsi="Arial" w:cs="Arial"/>
          <w:bCs/>
          <w:sz w:val="20"/>
          <w:szCs w:val="20"/>
        </w:rPr>
        <w:t xml:space="preserve">, basada en la experiencia pasada, y con el propósito de registrar la mejor estimación de ingresos y </w:t>
      </w:r>
      <w:r w:rsidR="002221A8" w:rsidRPr="0074154F">
        <w:rPr>
          <w:rFonts w:ascii="Arial" w:hAnsi="Arial" w:cs="Arial"/>
          <w:bCs/>
          <w:sz w:val="20"/>
          <w:szCs w:val="20"/>
        </w:rPr>
        <w:t xml:space="preserve">valuación de </w:t>
      </w:r>
      <w:r w:rsidRPr="0074154F">
        <w:rPr>
          <w:rFonts w:ascii="Arial" w:hAnsi="Arial" w:cs="Arial"/>
          <w:bCs/>
          <w:sz w:val="20"/>
          <w:szCs w:val="20"/>
        </w:rPr>
        <w:t xml:space="preserve">las cuentas por cobrar a ser recuperadas </w:t>
      </w:r>
      <w:r w:rsidR="002221A8" w:rsidRPr="0074154F">
        <w:rPr>
          <w:rFonts w:ascii="Arial" w:hAnsi="Arial" w:cs="Arial"/>
          <w:bCs/>
          <w:sz w:val="20"/>
          <w:szCs w:val="20"/>
        </w:rPr>
        <w:t>a clientes terceros y sus entidades relacionadas locales</w:t>
      </w:r>
      <w:r w:rsidRPr="0074154F">
        <w:rPr>
          <w:rFonts w:ascii="Arial" w:hAnsi="Arial" w:cs="Arial"/>
          <w:bCs/>
          <w:sz w:val="20"/>
          <w:szCs w:val="20"/>
        </w:rPr>
        <w:t xml:space="preserve">, realiza un análisis para determinar la probabilidad de </w:t>
      </w:r>
      <w:r w:rsidR="002221A8" w:rsidRPr="0074154F">
        <w:rPr>
          <w:rFonts w:ascii="Arial" w:hAnsi="Arial" w:cs="Arial"/>
          <w:bCs/>
          <w:sz w:val="20"/>
          <w:szCs w:val="20"/>
        </w:rPr>
        <w:t xml:space="preserve">cobro </w:t>
      </w:r>
      <w:r w:rsidRPr="0074154F">
        <w:rPr>
          <w:rFonts w:ascii="Arial" w:hAnsi="Arial" w:cs="Arial"/>
          <w:bCs/>
          <w:sz w:val="20"/>
          <w:szCs w:val="20"/>
        </w:rPr>
        <w:t xml:space="preserve">sobre los servicios facturados. </w:t>
      </w:r>
    </w:p>
    <w:p w14:paraId="7F0510C0" w14:textId="0310F39D" w:rsidR="006F2974" w:rsidRPr="0074154F" w:rsidRDefault="001F156D" w:rsidP="00C649CE">
      <w:pPr>
        <w:spacing w:after="0" w:line="240" w:lineRule="auto"/>
        <w:contextualSpacing/>
        <w:jc w:val="both"/>
        <w:rPr>
          <w:rFonts w:ascii="Arial" w:hAnsi="Arial" w:cs="Arial"/>
          <w:bCs/>
          <w:sz w:val="20"/>
          <w:szCs w:val="20"/>
        </w:rPr>
      </w:pPr>
      <w:r w:rsidRPr="0074154F">
        <w:rPr>
          <w:rFonts w:ascii="Arial" w:hAnsi="Arial" w:cs="Arial"/>
          <w:bCs/>
          <w:sz w:val="20"/>
          <w:szCs w:val="20"/>
        </w:rPr>
        <w:lastRenderedPageBreak/>
        <w:t>Debido al</w:t>
      </w:r>
      <w:r w:rsidR="006F2974" w:rsidRPr="0074154F">
        <w:rPr>
          <w:rFonts w:ascii="Arial" w:hAnsi="Arial" w:cs="Arial"/>
          <w:bCs/>
          <w:sz w:val="20"/>
          <w:szCs w:val="20"/>
        </w:rPr>
        <w:t xml:space="preserve"> alto volumen de </w:t>
      </w:r>
      <w:r w:rsidR="002221A8" w:rsidRPr="0074154F">
        <w:rPr>
          <w:rFonts w:ascii="Arial" w:hAnsi="Arial" w:cs="Arial"/>
          <w:bCs/>
          <w:sz w:val="20"/>
          <w:szCs w:val="20"/>
        </w:rPr>
        <w:t>ventas a terceros</w:t>
      </w:r>
      <w:r w:rsidRPr="0074154F">
        <w:rPr>
          <w:rFonts w:ascii="Arial" w:hAnsi="Arial" w:cs="Arial"/>
          <w:bCs/>
          <w:sz w:val="20"/>
          <w:szCs w:val="20"/>
        </w:rPr>
        <w:t xml:space="preserve">, </w:t>
      </w:r>
      <w:r w:rsidR="002221A8" w:rsidRPr="0074154F">
        <w:rPr>
          <w:rFonts w:ascii="Arial" w:hAnsi="Arial" w:cs="Arial"/>
          <w:bCs/>
          <w:sz w:val="20"/>
          <w:szCs w:val="20"/>
        </w:rPr>
        <w:t xml:space="preserve">y </w:t>
      </w:r>
      <w:r w:rsidR="000079AD" w:rsidRPr="0074154F">
        <w:rPr>
          <w:rFonts w:ascii="Arial" w:hAnsi="Arial" w:cs="Arial"/>
          <w:bCs/>
          <w:sz w:val="20"/>
          <w:szCs w:val="20"/>
        </w:rPr>
        <w:t xml:space="preserve">a </w:t>
      </w:r>
      <w:r w:rsidR="002221A8" w:rsidRPr="0074154F">
        <w:rPr>
          <w:rFonts w:ascii="Arial" w:hAnsi="Arial" w:cs="Arial"/>
          <w:bCs/>
          <w:sz w:val="20"/>
          <w:szCs w:val="20"/>
        </w:rPr>
        <w:t xml:space="preserve">sus entidades relacionada locales y que las cuentas por cobrar representan el </w:t>
      </w:r>
      <w:r w:rsidR="008C4E64">
        <w:rPr>
          <w:rFonts w:ascii="Arial" w:hAnsi="Arial" w:cs="Arial"/>
          <w:bCs/>
          <w:sz w:val="20"/>
          <w:szCs w:val="20"/>
        </w:rPr>
        <w:t>2</w:t>
      </w:r>
      <w:r w:rsidR="000079AD" w:rsidRPr="0074154F">
        <w:rPr>
          <w:rFonts w:ascii="Arial" w:hAnsi="Arial" w:cs="Arial"/>
          <w:bCs/>
          <w:sz w:val="20"/>
          <w:szCs w:val="20"/>
        </w:rPr>
        <w:t>0% del total de activos</w:t>
      </w:r>
      <w:r w:rsidR="006F2974" w:rsidRPr="0074154F">
        <w:rPr>
          <w:rFonts w:ascii="Arial" w:hAnsi="Arial" w:cs="Arial"/>
          <w:bCs/>
          <w:sz w:val="20"/>
          <w:szCs w:val="20"/>
        </w:rPr>
        <w:t xml:space="preserve">, consideramos el reconocimiento de ingresos y la valuación de cuentas por cobrar como </w:t>
      </w:r>
      <w:r w:rsidR="000079AD" w:rsidRPr="0074154F">
        <w:rPr>
          <w:rFonts w:ascii="Arial" w:hAnsi="Arial" w:cs="Arial"/>
          <w:bCs/>
          <w:sz w:val="20"/>
          <w:szCs w:val="20"/>
        </w:rPr>
        <w:t xml:space="preserve">cuestiones </w:t>
      </w:r>
      <w:r w:rsidR="006F2974" w:rsidRPr="0074154F">
        <w:rPr>
          <w:rFonts w:ascii="Arial" w:hAnsi="Arial" w:cs="Arial"/>
          <w:bCs/>
          <w:sz w:val="20"/>
          <w:szCs w:val="20"/>
        </w:rPr>
        <w:t xml:space="preserve">claves de auditoría.  </w:t>
      </w:r>
    </w:p>
    <w:p w14:paraId="26F5CC34" w14:textId="3EA7A083" w:rsidR="006F2974" w:rsidRPr="0074154F" w:rsidRDefault="006F2974" w:rsidP="00C649CE">
      <w:pPr>
        <w:spacing w:after="0" w:line="240" w:lineRule="auto"/>
        <w:contextualSpacing/>
        <w:jc w:val="both"/>
        <w:rPr>
          <w:rFonts w:ascii="Arial" w:hAnsi="Arial" w:cs="Arial"/>
          <w:bCs/>
          <w:sz w:val="20"/>
          <w:szCs w:val="20"/>
        </w:rPr>
      </w:pPr>
    </w:p>
    <w:p w14:paraId="5BAC28C9" w14:textId="631C5F1C" w:rsidR="000079AD" w:rsidRDefault="000079AD" w:rsidP="000079AD">
      <w:pPr>
        <w:spacing w:after="0" w:line="240" w:lineRule="auto"/>
        <w:contextualSpacing/>
        <w:jc w:val="both"/>
        <w:rPr>
          <w:rFonts w:ascii="Arial" w:hAnsi="Arial" w:cs="Arial"/>
          <w:bCs/>
          <w:sz w:val="20"/>
          <w:szCs w:val="20"/>
        </w:rPr>
      </w:pPr>
      <w:r w:rsidRPr="0074154F">
        <w:rPr>
          <w:rFonts w:ascii="Arial" w:hAnsi="Arial" w:cs="Arial"/>
          <w:bCs/>
          <w:sz w:val="20"/>
          <w:szCs w:val="20"/>
        </w:rPr>
        <w:t>Nuestros procedimientos de auditoría para cubrir las cuestiones claves antes descritos se incluyen a continuación:</w:t>
      </w:r>
    </w:p>
    <w:p w14:paraId="5279A424" w14:textId="77777777" w:rsidR="008B4584" w:rsidRPr="0074154F" w:rsidRDefault="008B4584" w:rsidP="000079AD">
      <w:pPr>
        <w:spacing w:after="0" w:line="240" w:lineRule="auto"/>
        <w:contextualSpacing/>
        <w:jc w:val="both"/>
        <w:rPr>
          <w:rFonts w:ascii="Arial" w:hAnsi="Arial" w:cs="Arial"/>
          <w:bCs/>
          <w:sz w:val="20"/>
          <w:szCs w:val="20"/>
        </w:rPr>
      </w:pPr>
    </w:p>
    <w:p w14:paraId="1E5B2A8A" w14:textId="543D140D" w:rsidR="000079AD" w:rsidRPr="0074154F" w:rsidRDefault="000079AD" w:rsidP="000079AD">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Comprendimos y evaluamos el diseño e implementación de los controles relevantes relacionados con las políticas y procedimientos contables para el proceso de reconocimiento de los ingresos y valuación de cuentas por cobrar.</w:t>
      </w:r>
    </w:p>
    <w:p w14:paraId="46372864" w14:textId="77777777" w:rsidR="000079AD" w:rsidRPr="0074154F" w:rsidRDefault="000079AD" w:rsidP="000079AD">
      <w:pPr>
        <w:pStyle w:val="ListParagraph"/>
        <w:autoSpaceDE w:val="0"/>
        <w:autoSpaceDN w:val="0"/>
        <w:adjustRightInd w:val="0"/>
        <w:spacing w:after="0" w:line="240" w:lineRule="auto"/>
        <w:ind w:left="426"/>
        <w:jc w:val="both"/>
        <w:rPr>
          <w:rFonts w:ascii="Arial" w:hAnsi="Arial" w:cs="Arial"/>
          <w:sz w:val="20"/>
          <w:szCs w:val="20"/>
        </w:rPr>
      </w:pPr>
    </w:p>
    <w:p w14:paraId="2FD3324A" w14:textId="03650EAC" w:rsidR="000079AD" w:rsidRPr="0074154F" w:rsidRDefault="000079AD" w:rsidP="000079AD">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Solicitamos las bases apropiadas para realizar procedimientos de confirmación de saldos a clientes terceros y sus entidades relacionadas.</w:t>
      </w:r>
    </w:p>
    <w:p w14:paraId="62C1C537" w14:textId="77777777" w:rsidR="000079AD" w:rsidRPr="0074154F" w:rsidRDefault="000079AD" w:rsidP="000079AD">
      <w:pPr>
        <w:pStyle w:val="ListParagraph"/>
        <w:rPr>
          <w:rFonts w:ascii="Arial" w:hAnsi="Arial" w:cs="Arial"/>
          <w:sz w:val="20"/>
          <w:szCs w:val="20"/>
        </w:rPr>
      </w:pPr>
    </w:p>
    <w:p w14:paraId="56F07B94" w14:textId="533496A7" w:rsidR="000079AD" w:rsidRPr="0074154F" w:rsidRDefault="00900129" w:rsidP="000079AD">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 xml:space="preserve">Solicitamos las órdenes de ventas y reportes de prestación de servicios a clientes terceros y entidades relacionados de las cuales verificamos la integridad, exactitud y los parámetros de los reportes y se realizó una selección representativa de muestras para la revisión de documentación </w:t>
      </w:r>
      <w:proofErr w:type="spellStart"/>
      <w:r w:rsidRPr="0074154F">
        <w:rPr>
          <w:rFonts w:ascii="Arial" w:hAnsi="Arial" w:cs="Arial"/>
          <w:sz w:val="20"/>
          <w:szCs w:val="20"/>
        </w:rPr>
        <w:t>sustentatoria</w:t>
      </w:r>
      <w:proofErr w:type="spellEnd"/>
      <w:r w:rsidRPr="0074154F">
        <w:rPr>
          <w:rFonts w:ascii="Arial" w:hAnsi="Arial" w:cs="Arial"/>
          <w:sz w:val="20"/>
          <w:szCs w:val="20"/>
        </w:rPr>
        <w:t xml:space="preserve"> que evidencie la prestación de servicios de internet y otros servicios para validar el recono</w:t>
      </w:r>
      <w:r w:rsidR="00947AEB" w:rsidRPr="0074154F">
        <w:rPr>
          <w:rFonts w:ascii="Arial" w:hAnsi="Arial" w:cs="Arial"/>
          <w:sz w:val="20"/>
          <w:szCs w:val="20"/>
        </w:rPr>
        <w:t>cimiento de los ingresos y cuentas por cobrar.</w:t>
      </w:r>
    </w:p>
    <w:p w14:paraId="3A73CE33" w14:textId="77777777" w:rsidR="000079AD" w:rsidRPr="0074154F" w:rsidRDefault="000079AD" w:rsidP="000079AD">
      <w:pPr>
        <w:pStyle w:val="ListParagraph"/>
        <w:rPr>
          <w:rFonts w:ascii="Arial" w:hAnsi="Arial" w:cs="Arial"/>
          <w:sz w:val="20"/>
          <w:szCs w:val="20"/>
        </w:rPr>
      </w:pPr>
    </w:p>
    <w:p w14:paraId="1B237608" w14:textId="723FF321" w:rsidR="000079AD" w:rsidRPr="0074154F" w:rsidRDefault="00947AEB" w:rsidP="00947AEB">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sz w:val="20"/>
          <w:szCs w:val="20"/>
        </w:rPr>
        <w:t>En base al detalle y análisis del saldo de cuentas por cobrar a terceros y entidades relacionadas, revisamos con el responsable del registro y valuación de cuentas por cobrar la razonabilidad de la determinación de estas, y obtuvimos información relevante de los servicios de internet y otros servicios facturados, así como la verificación de los cobros realizados durante el año.</w:t>
      </w:r>
    </w:p>
    <w:p w14:paraId="50DD0D3C" w14:textId="77777777" w:rsidR="00947AEB" w:rsidRPr="0074154F" w:rsidRDefault="00947AEB" w:rsidP="00947AEB">
      <w:pPr>
        <w:spacing w:after="0" w:line="240" w:lineRule="auto"/>
        <w:rPr>
          <w:rFonts w:ascii="Arial" w:hAnsi="Arial" w:cs="Arial"/>
          <w:sz w:val="20"/>
          <w:szCs w:val="20"/>
        </w:rPr>
      </w:pPr>
    </w:p>
    <w:p w14:paraId="14721AD7" w14:textId="59A2A652" w:rsidR="00443603" w:rsidRDefault="00947AEB" w:rsidP="00443603">
      <w:pPr>
        <w:spacing w:after="0" w:line="240" w:lineRule="auto"/>
        <w:jc w:val="both"/>
        <w:rPr>
          <w:rFonts w:ascii="Arial" w:hAnsi="Arial" w:cs="Arial"/>
          <w:sz w:val="20"/>
          <w:szCs w:val="20"/>
        </w:rPr>
      </w:pPr>
      <w:r w:rsidRPr="0074154F">
        <w:rPr>
          <w:rFonts w:ascii="Arial" w:hAnsi="Arial" w:cs="Arial"/>
          <w:sz w:val="20"/>
          <w:szCs w:val="20"/>
        </w:rPr>
        <w:t>En el desarrollo de nuestros procedimientos no identificamos excepciones.</w:t>
      </w:r>
    </w:p>
    <w:p w14:paraId="4FD37FB7" w14:textId="77777777" w:rsidR="00443603" w:rsidRPr="00443603" w:rsidRDefault="00443603" w:rsidP="00443603">
      <w:pPr>
        <w:spacing w:after="0" w:line="240" w:lineRule="auto"/>
        <w:jc w:val="both"/>
        <w:rPr>
          <w:rFonts w:ascii="Arial" w:hAnsi="Arial" w:cs="Arial"/>
          <w:sz w:val="20"/>
          <w:szCs w:val="20"/>
        </w:rPr>
      </w:pPr>
    </w:p>
    <w:p w14:paraId="15816A9A" w14:textId="5B4580FC" w:rsidR="00C649CE" w:rsidRPr="0074154F" w:rsidRDefault="00C649CE" w:rsidP="00C649CE">
      <w:pPr>
        <w:kinsoku w:val="0"/>
        <w:overflowPunct w:val="0"/>
        <w:ind w:right="57"/>
        <w:jc w:val="both"/>
        <w:textAlignment w:val="baseline"/>
        <w:rPr>
          <w:rFonts w:ascii="Arial" w:hAnsi="Arial" w:cs="Arial"/>
          <w:i/>
          <w:sz w:val="20"/>
          <w:szCs w:val="20"/>
          <w:u w:val="single"/>
        </w:rPr>
      </w:pPr>
      <w:r w:rsidRPr="0074154F">
        <w:rPr>
          <w:rFonts w:ascii="Arial" w:hAnsi="Arial" w:cs="Arial"/>
          <w:i/>
          <w:sz w:val="20"/>
          <w:szCs w:val="20"/>
          <w:u w:val="single"/>
        </w:rPr>
        <w:t>Ambiente de procesamiento informático</w:t>
      </w:r>
    </w:p>
    <w:p w14:paraId="4E24FC22" w14:textId="5D68AAEF" w:rsidR="00C649CE" w:rsidRPr="0074154F" w:rsidRDefault="00C649CE" w:rsidP="00C649CE">
      <w:pPr>
        <w:tabs>
          <w:tab w:val="left" w:pos="709"/>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74154F">
        <w:rPr>
          <w:rFonts w:ascii="Arial" w:hAnsi="Arial" w:cs="Arial"/>
          <w:sz w:val="20"/>
          <w:szCs w:val="20"/>
        </w:rPr>
        <w:t>Debido al alto nivel de automatización de los procesos operativos de la Compañía, el volumen elevado de transacciones procesadas con fines de reporte financiero para la ejecución de los referidos procesos, los controles sobre el ambiente de procesamiento informático son relevantes.</w:t>
      </w:r>
      <w:r w:rsidR="004E229A" w:rsidRPr="0074154F">
        <w:rPr>
          <w:rFonts w:ascii="Arial" w:hAnsi="Arial" w:cs="Arial"/>
          <w:sz w:val="20"/>
          <w:szCs w:val="20"/>
        </w:rPr>
        <w:t xml:space="preserve"> </w:t>
      </w:r>
      <w:r w:rsidRPr="0074154F">
        <w:rPr>
          <w:rFonts w:ascii="Arial" w:hAnsi="Arial" w:cs="Arial"/>
          <w:sz w:val="20"/>
          <w:szCs w:val="20"/>
        </w:rPr>
        <w:t>Por esta razón, los controles generales de la computadora, la segregación de funciones, la transferencia de datos entre los diferentes sistemas y aplicaciones y sus correspondientes controles automáticos dependen directamente de la eficacia de los controles implementados por la Administración de la Compañía; por lo tanto, consideramos estas situaciones como una cuestión clave de auditoría.</w:t>
      </w:r>
    </w:p>
    <w:p w14:paraId="7BE9895A" w14:textId="099AA576" w:rsidR="00C649CE" w:rsidRPr="0074154F" w:rsidRDefault="00C649CE" w:rsidP="00C649CE">
      <w:pPr>
        <w:tabs>
          <w:tab w:val="left" w:pos="709"/>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49473C34" w14:textId="72F1E1BB" w:rsidR="00C649CE" w:rsidRPr="0074154F" w:rsidRDefault="00C649CE" w:rsidP="00C649CE">
      <w:pPr>
        <w:tabs>
          <w:tab w:val="left" w:pos="709"/>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74154F">
        <w:rPr>
          <w:rFonts w:ascii="Arial" w:hAnsi="Arial" w:cs="Arial"/>
          <w:sz w:val="20"/>
          <w:szCs w:val="20"/>
        </w:rPr>
        <w:t>Nuestros procedimientos de auditoría para cubrir la cuestión antes descrita incluyeron lo siguiente:</w:t>
      </w:r>
    </w:p>
    <w:p w14:paraId="446DA7F0" w14:textId="77777777" w:rsidR="00C649CE" w:rsidRPr="0074154F" w:rsidRDefault="00C649CE" w:rsidP="00C649CE">
      <w:pPr>
        <w:tabs>
          <w:tab w:val="left" w:pos="709"/>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662388A3" w14:textId="3DD07655" w:rsidR="00C649CE" w:rsidRPr="0074154F" w:rsidRDefault="00C649CE" w:rsidP="00C649CE">
      <w:pPr>
        <w:pStyle w:val="ListParagraph"/>
        <w:numPr>
          <w:ilvl w:val="0"/>
          <w:numId w:val="37"/>
        </w:numPr>
        <w:autoSpaceDE w:val="0"/>
        <w:autoSpaceDN w:val="0"/>
        <w:adjustRightInd w:val="0"/>
        <w:spacing w:after="0" w:line="240" w:lineRule="auto"/>
        <w:ind w:left="426" w:hanging="426"/>
        <w:jc w:val="both"/>
        <w:rPr>
          <w:rFonts w:ascii="Arial" w:hAnsi="Arial" w:cs="Arial"/>
          <w:sz w:val="20"/>
          <w:szCs w:val="20"/>
        </w:rPr>
      </w:pPr>
      <w:r w:rsidRPr="0074154F">
        <w:rPr>
          <w:rFonts w:ascii="Arial" w:hAnsi="Arial" w:cs="Arial"/>
          <w:color w:val="000000"/>
          <w:sz w:val="20"/>
          <w:szCs w:val="20"/>
        </w:rPr>
        <w:t>Realizamos</w:t>
      </w:r>
      <w:r w:rsidRPr="0074154F">
        <w:rPr>
          <w:rFonts w:ascii="Arial" w:hAnsi="Arial" w:cs="Arial"/>
          <w:sz w:val="20"/>
          <w:szCs w:val="20"/>
        </w:rPr>
        <w:t xml:space="preserve"> pruebas de diseño, implementación y de eficacia operativa de los controles generales de la computadora, la apropiada asignación de usuarios para los aplicativos considerados claves dentro del alcance de auditoría y el proceso de transferencia de datos entre los diferentes sistemas y aplicaciones con fines de reporte financiero.</w:t>
      </w:r>
    </w:p>
    <w:p w14:paraId="7C3DCF92" w14:textId="77777777" w:rsidR="00C649CE" w:rsidRPr="0074154F" w:rsidRDefault="00C649CE" w:rsidP="00C649CE">
      <w:pPr>
        <w:pStyle w:val="ListParagraph"/>
        <w:spacing w:after="0" w:line="240" w:lineRule="auto"/>
        <w:ind w:left="360"/>
        <w:jc w:val="both"/>
        <w:rPr>
          <w:rFonts w:ascii="Arial" w:hAnsi="Arial" w:cs="Arial"/>
          <w:sz w:val="20"/>
          <w:szCs w:val="20"/>
        </w:rPr>
      </w:pPr>
      <w:r w:rsidRPr="0074154F">
        <w:rPr>
          <w:rFonts w:ascii="Arial" w:hAnsi="Arial" w:cs="Arial"/>
          <w:sz w:val="20"/>
          <w:szCs w:val="20"/>
        </w:rPr>
        <w:t xml:space="preserve"> </w:t>
      </w:r>
    </w:p>
    <w:p w14:paraId="6A5105A1" w14:textId="0158740C" w:rsidR="00C649CE" w:rsidRPr="0074154F" w:rsidRDefault="00C649CE" w:rsidP="00C649CE">
      <w:pPr>
        <w:pStyle w:val="ListParagraph"/>
        <w:numPr>
          <w:ilvl w:val="0"/>
          <w:numId w:val="37"/>
        </w:numPr>
        <w:autoSpaceDE w:val="0"/>
        <w:autoSpaceDN w:val="0"/>
        <w:adjustRightInd w:val="0"/>
        <w:spacing w:after="0" w:line="240" w:lineRule="auto"/>
        <w:ind w:left="426" w:hanging="426"/>
        <w:jc w:val="both"/>
        <w:rPr>
          <w:rFonts w:ascii="Arial" w:hAnsi="Arial" w:cs="Arial"/>
          <w:color w:val="000000"/>
          <w:sz w:val="20"/>
          <w:szCs w:val="20"/>
        </w:rPr>
      </w:pPr>
      <w:r w:rsidRPr="0074154F">
        <w:rPr>
          <w:rFonts w:ascii="Arial" w:hAnsi="Arial" w:cs="Arial"/>
          <w:color w:val="000000"/>
          <w:sz w:val="20"/>
          <w:szCs w:val="20"/>
        </w:rPr>
        <w:t xml:space="preserve">En los aplicativos y bases de datos que tienen incidencia directa en nuestro alcance de auditoría, </w:t>
      </w:r>
      <w:r w:rsidRPr="0074154F">
        <w:rPr>
          <w:rFonts w:ascii="Arial" w:hAnsi="Arial" w:cs="Arial"/>
          <w:sz w:val="20"/>
          <w:szCs w:val="20"/>
        </w:rPr>
        <w:t>realizamos</w:t>
      </w:r>
      <w:r w:rsidRPr="0074154F">
        <w:rPr>
          <w:rFonts w:ascii="Arial" w:hAnsi="Arial" w:cs="Arial"/>
          <w:color w:val="000000"/>
          <w:sz w:val="20"/>
          <w:szCs w:val="20"/>
        </w:rPr>
        <w:t xml:space="preserve"> pruebas para identificar si existieron los controles apropiados para verificar la integridad y exactitud de los reportes financieros y bases de datos.</w:t>
      </w:r>
    </w:p>
    <w:p w14:paraId="1C77A3C4" w14:textId="77777777" w:rsidR="00C649CE" w:rsidRPr="0074154F" w:rsidRDefault="00C649CE" w:rsidP="00C649CE">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4151D96A" w14:textId="2EFC3485" w:rsidR="00C649CE" w:rsidRPr="0074154F" w:rsidRDefault="00C649CE" w:rsidP="00C649CE">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r w:rsidRPr="0074154F">
        <w:rPr>
          <w:rFonts w:ascii="Arial" w:hAnsi="Arial" w:cs="Arial"/>
          <w:sz w:val="20"/>
          <w:szCs w:val="20"/>
        </w:rPr>
        <w:t xml:space="preserve">En el desarrollo de nuestras pruebas no identificamos excepciones significativas. </w:t>
      </w:r>
    </w:p>
    <w:p w14:paraId="5D5EE263" w14:textId="027E7A17" w:rsidR="000079AD" w:rsidRPr="0074154F" w:rsidRDefault="000079AD" w:rsidP="00E54B0C">
      <w:pPr>
        <w:tabs>
          <w:tab w:val="left" w:pos="360"/>
          <w:tab w:val="left" w:pos="900"/>
          <w:tab w:val="left" w:pos="1800"/>
          <w:tab w:val="left" w:pos="2520"/>
          <w:tab w:val="left" w:pos="3240"/>
          <w:tab w:val="left" w:pos="3960"/>
          <w:tab w:val="left" w:pos="4680"/>
        </w:tabs>
        <w:autoSpaceDE w:val="0"/>
        <w:autoSpaceDN w:val="0"/>
        <w:adjustRightInd w:val="0"/>
        <w:spacing w:after="0" w:line="240" w:lineRule="auto"/>
        <w:ind w:left="360"/>
        <w:contextualSpacing/>
        <w:jc w:val="both"/>
        <w:rPr>
          <w:rFonts w:ascii="Arial" w:hAnsi="Arial" w:cs="Arial"/>
          <w:sz w:val="20"/>
          <w:szCs w:val="20"/>
        </w:rPr>
      </w:pPr>
    </w:p>
    <w:p w14:paraId="1D26A48B" w14:textId="059EB2E5" w:rsidR="00827DD1" w:rsidRPr="0074154F" w:rsidRDefault="00827DD1" w:rsidP="00C649CE">
      <w:pPr>
        <w:spacing w:after="0" w:line="240" w:lineRule="auto"/>
        <w:contextualSpacing/>
        <w:jc w:val="both"/>
        <w:rPr>
          <w:rFonts w:ascii="Arial" w:hAnsi="Arial" w:cs="Arial"/>
          <w:b/>
          <w:sz w:val="20"/>
          <w:szCs w:val="20"/>
        </w:rPr>
      </w:pPr>
      <w:r w:rsidRPr="0074154F">
        <w:rPr>
          <w:rFonts w:ascii="Arial" w:hAnsi="Arial" w:cs="Arial"/>
          <w:b/>
          <w:sz w:val="20"/>
          <w:szCs w:val="20"/>
        </w:rPr>
        <w:t>Información presentada en adición a los estados financieros</w:t>
      </w:r>
      <w:r w:rsidR="00615AEF" w:rsidRPr="0074154F">
        <w:rPr>
          <w:rFonts w:ascii="Arial" w:hAnsi="Arial" w:cs="Arial"/>
          <w:b/>
          <w:sz w:val="20"/>
          <w:szCs w:val="20"/>
        </w:rPr>
        <w:t xml:space="preserve"> </w:t>
      </w:r>
      <w:r w:rsidR="00F703AA" w:rsidRPr="0074154F">
        <w:rPr>
          <w:rFonts w:ascii="Arial" w:hAnsi="Arial" w:cs="Arial"/>
          <w:b/>
          <w:sz w:val="20"/>
          <w:szCs w:val="20"/>
        </w:rPr>
        <w:t>consolidado</w:t>
      </w:r>
      <w:r w:rsidR="00615AEF" w:rsidRPr="0074154F">
        <w:rPr>
          <w:rFonts w:ascii="Arial" w:hAnsi="Arial" w:cs="Arial"/>
          <w:b/>
          <w:sz w:val="20"/>
          <w:szCs w:val="20"/>
        </w:rPr>
        <w:t>s</w:t>
      </w:r>
    </w:p>
    <w:p w14:paraId="469EBB55" w14:textId="77777777" w:rsidR="00DB448C" w:rsidRPr="0074154F" w:rsidRDefault="00DB448C" w:rsidP="00C649CE">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39120D19" w14:textId="77777777" w:rsidR="008C4E64" w:rsidRDefault="00827DD1" w:rsidP="00E54B0C">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r w:rsidRPr="0074154F">
        <w:rPr>
          <w:rFonts w:ascii="Arial" w:hAnsi="Arial" w:cs="Arial"/>
          <w:sz w:val="20"/>
          <w:szCs w:val="20"/>
          <w:lang w:val="es-ES_tradnl"/>
        </w:rPr>
        <w:t>La Administración es responsable por la preparación de información adicional, la cual comprende el Informe anual de la Administración a la Junta General de Accionistas, pero no incluye los estados financieros</w:t>
      </w:r>
      <w:r w:rsidR="00615AEF"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615AEF" w:rsidRPr="0074154F">
        <w:rPr>
          <w:rFonts w:ascii="Arial" w:hAnsi="Arial" w:cs="Arial"/>
          <w:sz w:val="20"/>
          <w:szCs w:val="20"/>
          <w:lang w:val="es-ES_tradnl"/>
        </w:rPr>
        <w:t>s</w:t>
      </w:r>
      <w:r w:rsidRPr="0074154F">
        <w:rPr>
          <w:rFonts w:ascii="Arial" w:hAnsi="Arial" w:cs="Arial"/>
          <w:sz w:val="20"/>
          <w:szCs w:val="20"/>
          <w:lang w:val="es-ES_tradnl"/>
        </w:rPr>
        <w:t xml:space="preserve"> y nuestro informe de auditoría. Se espera que esta información sea puesta a nuestra disposición con posterioridad a la fecha de este informe</w:t>
      </w:r>
      <w:r w:rsidRPr="0074154F">
        <w:rPr>
          <w:rFonts w:ascii="Arial" w:hAnsi="Arial" w:cs="Arial"/>
          <w:sz w:val="20"/>
          <w:szCs w:val="20"/>
        </w:rPr>
        <w:t>.</w:t>
      </w:r>
      <w:r w:rsidR="00F8003D" w:rsidRPr="0074154F">
        <w:rPr>
          <w:rFonts w:ascii="Arial" w:hAnsi="Arial" w:cs="Arial"/>
          <w:sz w:val="20"/>
          <w:szCs w:val="20"/>
        </w:rPr>
        <w:t xml:space="preserve"> </w:t>
      </w:r>
      <w:r w:rsidRPr="0074154F">
        <w:rPr>
          <w:rFonts w:ascii="Arial" w:hAnsi="Arial" w:cs="Arial"/>
          <w:sz w:val="20"/>
          <w:szCs w:val="20"/>
          <w:lang w:val="es-ES_tradnl"/>
        </w:rPr>
        <w:t>Nuestra opinión sobre los estados financieros</w:t>
      </w:r>
      <w:r w:rsidR="00615AEF"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615AEF" w:rsidRPr="0074154F">
        <w:rPr>
          <w:rFonts w:ascii="Arial" w:hAnsi="Arial" w:cs="Arial"/>
          <w:sz w:val="20"/>
          <w:szCs w:val="20"/>
          <w:lang w:val="es-ES_tradnl"/>
        </w:rPr>
        <w:t>s</w:t>
      </w:r>
      <w:r w:rsidRPr="0074154F">
        <w:rPr>
          <w:rFonts w:ascii="Arial" w:hAnsi="Arial" w:cs="Arial"/>
          <w:sz w:val="20"/>
          <w:szCs w:val="20"/>
          <w:lang w:val="es-ES_tradnl"/>
        </w:rPr>
        <w:t xml:space="preserve"> de la </w:t>
      </w:r>
      <w:r w:rsidR="00E54B0C" w:rsidRPr="0074154F">
        <w:rPr>
          <w:rFonts w:ascii="Arial" w:hAnsi="Arial" w:cs="Arial"/>
          <w:sz w:val="20"/>
          <w:szCs w:val="20"/>
          <w:lang w:val="es-ES_tradnl"/>
        </w:rPr>
        <w:t>Compañía</w:t>
      </w:r>
      <w:r w:rsidRPr="0074154F">
        <w:rPr>
          <w:rFonts w:ascii="Arial" w:hAnsi="Arial" w:cs="Arial"/>
          <w:sz w:val="20"/>
          <w:szCs w:val="20"/>
          <w:lang w:val="es-ES_tradnl"/>
        </w:rPr>
        <w:t xml:space="preserve"> no incluye esta información y no expresamos ninguna forma de aseguramiento o conclusión sobre la misma.</w:t>
      </w:r>
    </w:p>
    <w:p w14:paraId="39F49A48" w14:textId="77777777" w:rsidR="008C4E64" w:rsidRDefault="008C4E64" w:rsidP="00E54B0C">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p>
    <w:p w14:paraId="3E7BCCCB" w14:textId="7FB2EB43" w:rsidR="00AF14A6" w:rsidRPr="0074154F" w:rsidRDefault="00827DD1" w:rsidP="00E54B0C">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r w:rsidRPr="0074154F">
        <w:rPr>
          <w:rFonts w:ascii="Arial" w:hAnsi="Arial" w:cs="Arial"/>
          <w:sz w:val="20"/>
          <w:szCs w:val="20"/>
          <w:lang w:val="es-ES_tradnl"/>
        </w:rPr>
        <w:lastRenderedPageBreak/>
        <w:t>En conexión con la auditoría de los estados financieros</w:t>
      </w:r>
      <w:r w:rsidR="00615AEF"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615AEF" w:rsidRPr="0074154F">
        <w:rPr>
          <w:rFonts w:ascii="Arial" w:hAnsi="Arial" w:cs="Arial"/>
          <w:sz w:val="20"/>
          <w:szCs w:val="20"/>
          <w:lang w:val="es-ES_tradnl"/>
        </w:rPr>
        <w:t>s</w:t>
      </w:r>
      <w:r w:rsidRPr="0074154F">
        <w:rPr>
          <w:rFonts w:ascii="Arial" w:hAnsi="Arial" w:cs="Arial"/>
          <w:sz w:val="20"/>
          <w:szCs w:val="20"/>
          <w:lang w:val="es-ES_tradnl"/>
        </w:rPr>
        <w:t>, nuestra responsabilidad es leer esta información adicional cuando esté disponible y, al hacerlo, considerar si esta información contiene inconsistencias materiales en relación con los estados financieros</w:t>
      </w:r>
      <w:r w:rsidR="00E358AC"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E358AC" w:rsidRPr="0074154F">
        <w:rPr>
          <w:rFonts w:ascii="Arial" w:hAnsi="Arial" w:cs="Arial"/>
          <w:sz w:val="20"/>
          <w:szCs w:val="20"/>
          <w:lang w:val="es-ES_tradnl"/>
        </w:rPr>
        <w:t>s</w:t>
      </w:r>
      <w:r w:rsidRPr="0074154F">
        <w:rPr>
          <w:rFonts w:ascii="Arial" w:hAnsi="Arial" w:cs="Arial"/>
          <w:sz w:val="20"/>
          <w:szCs w:val="20"/>
          <w:lang w:val="es-ES_tradnl"/>
        </w:rPr>
        <w:t xml:space="preserve"> o con nuestro conocimiento obtenido durante la auditoría, o si de otra forma parecería estar materialmente incorrecta.</w:t>
      </w:r>
      <w:r w:rsidR="00F8003D" w:rsidRPr="0074154F">
        <w:rPr>
          <w:rFonts w:ascii="Arial" w:hAnsi="Arial" w:cs="Arial"/>
          <w:sz w:val="20"/>
          <w:szCs w:val="20"/>
          <w:lang w:val="es-ES_tradnl"/>
        </w:rPr>
        <w:t xml:space="preserve"> </w:t>
      </w:r>
      <w:r w:rsidRPr="0074154F">
        <w:rPr>
          <w:rFonts w:ascii="Arial" w:hAnsi="Arial" w:cs="Arial"/>
          <w:sz w:val="20"/>
          <w:szCs w:val="20"/>
          <w:lang w:val="es-ES_tradnl"/>
        </w:rPr>
        <w:t xml:space="preserve">Una vez que leamos el Informe anual de los Administradores a la Junta General de Accionistas, si concluimos que existe un error material en esta información, tenemos la obligación de reportar este asunto a los accionistas </w:t>
      </w:r>
      <w:r w:rsidR="008C4E64">
        <w:rPr>
          <w:rFonts w:ascii="Arial" w:hAnsi="Arial" w:cs="Arial"/>
          <w:sz w:val="20"/>
          <w:szCs w:val="20"/>
          <w:lang w:val="es-ES_tradnl"/>
        </w:rPr>
        <w:t>de Telconet y Compañía Relacionada</w:t>
      </w:r>
      <w:r w:rsidRPr="0074154F">
        <w:rPr>
          <w:rFonts w:ascii="Arial" w:hAnsi="Arial" w:cs="Arial"/>
          <w:sz w:val="20"/>
          <w:szCs w:val="20"/>
          <w:lang w:val="es-ES_tradnl"/>
        </w:rPr>
        <w:t>.</w:t>
      </w:r>
    </w:p>
    <w:bookmarkEnd w:id="1"/>
    <w:p w14:paraId="464D2B28" w14:textId="77777777" w:rsidR="00343B89" w:rsidRDefault="00343B89" w:rsidP="00413455">
      <w:pPr>
        <w:pStyle w:val="NoSpacing"/>
        <w:tabs>
          <w:tab w:val="left" w:pos="1276"/>
        </w:tabs>
        <w:contextualSpacing/>
        <w:mirrorIndents/>
        <w:jc w:val="both"/>
        <w:rPr>
          <w:rFonts w:ascii="Arial" w:hAnsi="Arial" w:cs="Arial"/>
          <w:b/>
          <w:sz w:val="20"/>
          <w:szCs w:val="20"/>
        </w:rPr>
      </w:pPr>
    </w:p>
    <w:p w14:paraId="31AEFF78" w14:textId="3253721A" w:rsidR="00827DD1" w:rsidRPr="0074154F" w:rsidRDefault="00827DD1" w:rsidP="00413455">
      <w:pPr>
        <w:pStyle w:val="NoSpacing"/>
        <w:tabs>
          <w:tab w:val="left" w:pos="1276"/>
        </w:tabs>
        <w:contextualSpacing/>
        <w:mirrorIndents/>
        <w:jc w:val="both"/>
        <w:rPr>
          <w:rFonts w:ascii="Arial" w:hAnsi="Arial" w:cs="Arial"/>
          <w:b/>
          <w:sz w:val="20"/>
          <w:szCs w:val="20"/>
        </w:rPr>
      </w:pPr>
      <w:r w:rsidRPr="0074154F">
        <w:rPr>
          <w:rFonts w:ascii="Arial" w:hAnsi="Arial" w:cs="Arial"/>
          <w:b/>
          <w:sz w:val="20"/>
          <w:szCs w:val="20"/>
        </w:rPr>
        <w:t>Responsabilidad de la Administración de la Compañía por los estados financieros</w:t>
      </w:r>
      <w:r w:rsidR="00780DEB" w:rsidRPr="0074154F">
        <w:rPr>
          <w:rFonts w:ascii="Arial" w:hAnsi="Arial" w:cs="Arial"/>
          <w:b/>
          <w:sz w:val="20"/>
          <w:szCs w:val="20"/>
        </w:rPr>
        <w:t xml:space="preserve"> </w:t>
      </w:r>
      <w:r w:rsidR="00F703AA" w:rsidRPr="0074154F">
        <w:rPr>
          <w:rFonts w:ascii="Arial" w:hAnsi="Arial" w:cs="Arial"/>
          <w:b/>
          <w:sz w:val="20"/>
          <w:szCs w:val="20"/>
        </w:rPr>
        <w:t>consolidado</w:t>
      </w:r>
      <w:r w:rsidR="00780DEB" w:rsidRPr="0074154F">
        <w:rPr>
          <w:rFonts w:ascii="Arial" w:hAnsi="Arial" w:cs="Arial"/>
          <w:b/>
          <w:sz w:val="20"/>
          <w:szCs w:val="20"/>
        </w:rPr>
        <w:t>s</w:t>
      </w:r>
    </w:p>
    <w:p w14:paraId="218B65DA" w14:textId="77777777" w:rsidR="00827DD1" w:rsidRPr="0074154F" w:rsidRDefault="00827DD1" w:rsidP="00413455">
      <w:pPr>
        <w:pStyle w:val="NoSpacing"/>
        <w:tabs>
          <w:tab w:val="left" w:pos="1276"/>
        </w:tabs>
        <w:contextualSpacing/>
        <w:mirrorIndents/>
        <w:jc w:val="both"/>
        <w:rPr>
          <w:rFonts w:ascii="Arial" w:hAnsi="Arial" w:cs="Arial"/>
          <w:sz w:val="20"/>
          <w:szCs w:val="20"/>
        </w:rPr>
      </w:pPr>
    </w:p>
    <w:p w14:paraId="363032CB" w14:textId="0D495301" w:rsidR="00DB448C" w:rsidRPr="0074154F" w:rsidRDefault="00DB448C" w:rsidP="00413455">
      <w:pPr>
        <w:spacing w:after="0" w:line="240" w:lineRule="auto"/>
        <w:jc w:val="both"/>
        <w:rPr>
          <w:rFonts w:ascii="Arial" w:hAnsi="Arial" w:cs="Arial"/>
          <w:sz w:val="20"/>
          <w:szCs w:val="20"/>
          <w:lang w:val="es-ES_tradnl"/>
        </w:rPr>
      </w:pPr>
      <w:bookmarkStart w:id="2" w:name="_Hlk511830315"/>
      <w:r w:rsidRPr="0074154F">
        <w:rPr>
          <w:rFonts w:ascii="Arial" w:hAnsi="Arial" w:cs="Arial"/>
          <w:sz w:val="20"/>
          <w:szCs w:val="20"/>
          <w:lang w:val="es-ES_tradnl"/>
        </w:rPr>
        <w:t xml:space="preserve">La Administración es responsable de la preparación y presentación razonable de los estados financieros </w:t>
      </w:r>
      <w:r w:rsidR="00F703AA" w:rsidRPr="0074154F">
        <w:rPr>
          <w:rFonts w:ascii="Arial" w:hAnsi="Arial" w:cs="Arial"/>
          <w:sz w:val="20"/>
          <w:szCs w:val="20"/>
          <w:lang w:val="es-ES_tradnl"/>
        </w:rPr>
        <w:t>consolidado</w:t>
      </w:r>
      <w:r w:rsidR="00615AEF" w:rsidRPr="0074154F">
        <w:rPr>
          <w:rFonts w:ascii="Arial" w:hAnsi="Arial" w:cs="Arial"/>
          <w:sz w:val="20"/>
          <w:szCs w:val="20"/>
          <w:lang w:val="es-ES_tradnl"/>
        </w:rPr>
        <w:t xml:space="preserve">s </w:t>
      </w:r>
      <w:r w:rsidRPr="0074154F">
        <w:rPr>
          <w:rFonts w:ascii="Arial" w:hAnsi="Arial" w:cs="Arial"/>
          <w:sz w:val="20"/>
          <w:szCs w:val="20"/>
          <w:lang w:val="es-ES_tradnl"/>
        </w:rPr>
        <w:t>de conformidad con Normas Internacionales de Información Financiera (NIIF) emitidas por el Consejo de Normas Internacionales de Contabilidad (IASB)</w:t>
      </w:r>
      <w:r w:rsidR="00780DEB" w:rsidRPr="0074154F">
        <w:rPr>
          <w:rFonts w:ascii="Arial" w:hAnsi="Arial" w:cs="Arial"/>
          <w:sz w:val="20"/>
          <w:szCs w:val="20"/>
          <w:lang w:val="es-ES_tradnl"/>
        </w:rPr>
        <w:t xml:space="preserve"> y disposiciones establecidas por la Superintendencia de Compañías, Valores y Seguros (SCVS)</w:t>
      </w:r>
      <w:r w:rsidRPr="0074154F">
        <w:rPr>
          <w:rFonts w:ascii="Arial" w:hAnsi="Arial" w:cs="Arial"/>
          <w:sz w:val="20"/>
          <w:szCs w:val="20"/>
          <w:lang w:val="es-ES_tradnl"/>
        </w:rPr>
        <w:t>, y del control interno determinado por la Administración como necesario para permitir la preparación de los estados financieros</w:t>
      </w:r>
      <w:r w:rsidR="00780DEB"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780DEB" w:rsidRPr="0074154F">
        <w:rPr>
          <w:rFonts w:ascii="Arial" w:hAnsi="Arial" w:cs="Arial"/>
          <w:sz w:val="20"/>
          <w:szCs w:val="20"/>
          <w:lang w:val="es-ES_tradnl"/>
        </w:rPr>
        <w:t xml:space="preserve">s </w:t>
      </w:r>
      <w:r w:rsidRPr="0074154F">
        <w:rPr>
          <w:rFonts w:ascii="Arial" w:hAnsi="Arial" w:cs="Arial"/>
          <w:sz w:val="20"/>
          <w:szCs w:val="20"/>
          <w:lang w:val="es-ES_tradnl"/>
        </w:rPr>
        <w:t>libres de errores materiales, debido a fraude o error.</w:t>
      </w:r>
      <w:r w:rsidR="00E54B0C" w:rsidRPr="0074154F">
        <w:rPr>
          <w:rFonts w:ascii="Arial" w:hAnsi="Arial" w:cs="Arial"/>
          <w:sz w:val="20"/>
          <w:szCs w:val="20"/>
          <w:lang w:val="es-ES_tradnl"/>
        </w:rPr>
        <w:t xml:space="preserve"> </w:t>
      </w:r>
      <w:r w:rsidRPr="0074154F">
        <w:rPr>
          <w:rFonts w:ascii="Arial" w:hAnsi="Arial" w:cs="Arial"/>
          <w:sz w:val="20"/>
          <w:szCs w:val="20"/>
          <w:lang w:val="es-ES_tradnl"/>
        </w:rPr>
        <w:t>En la preparación de los estados financieros</w:t>
      </w:r>
      <w:r w:rsidR="00615AEF"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consolidados</w:t>
      </w:r>
      <w:r w:rsidRPr="0074154F">
        <w:rPr>
          <w:rFonts w:ascii="Arial" w:hAnsi="Arial" w:cs="Arial"/>
          <w:sz w:val="20"/>
          <w:szCs w:val="20"/>
          <w:lang w:val="es-ES_tradnl"/>
        </w:rPr>
        <w:t xml:space="preserve">, la Administración es responsable de evaluar la capacidad de </w:t>
      </w:r>
      <w:r w:rsidR="00343B89">
        <w:rPr>
          <w:rFonts w:ascii="Arial" w:hAnsi="Arial" w:cs="Arial"/>
          <w:sz w:val="20"/>
          <w:szCs w:val="20"/>
          <w:lang w:val="es-ES_tradnl"/>
        </w:rPr>
        <w:t xml:space="preserve">Telconet y Compañía </w:t>
      </w:r>
      <w:r w:rsidR="008C4E64">
        <w:rPr>
          <w:rFonts w:ascii="Arial" w:hAnsi="Arial" w:cs="Arial"/>
          <w:sz w:val="20"/>
          <w:szCs w:val="20"/>
          <w:lang w:val="es-ES_tradnl"/>
        </w:rPr>
        <w:t>R</w:t>
      </w:r>
      <w:r w:rsidR="00343B89">
        <w:rPr>
          <w:rFonts w:ascii="Arial" w:hAnsi="Arial" w:cs="Arial"/>
          <w:sz w:val="20"/>
          <w:szCs w:val="20"/>
          <w:lang w:val="es-ES_tradnl"/>
        </w:rPr>
        <w:t>elacionada</w:t>
      </w:r>
      <w:r w:rsidRPr="0074154F">
        <w:rPr>
          <w:rFonts w:ascii="Arial" w:hAnsi="Arial" w:cs="Arial"/>
          <w:sz w:val="20"/>
          <w:szCs w:val="20"/>
          <w:lang w:val="es-ES_tradnl"/>
        </w:rPr>
        <w:t xml:space="preserve"> para continuar como negocio en marcha, revelando, según corresponda, los asuntos relacionados con negocio en marcha y el uso de la base contable de negocio en marcha, a menos que la Administración tenga la intención de liquidar </w:t>
      </w:r>
      <w:r w:rsidR="00E06681" w:rsidRPr="0074154F">
        <w:rPr>
          <w:rFonts w:ascii="Arial" w:hAnsi="Arial" w:cs="Arial"/>
          <w:sz w:val="20"/>
          <w:szCs w:val="20"/>
          <w:lang w:val="es-ES_tradnl"/>
        </w:rPr>
        <w:t>al Grupo</w:t>
      </w:r>
      <w:r w:rsidRPr="0074154F">
        <w:rPr>
          <w:rFonts w:ascii="Arial" w:hAnsi="Arial" w:cs="Arial"/>
          <w:sz w:val="20"/>
          <w:szCs w:val="20"/>
          <w:lang w:val="es-ES_tradnl"/>
        </w:rPr>
        <w:t xml:space="preserve"> o cesar sus operaciones, o bien, no tenga otra alternativa realista que hacerlo.</w:t>
      </w:r>
    </w:p>
    <w:p w14:paraId="58071C0F" w14:textId="77777777" w:rsidR="00491BF9" w:rsidRPr="0074154F" w:rsidRDefault="00491BF9" w:rsidP="00413455">
      <w:pPr>
        <w:spacing w:after="0" w:line="240" w:lineRule="auto"/>
        <w:jc w:val="both"/>
        <w:rPr>
          <w:rFonts w:ascii="Arial" w:hAnsi="Arial" w:cs="Arial"/>
          <w:sz w:val="20"/>
          <w:szCs w:val="20"/>
          <w:lang w:val="es-ES_tradnl"/>
        </w:rPr>
      </w:pPr>
    </w:p>
    <w:p w14:paraId="2D9390DC" w14:textId="3CB95B86" w:rsidR="00827DD1" w:rsidRPr="0074154F" w:rsidRDefault="00DB448C" w:rsidP="00413455">
      <w:pPr>
        <w:pStyle w:val="NoSpacing"/>
        <w:tabs>
          <w:tab w:val="left" w:pos="1276"/>
        </w:tabs>
        <w:contextualSpacing/>
        <w:mirrorIndents/>
        <w:jc w:val="both"/>
        <w:rPr>
          <w:rFonts w:ascii="Arial" w:hAnsi="Arial" w:cs="Arial"/>
          <w:sz w:val="20"/>
          <w:szCs w:val="20"/>
        </w:rPr>
      </w:pPr>
      <w:r w:rsidRPr="0074154F">
        <w:rPr>
          <w:rFonts w:ascii="Arial" w:hAnsi="Arial" w:cs="Arial"/>
          <w:sz w:val="20"/>
          <w:szCs w:val="20"/>
          <w:lang w:val="es-ES_tradnl"/>
        </w:rPr>
        <w:t>La Administración es responsable de la supervisión del proceso de reporte financiero de</w:t>
      </w:r>
      <w:bookmarkEnd w:id="2"/>
      <w:r w:rsidR="008C4E64">
        <w:rPr>
          <w:rFonts w:ascii="Arial" w:hAnsi="Arial" w:cs="Arial"/>
          <w:sz w:val="20"/>
          <w:szCs w:val="20"/>
          <w:lang w:val="es-ES_tradnl"/>
        </w:rPr>
        <w:t xml:space="preserve"> Telconet y Compañía Relacionada</w:t>
      </w:r>
      <w:r w:rsidRPr="0074154F">
        <w:rPr>
          <w:rFonts w:ascii="Arial" w:hAnsi="Arial" w:cs="Arial"/>
          <w:sz w:val="20"/>
          <w:szCs w:val="20"/>
        </w:rPr>
        <w:t>.</w:t>
      </w:r>
    </w:p>
    <w:p w14:paraId="112924FC" w14:textId="3DBE32DC" w:rsidR="00827DD1" w:rsidRPr="0074154F" w:rsidRDefault="00827DD1" w:rsidP="00413455">
      <w:pPr>
        <w:pStyle w:val="NoSpacing"/>
        <w:tabs>
          <w:tab w:val="left" w:pos="1276"/>
        </w:tabs>
        <w:contextualSpacing/>
        <w:mirrorIndents/>
        <w:jc w:val="both"/>
        <w:rPr>
          <w:rFonts w:ascii="Arial" w:hAnsi="Arial" w:cs="Arial"/>
          <w:b/>
          <w:sz w:val="20"/>
          <w:szCs w:val="20"/>
        </w:rPr>
      </w:pPr>
    </w:p>
    <w:p w14:paraId="727CA1F3" w14:textId="0EE33D16" w:rsidR="00827DD1" w:rsidRPr="0074154F" w:rsidRDefault="00827DD1" w:rsidP="00413455">
      <w:pPr>
        <w:pStyle w:val="NoSpacing"/>
        <w:tabs>
          <w:tab w:val="left" w:pos="1276"/>
        </w:tabs>
        <w:contextualSpacing/>
        <w:mirrorIndents/>
        <w:jc w:val="both"/>
        <w:rPr>
          <w:rFonts w:ascii="Arial" w:hAnsi="Arial" w:cs="Arial"/>
          <w:b/>
          <w:sz w:val="20"/>
          <w:szCs w:val="20"/>
        </w:rPr>
      </w:pPr>
      <w:r w:rsidRPr="0074154F">
        <w:rPr>
          <w:rFonts w:ascii="Arial" w:hAnsi="Arial" w:cs="Arial"/>
          <w:b/>
          <w:sz w:val="20"/>
          <w:szCs w:val="20"/>
        </w:rPr>
        <w:t>Responsabilidad del auditor en relación con la auditoría de los estados financieros</w:t>
      </w:r>
      <w:r w:rsidR="00615AEF" w:rsidRPr="0074154F">
        <w:rPr>
          <w:rFonts w:ascii="Arial" w:hAnsi="Arial" w:cs="Arial"/>
          <w:b/>
          <w:sz w:val="20"/>
          <w:szCs w:val="20"/>
        </w:rPr>
        <w:t xml:space="preserve"> </w:t>
      </w:r>
      <w:r w:rsidR="00F703AA" w:rsidRPr="0074154F">
        <w:rPr>
          <w:rFonts w:ascii="Arial" w:hAnsi="Arial" w:cs="Arial"/>
          <w:b/>
          <w:sz w:val="20"/>
          <w:szCs w:val="20"/>
        </w:rPr>
        <w:t>consolidado</w:t>
      </w:r>
      <w:r w:rsidR="00615AEF" w:rsidRPr="0074154F">
        <w:rPr>
          <w:rFonts w:ascii="Arial" w:hAnsi="Arial" w:cs="Arial"/>
          <w:b/>
          <w:sz w:val="20"/>
          <w:szCs w:val="20"/>
        </w:rPr>
        <w:t>s</w:t>
      </w:r>
    </w:p>
    <w:p w14:paraId="6A89BAEC" w14:textId="77777777" w:rsidR="00932E4C" w:rsidRPr="0074154F" w:rsidRDefault="00932E4C" w:rsidP="00413455">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rPr>
      </w:pPr>
    </w:p>
    <w:p w14:paraId="294C2CA0" w14:textId="137A98BD" w:rsidR="00932E4C" w:rsidRPr="0074154F" w:rsidRDefault="00932E4C" w:rsidP="00E54B0C">
      <w:pPr>
        <w:tabs>
          <w:tab w:val="left" w:pos="360"/>
          <w:tab w:val="left" w:pos="900"/>
          <w:tab w:val="left" w:pos="1800"/>
          <w:tab w:val="left" w:pos="2520"/>
          <w:tab w:val="left" w:pos="3240"/>
          <w:tab w:val="left" w:pos="3960"/>
          <w:tab w:val="left" w:pos="4680"/>
        </w:tabs>
        <w:autoSpaceDE w:val="0"/>
        <w:autoSpaceDN w:val="0"/>
        <w:adjustRightInd w:val="0"/>
        <w:spacing w:after="0" w:line="240" w:lineRule="auto"/>
        <w:contextualSpacing/>
        <w:jc w:val="both"/>
        <w:rPr>
          <w:rFonts w:ascii="Arial" w:hAnsi="Arial" w:cs="Arial"/>
          <w:sz w:val="20"/>
          <w:szCs w:val="20"/>
          <w:lang w:val="es-ES_tradnl"/>
        </w:rPr>
      </w:pPr>
      <w:r w:rsidRPr="0074154F">
        <w:rPr>
          <w:rFonts w:ascii="Arial" w:hAnsi="Arial" w:cs="Arial"/>
          <w:sz w:val="20"/>
          <w:szCs w:val="20"/>
          <w:lang w:val="es-ES_tradnl"/>
        </w:rPr>
        <w:t xml:space="preserve">Los objetivos de nuestra auditoría son obtener seguridad razonable que los estados financieros </w:t>
      </w:r>
      <w:r w:rsidR="00F703AA" w:rsidRPr="0074154F">
        <w:rPr>
          <w:rFonts w:ascii="Arial" w:hAnsi="Arial" w:cs="Arial"/>
          <w:sz w:val="20"/>
          <w:szCs w:val="20"/>
          <w:lang w:val="es-ES_tradnl"/>
        </w:rPr>
        <w:t>consolidado</w:t>
      </w:r>
      <w:r w:rsidR="00615AEF" w:rsidRPr="0074154F">
        <w:rPr>
          <w:rFonts w:ascii="Arial" w:hAnsi="Arial" w:cs="Arial"/>
          <w:sz w:val="20"/>
          <w:szCs w:val="20"/>
          <w:lang w:val="es-ES_tradnl"/>
        </w:rPr>
        <w:t xml:space="preserve">s </w:t>
      </w:r>
      <w:r w:rsidRPr="0074154F">
        <w:rPr>
          <w:rFonts w:ascii="Arial" w:hAnsi="Arial" w:cs="Arial"/>
          <w:sz w:val="20"/>
          <w:szCs w:val="20"/>
          <w:lang w:val="es-ES_tradnl"/>
        </w:rPr>
        <w:t>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r w:rsidR="00820F97" w:rsidRPr="0074154F">
        <w:rPr>
          <w:rFonts w:ascii="Arial" w:hAnsi="Arial" w:cs="Arial"/>
          <w:sz w:val="20"/>
          <w:szCs w:val="20"/>
          <w:lang w:val="es-ES_tradnl"/>
        </w:rPr>
        <w:t xml:space="preserve"> </w:t>
      </w:r>
      <w:r w:rsidR="00F703AA" w:rsidRPr="0074154F">
        <w:rPr>
          <w:rFonts w:ascii="Arial" w:hAnsi="Arial" w:cs="Arial"/>
          <w:sz w:val="20"/>
          <w:szCs w:val="20"/>
          <w:lang w:val="es-ES_tradnl"/>
        </w:rPr>
        <w:t>consolidado</w:t>
      </w:r>
      <w:r w:rsidR="00820F97" w:rsidRPr="0074154F">
        <w:rPr>
          <w:rFonts w:ascii="Arial" w:hAnsi="Arial" w:cs="Arial"/>
          <w:sz w:val="20"/>
          <w:szCs w:val="20"/>
          <w:lang w:val="es-ES_tradnl"/>
        </w:rPr>
        <w:t>s</w:t>
      </w:r>
      <w:r w:rsidRPr="0074154F">
        <w:rPr>
          <w:rFonts w:ascii="Arial" w:hAnsi="Arial" w:cs="Arial"/>
          <w:sz w:val="20"/>
          <w:szCs w:val="20"/>
          <w:lang w:val="es-ES_tradnl"/>
        </w:rPr>
        <w:t>.</w:t>
      </w:r>
      <w:r w:rsidR="00E54B0C" w:rsidRPr="0074154F">
        <w:rPr>
          <w:rFonts w:ascii="Arial" w:hAnsi="Arial" w:cs="Arial"/>
          <w:sz w:val="20"/>
          <w:szCs w:val="20"/>
          <w:lang w:val="es-ES_tradnl"/>
        </w:rPr>
        <w:t xml:space="preserve"> </w:t>
      </w:r>
      <w:r w:rsidR="00F133AF" w:rsidRPr="0074154F">
        <w:rPr>
          <w:rFonts w:ascii="Arial" w:hAnsi="Arial" w:cs="Arial"/>
          <w:sz w:val="20"/>
          <w:szCs w:val="20"/>
        </w:rPr>
        <w:t xml:space="preserve">Como parte de una auditoría efectuada de conformidad con las Normas Internaciones de Auditoria (NIA) y las disposiciones emitidas por la Superintendencia de Compañías, Valores y Seguros </w:t>
      </w:r>
      <w:r w:rsidR="00780DEB" w:rsidRPr="0074154F">
        <w:rPr>
          <w:rFonts w:ascii="Arial" w:hAnsi="Arial" w:cs="Arial"/>
          <w:sz w:val="20"/>
          <w:szCs w:val="20"/>
        </w:rPr>
        <w:t>(SCVS)</w:t>
      </w:r>
      <w:r w:rsidR="00F133AF" w:rsidRPr="0074154F">
        <w:rPr>
          <w:rFonts w:ascii="Arial" w:hAnsi="Arial" w:cs="Arial"/>
          <w:sz w:val="20"/>
          <w:szCs w:val="20"/>
        </w:rPr>
        <w:t xml:space="preserve"> aplicamos nuestro juicio profesional y mantenemos una actitud de escepticismo profesional durante toda la auditoría. También:</w:t>
      </w:r>
    </w:p>
    <w:p w14:paraId="6A58B61D" w14:textId="77777777" w:rsidR="00932E4C" w:rsidRPr="0074154F" w:rsidRDefault="00932E4C" w:rsidP="00413455">
      <w:pPr>
        <w:pStyle w:val="ListParagraph"/>
        <w:spacing w:after="0" w:line="240" w:lineRule="auto"/>
        <w:ind w:left="426" w:right="-1"/>
        <w:jc w:val="both"/>
        <w:rPr>
          <w:rFonts w:ascii="Arial" w:hAnsi="Arial" w:cs="Arial"/>
          <w:sz w:val="20"/>
          <w:szCs w:val="20"/>
        </w:rPr>
      </w:pPr>
    </w:p>
    <w:p w14:paraId="571F2D78" w14:textId="7C715749" w:rsidR="00932E4C" w:rsidRPr="0074154F" w:rsidRDefault="00932E4C" w:rsidP="00E54B0C">
      <w:pPr>
        <w:pStyle w:val="ListParagraph"/>
        <w:numPr>
          <w:ilvl w:val="0"/>
          <w:numId w:val="2"/>
        </w:numPr>
        <w:spacing w:after="0" w:line="240" w:lineRule="auto"/>
        <w:ind w:left="426" w:right="-1" w:hanging="426"/>
        <w:contextualSpacing w:val="0"/>
        <w:jc w:val="both"/>
        <w:rPr>
          <w:rFonts w:ascii="Arial" w:hAnsi="Arial" w:cs="Arial"/>
          <w:sz w:val="20"/>
          <w:szCs w:val="20"/>
        </w:rPr>
      </w:pPr>
      <w:r w:rsidRPr="0074154F">
        <w:rPr>
          <w:rFonts w:ascii="Arial" w:hAnsi="Arial" w:cs="Arial"/>
          <w:sz w:val="20"/>
          <w:szCs w:val="20"/>
        </w:rPr>
        <w:t>Identificamos y evaluamos los riesgos de error material en los estados financieros</w:t>
      </w:r>
      <w:r w:rsidR="00615AEF" w:rsidRPr="0074154F">
        <w:rPr>
          <w:rFonts w:ascii="Arial" w:hAnsi="Arial" w:cs="Arial"/>
          <w:sz w:val="20"/>
          <w:szCs w:val="20"/>
        </w:rPr>
        <w:t xml:space="preserve"> </w:t>
      </w:r>
      <w:r w:rsidR="00F703AA" w:rsidRPr="0074154F">
        <w:rPr>
          <w:rFonts w:ascii="Arial" w:hAnsi="Arial" w:cs="Arial"/>
          <w:sz w:val="20"/>
          <w:szCs w:val="20"/>
        </w:rPr>
        <w:t>consolidado</w:t>
      </w:r>
      <w:r w:rsidR="00615AEF" w:rsidRPr="0074154F">
        <w:rPr>
          <w:rFonts w:ascii="Arial" w:hAnsi="Arial" w:cs="Arial"/>
          <w:sz w:val="20"/>
          <w:szCs w:val="20"/>
        </w:rPr>
        <w:t>s</w:t>
      </w:r>
      <w:r w:rsidRPr="0074154F">
        <w:rPr>
          <w:rFonts w:ascii="Arial" w:hAnsi="Arial" w:cs="Arial"/>
          <w:sz w:val="20"/>
          <w:szCs w:val="20"/>
        </w:rPr>
        <w:t>, debido a fraude o error, diseñ</w:t>
      </w:r>
      <w:r w:rsidR="000B2A43">
        <w:rPr>
          <w:rFonts w:ascii="Arial" w:hAnsi="Arial" w:cs="Arial"/>
          <w:sz w:val="20"/>
          <w:szCs w:val="20"/>
        </w:rPr>
        <w:t>ado</w:t>
      </w:r>
      <w:r w:rsidRPr="0074154F">
        <w:rPr>
          <w:rFonts w:ascii="Arial" w:hAnsi="Arial" w:cs="Arial"/>
          <w:sz w:val="20"/>
          <w:szCs w:val="20"/>
        </w:rPr>
        <w:t xml:space="preserve"> y ejecut</w:t>
      </w:r>
      <w:r w:rsidR="000B2A43">
        <w:rPr>
          <w:rFonts w:ascii="Arial" w:hAnsi="Arial" w:cs="Arial"/>
          <w:sz w:val="20"/>
          <w:szCs w:val="20"/>
        </w:rPr>
        <w:t>amos</w:t>
      </w:r>
      <w:r w:rsidRPr="0074154F">
        <w:rPr>
          <w:rFonts w:ascii="Arial" w:hAnsi="Arial" w:cs="Arial"/>
          <w:sz w:val="20"/>
          <w:szCs w:val="20"/>
        </w:rPr>
        <w:t xml:space="preserve"> procedimientos de auditoría para responder a los referidos riesgos y obtener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DD0A497" w14:textId="77777777" w:rsidR="00857863" w:rsidRPr="0074154F" w:rsidRDefault="00857863" w:rsidP="00413455">
      <w:pPr>
        <w:pStyle w:val="ListParagraph"/>
        <w:spacing w:after="0" w:line="240" w:lineRule="auto"/>
        <w:ind w:left="426" w:right="-1"/>
        <w:contextualSpacing w:val="0"/>
        <w:jc w:val="both"/>
        <w:rPr>
          <w:rFonts w:ascii="Arial" w:hAnsi="Arial" w:cs="Arial"/>
          <w:sz w:val="20"/>
          <w:szCs w:val="20"/>
        </w:rPr>
      </w:pPr>
    </w:p>
    <w:p w14:paraId="095FB5F4" w14:textId="1B7C451B" w:rsidR="00932E4C" w:rsidRPr="0074154F" w:rsidRDefault="00932E4C" w:rsidP="00413455">
      <w:pPr>
        <w:pStyle w:val="ListParagraph"/>
        <w:numPr>
          <w:ilvl w:val="0"/>
          <w:numId w:val="2"/>
        </w:numPr>
        <w:spacing w:after="0" w:line="240" w:lineRule="auto"/>
        <w:ind w:left="426" w:right="-1" w:hanging="426"/>
        <w:contextualSpacing w:val="0"/>
        <w:jc w:val="both"/>
        <w:rPr>
          <w:rFonts w:ascii="Arial" w:hAnsi="Arial" w:cs="Arial"/>
          <w:sz w:val="20"/>
          <w:szCs w:val="20"/>
        </w:rPr>
      </w:pPr>
      <w:r w:rsidRPr="0074154F">
        <w:rPr>
          <w:rFonts w:ascii="Arial" w:hAnsi="Arial" w:cs="Arial"/>
          <w:sz w:val="20"/>
          <w:szCs w:val="20"/>
        </w:rPr>
        <w:t>Obtuvimos conocimiento del control interno relevante para la auditoría con el fin de diseñar procedimientos de auditoría que sean apropiados en circunstancias, pero no con el propósito de expresar una opinión sobre la efectividad del control interno de</w:t>
      </w:r>
      <w:r w:rsidR="008C4E64">
        <w:rPr>
          <w:rFonts w:ascii="Arial" w:hAnsi="Arial" w:cs="Arial"/>
          <w:sz w:val="20"/>
          <w:szCs w:val="20"/>
        </w:rPr>
        <w:t xml:space="preserve"> Telconet y Compañía Relacionada</w:t>
      </w:r>
      <w:r w:rsidRPr="0074154F">
        <w:rPr>
          <w:rFonts w:ascii="Arial" w:hAnsi="Arial" w:cs="Arial"/>
          <w:sz w:val="20"/>
          <w:szCs w:val="20"/>
        </w:rPr>
        <w:t>.</w:t>
      </w:r>
    </w:p>
    <w:p w14:paraId="7022B741" w14:textId="77777777" w:rsidR="001F156D" w:rsidRPr="0074154F" w:rsidRDefault="001F156D" w:rsidP="001F156D">
      <w:pPr>
        <w:pStyle w:val="ListParagraph"/>
        <w:spacing w:after="0" w:line="240" w:lineRule="auto"/>
        <w:ind w:left="426" w:right="-1"/>
        <w:contextualSpacing w:val="0"/>
        <w:jc w:val="both"/>
        <w:rPr>
          <w:rFonts w:ascii="Arial" w:hAnsi="Arial" w:cs="Arial"/>
          <w:sz w:val="20"/>
          <w:szCs w:val="20"/>
        </w:rPr>
      </w:pPr>
    </w:p>
    <w:p w14:paraId="5DC66B32" w14:textId="72E256A4" w:rsidR="00932E4C" w:rsidRPr="0074154F" w:rsidRDefault="00932E4C" w:rsidP="00413455">
      <w:pPr>
        <w:pStyle w:val="ListParagraph"/>
        <w:numPr>
          <w:ilvl w:val="0"/>
          <w:numId w:val="2"/>
        </w:numPr>
        <w:spacing w:after="0" w:line="240" w:lineRule="auto"/>
        <w:ind w:left="426" w:right="-1" w:hanging="426"/>
        <w:contextualSpacing w:val="0"/>
        <w:jc w:val="both"/>
        <w:rPr>
          <w:rFonts w:ascii="Arial" w:hAnsi="Arial" w:cs="Arial"/>
          <w:sz w:val="20"/>
          <w:szCs w:val="20"/>
        </w:rPr>
      </w:pPr>
      <w:r w:rsidRPr="0074154F">
        <w:rPr>
          <w:rFonts w:ascii="Arial" w:hAnsi="Arial" w:cs="Arial"/>
          <w:sz w:val="20"/>
          <w:szCs w:val="20"/>
        </w:rPr>
        <w:t>Evaluamos si las políticas contables aplicadas son apropiadas y si las estimaciones contables y la correspondiente información revelada por la Administración es razonable.</w:t>
      </w:r>
    </w:p>
    <w:p w14:paraId="067951F5" w14:textId="22425907" w:rsidR="00857863" w:rsidRPr="0074154F" w:rsidRDefault="00857863" w:rsidP="00413455">
      <w:pPr>
        <w:pStyle w:val="ListParagraph"/>
        <w:spacing w:after="0" w:line="240" w:lineRule="auto"/>
        <w:ind w:left="426" w:right="-1"/>
        <w:contextualSpacing w:val="0"/>
        <w:jc w:val="both"/>
        <w:rPr>
          <w:rFonts w:ascii="Arial" w:hAnsi="Arial" w:cs="Arial"/>
          <w:sz w:val="20"/>
          <w:szCs w:val="20"/>
        </w:rPr>
      </w:pPr>
    </w:p>
    <w:p w14:paraId="0EBCEC28" w14:textId="756C60DD" w:rsidR="00FA27C3" w:rsidRPr="00FA27C3" w:rsidRDefault="00932E4C" w:rsidP="00E54B0C">
      <w:pPr>
        <w:pStyle w:val="ListParagraph"/>
        <w:numPr>
          <w:ilvl w:val="0"/>
          <w:numId w:val="2"/>
        </w:numPr>
        <w:spacing w:after="0" w:line="240" w:lineRule="auto"/>
        <w:ind w:left="426" w:right="-1" w:hanging="426"/>
        <w:contextualSpacing w:val="0"/>
        <w:jc w:val="both"/>
        <w:rPr>
          <w:rFonts w:ascii="Arial" w:hAnsi="Arial" w:cs="Arial"/>
          <w:sz w:val="20"/>
          <w:szCs w:val="20"/>
        </w:rPr>
      </w:pPr>
      <w:r w:rsidRPr="0074154F">
        <w:rPr>
          <w:rFonts w:ascii="Arial" w:hAnsi="Arial" w:cs="Arial"/>
          <w:sz w:val="20"/>
          <w:szCs w:val="20"/>
          <w:lang w:val="es-ES_tradnl"/>
        </w:rPr>
        <w:t>Concluimos sobre lo adecuado de la utilización, por parte de la Administración, de la base contable de negocio en marcha y, basado en la evidencia de auditoría obtenida, concluir si existe o no una incertidumbre material relacionada con eventos o condiciones que pueden generar dudas significativas sobre la capacidad de</w:t>
      </w:r>
      <w:r w:rsidR="00FA27C3">
        <w:rPr>
          <w:rFonts w:ascii="Arial" w:hAnsi="Arial" w:cs="Arial"/>
          <w:sz w:val="20"/>
          <w:szCs w:val="20"/>
          <w:lang w:val="es-ES_tradnl"/>
        </w:rPr>
        <w:t xml:space="preserve"> Telconet y Compañía Relacionada</w:t>
      </w:r>
      <w:r w:rsidRPr="0074154F">
        <w:rPr>
          <w:rFonts w:ascii="Arial" w:hAnsi="Arial" w:cs="Arial"/>
          <w:sz w:val="20"/>
          <w:szCs w:val="20"/>
          <w:lang w:val="es-ES_tradnl"/>
        </w:rPr>
        <w:t xml:space="preserve"> para continuar como negocio en marcha. </w:t>
      </w:r>
    </w:p>
    <w:p w14:paraId="00BC6DF0" w14:textId="77777777" w:rsidR="00FA27C3" w:rsidRPr="00FA27C3" w:rsidRDefault="00FA27C3" w:rsidP="00FA27C3">
      <w:pPr>
        <w:pStyle w:val="ListParagraph"/>
        <w:rPr>
          <w:rFonts w:ascii="Arial" w:hAnsi="Arial" w:cs="Arial"/>
          <w:sz w:val="20"/>
          <w:szCs w:val="20"/>
          <w:lang w:val="es-ES_tradnl"/>
        </w:rPr>
      </w:pPr>
    </w:p>
    <w:p w14:paraId="579AF39B" w14:textId="15523B62" w:rsidR="00C13E10" w:rsidRPr="0074154F" w:rsidRDefault="00932E4C" w:rsidP="00FA27C3">
      <w:pPr>
        <w:pStyle w:val="ListParagraph"/>
        <w:spacing w:after="0" w:line="240" w:lineRule="auto"/>
        <w:ind w:left="426" w:right="-1"/>
        <w:contextualSpacing w:val="0"/>
        <w:jc w:val="both"/>
        <w:rPr>
          <w:rFonts w:ascii="Arial" w:hAnsi="Arial" w:cs="Arial"/>
          <w:sz w:val="20"/>
          <w:szCs w:val="20"/>
        </w:rPr>
      </w:pPr>
      <w:r w:rsidRPr="0074154F">
        <w:rPr>
          <w:rFonts w:ascii="Arial" w:hAnsi="Arial" w:cs="Arial"/>
          <w:sz w:val="20"/>
          <w:szCs w:val="20"/>
          <w:lang w:val="es-ES_tradnl"/>
        </w:rPr>
        <w:lastRenderedPageBreak/>
        <w:t xml:space="preserve">Si concluimos que existe una incertidumbre material, se requiere que llame la atención en nuestro informe de auditoría a las respectivas revelaciones en los estados financieros </w:t>
      </w:r>
      <w:r w:rsidR="00F703AA" w:rsidRPr="0074154F">
        <w:rPr>
          <w:rFonts w:ascii="Arial" w:hAnsi="Arial" w:cs="Arial"/>
          <w:sz w:val="20"/>
          <w:szCs w:val="20"/>
          <w:lang w:val="es-ES_tradnl"/>
        </w:rPr>
        <w:t>consolidado</w:t>
      </w:r>
      <w:r w:rsidR="00820F97" w:rsidRPr="0074154F">
        <w:rPr>
          <w:rFonts w:ascii="Arial" w:hAnsi="Arial" w:cs="Arial"/>
          <w:sz w:val="20"/>
          <w:szCs w:val="20"/>
          <w:lang w:val="es-ES_tradnl"/>
        </w:rPr>
        <w:t xml:space="preserve">s </w:t>
      </w:r>
      <w:r w:rsidRPr="0074154F">
        <w:rPr>
          <w:rFonts w:ascii="Arial" w:hAnsi="Arial" w:cs="Arial"/>
          <w:sz w:val="20"/>
          <w:szCs w:val="20"/>
          <w:lang w:val="es-ES_tradnl"/>
        </w:rPr>
        <w:t>o, si las referidas revelaciones no son adecuadas, ex</w:t>
      </w:r>
      <w:r w:rsidR="00C13E10" w:rsidRPr="0074154F">
        <w:rPr>
          <w:rFonts w:ascii="Arial" w:hAnsi="Arial" w:cs="Arial"/>
          <w:sz w:val="20"/>
          <w:szCs w:val="20"/>
          <w:lang w:val="es-ES_tradnl"/>
        </w:rPr>
        <w:t xml:space="preserve">presar una opinión modificada. </w:t>
      </w:r>
    </w:p>
    <w:p w14:paraId="0E7214EF" w14:textId="77777777" w:rsidR="00C13E10" w:rsidRPr="0074154F" w:rsidRDefault="00C13E10" w:rsidP="00413455">
      <w:pPr>
        <w:pStyle w:val="ListParagraph"/>
        <w:spacing w:after="0" w:line="240" w:lineRule="auto"/>
        <w:ind w:left="426" w:right="-1"/>
        <w:contextualSpacing w:val="0"/>
        <w:jc w:val="both"/>
        <w:rPr>
          <w:rFonts w:ascii="Arial" w:hAnsi="Arial" w:cs="Arial"/>
          <w:sz w:val="20"/>
          <w:szCs w:val="20"/>
        </w:rPr>
      </w:pPr>
    </w:p>
    <w:p w14:paraId="7283966E" w14:textId="19312C02" w:rsidR="00932E4C" w:rsidRPr="0074154F" w:rsidRDefault="00C13E10" w:rsidP="00413455">
      <w:pPr>
        <w:pStyle w:val="ListParagraph"/>
        <w:spacing w:after="0" w:line="240" w:lineRule="auto"/>
        <w:ind w:left="426" w:right="-1"/>
        <w:contextualSpacing w:val="0"/>
        <w:jc w:val="both"/>
        <w:rPr>
          <w:rFonts w:ascii="Arial" w:hAnsi="Arial" w:cs="Arial"/>
          <w:sz w:val="20"/>
          <w:szCs w:val="20"/>
        </w:rPr>
      </w:pPr>
      <w:r w:rsidRPr="0074154F">
        <w:rPr>
          <w:rFonts w:ascii="Arial" w:hAnsi="Arial" w:cs="Arial"/>
          <w:sz w:val="20"/>
          <w:szCs w:val="20"/>
          <w:lang w:val="es-ES_tradnl"/>
        </w:rPr>
        <w:t>N</w:t>
      </w:r>
      <w:r w:rsidR="00932E4C" w:rsidRPr="0074154F">
        <w:rPr>
          <w:rFonts w:ascii="Arial" w:hAnsi="Arial" w:cs="Arial"/>
          <w:sz w:val="20"/>
          <w:szCs w:val="20"/>
          <w:lang w:val="es-ES_tradnl"/>
        </w:rPr>
        <w:t>uestras conclusiones se basan en la evidencia de auditoría obtenida hasta la fecha de nuestro informe de auditoría, sin embargo, eventos o condiciones futuros pueden ocasionar que la Compañía deje de ser una empresa en funcionamiento</w:t>
      </w:r>
      <w:r w:rsidR="00932E4C" w:rsidRPr="0074154F">
        <w:rPr>
          <w:rFonts w:ascii="Arial" w:hAnsi="Arial" w:cs="Arial"/>
          <w:sz w:val="20"/>
          <w:szCs w:val="20"/>
        </w:rPr>
        <w:t>.</w:t>
      </w:r>
    </w:p>
    <w:p w14:paraId="7742FEE3" w14:textId="60394220" w:rsidR="000004EE" w:rsidRPr="0074154F" w:rsidRDefault="000004EE" w:rsidP="00413455">
      <w:pPr>
        <w:tabs>
          <w:tab w:val="left" w:pos="6390"/>
        </w:tabs>
        <w:spacing w:after="0" w:line="240" w:lineRule="auto"/>
        <w:rPr>
          <w:rFonts w:ascii="Arial" w:hAnsi="Arial" w:cs="Arial"/>
          <w:sz w:val="20"/>
          <w:szCs w:val="20"/>
          <w:lang w:eastAsia="es-EC"/>
        </w:rPr>
      </w:pPr>
      <w:r w:rsidRPr="0074154F">
        <w:rPr>
          <w:rFonts w:ascii="Arial" w:hAnsi="Arial" w:cs="Arial"/>
          <w:sz w:val="20"/>
          <w:szCs w:val="20"/>
          <w:lang w:eastAsia="es-EC"/>
        </w:rPr>
        <w:tab/>
      </w:r>
    </w:p>
    <w:p w14:paraId="4F4E22D9" w14:textId="47B51B56" w:rsidR="00932E4C" w:rsidRDefault="00932E4C" w:rsidP="00413455">
      <w:pPr>
        <w:pStyle w:val="ListParagraph"/>
        <w:numPr>
          <w:ilvl w:val="0"/>
          <w:numId w:val="2"/>
        </w:numPr>
        <w:spacing w:after="0" w:line="240" w:lineRule="auto"/>
        <w:ind w:left="426" w:right="-1" w:hanging="426"/>
        <w:contextualSpacing w:val="0"/>
        <w:jc w:val="both"/>
        <w:rPr>
          <w:rFonts w:ascii="Arial" w:hAnsi="Arial" w:cs="Arial"/>
          <w:sz w:val="20"/>
          <w:szCs w:val="20"/>
        </w:rPr>
      </w:pPr>
      <w:r w:rsidRPr="0074154F">
        <w:rPr>
          <w:rFonts w:ascii="Arial" w:hAnsi="Arial" w:cs="Arial"/>
          <w:sz w:val="20"/>
          <w:szCs w:val="20"/>
        </w:rPr>
        <w:t>Evaluamos la presentación general, la estructura y el contenido de los estados financieros</w:t>
      </w:r>
      <w:r w:rsidR="00615AEF" w:rsidRPr="0074154F">
        <w:rPr>
          <w:rFonts w:ascii="Arial" w:hAnsi="Arial" w:cs="Arial"/>
          <w:sz w:val="20"/>
          <w:szCs w:val="20"/>
        </w:rPr>
        <w:t xml:space="preserve"> </w:t>
      </w:r>
      <w:r w:rsidR="00F703AA" w:rsidRPr="0074154F">
        <w:rPr>
          <w:rFonts w:ascii="Arial" w:hAnsi="Arial" w:cs="Arial"/>
          <w:sz w:val="20"/>
          <w:szCs w:val="20"/>
        </w:rPr>
        <w:t>consolidado</w:t>
      </w:r>
      <w:r w:rsidR="00615AEF" w:rsidRPr="0074154F">
        <w:rPr>
          <w:rFonts w:ascii="Arial" w:hAnsi="Arial" w:cs="Arial"/>
          <w:sz w:val="20"/>
          <w:szCs w:val="20"/>
        </w:rPr>
        <w:t>s</w:t>
      </w:r>
      <w:r w:rsidRPr="0074154F">
        <w:rPr>
          <w:rFonts w:ascii="Arial" w:hAnsi="Arial" w:cs="Arial"/>
          <w:sz w:val="20"/>
          <w:szCs w:val="20"/>
        </w:rPr>
        <w:t xml:space="preserve">, incluyendo las revelaciones, y si los estados financieros </w:t>
      </w:r>
      <w:r w:rsidR="00F703AA" w:rsidRPr="0074154F">
        <w:rPr>
          <w:rFonts w:ascii="Arial" w:hAnsi="Arial" w:cs="Arial"/>
          <w:sz w:val="20"/>
          <w:szCs w:val="20"/>
        </w:rPr>
        <w:t>consolidado</w:t>
      </w:r>
      <w:r w:rsidR="00820F97" w:rsidRPr="0074154F">
        <w:rPr>
          <w:rFonts w:ascii="Arial" w:hAnsi="Arial" w:cs="Arial"/>
          <w:sz w:val="20"/>
          <w:szCs w:val="20"/>
        </w:rPr>
        <w:t xml:space="preserve">s </w:t>
      </w:r>
      <w:r w:rsidRPr="0074154F">
        <w:rPr>
          <w:rFonts w:ascii="Arial" w:hAnsi="Arial" w:cs="Arial"/>
          <w:sz w:val="20"/>
          <w:szCs w:val="20"/>
        </w:rPr>
        <w:t>representan las transacciones y eventos subyacentes de un modo que logren una presentación razonable.</w:t>
      </w:r>
    </w:p>
    <w:p w14:paraId="09E6869D" w14:textId="77777777" w:rsidR="008B4584" w:rsidRPr="0074154F" w:rsidRDefault="008B4584" w:rsidP="008B4584">
      <w:pPr>
        <w:pStyle w:val="ListParagraph"/>
        <w:spacing w:after="0" w:line="240" w:lineRule="auto"/>
        <w:ind w:left="426" w:right="-1"/>
        <w:contextualSpacing w:val="0"/>
        <w:jc w:val="both"/>
        <w:rPr>
          <w:rFonts w:ascii="Arial" w:hAnsi="Arial" w:cs="Arial"/>
          <w:sz w:val="20"/>
          <w:szCs w:val="20"/>
        </w:rPr>
      </w:pPr>
    </w:p>
    <w:p w14:paraId="567A3CDC" w14:textId="116C06B4" w:rsidR="00E627E5" w:rsidRPr="0074154F" w:rsidRDefault="00932E4C" w:rsidP="00413455">
      <w:pPr>
        <w:tabs>
          <w:tab w:val="left" w:pos="709"/>
        </w:tabs>
        <w:spacing w:after="0" w:line="240" w:lineRule="auto"/>
        <w:ind w:right="-8"/>
        <w:jc w:val="both"/>
        <w:rPr>
          <w:rFonts w:ascii="Arial" w:hAnsi="Arial" w:cs="Arial"/>
          <w:sz w:val="20"/>
          <w:szCs w:val="20"/>
        </w:rPr>
      </w:pPr>
      <w:r w:rsidRPr="0074154F">
        <w:rPr>
          <w:rFonts w:ascii="Arial" w:hAnsi="Arial" w:cs="Arial"/>
          <w:sz w:val="20"/>
          <w:szCs w:val="20"/>
        </w:rPr>
        <w:t>Comunicamos a los responsables de la Administración de</w:t>
      </w:r>
      <w:r w:rsidR="00401ED5">
        <w:rPr>
          <w:rFonts w:ascii="Arial" w:hAnsi="Arial" w:cs="Arial"/>
          <w:sz w:val="20"/>
          <w:szCs w:val="20"/>
        </w:rPr>
        <w:t xml:space="preserve"> Telconet y Compañía Relacionada</w:t>
      </w:r>
      <w:r w:rsidRPr="0074154F">
        <w:rPr>
          <w:rFonts w:ascii="Arial" w:hAnsi="Arial" w:cs="Arial"/>
          <w:sz w:val="20"/>
          <w:szCs w:val="20"/>
        </w:rPr>
        <w:t xml:space="preserve"> respecto a, entre otros asuntos, el alcance y el momento de realización de la auditoría planificada y los hallazgos significativos, así como cualquier deficiencia significativa de control interno que hayamos identificado en el transcurso de la auditoría.</w:t>
      </w:r>
    </w:p>
    <w:p w14:paraId="6159F690" w14:textId="5354D451" w:rsidR="001F156D" w:rsidRPr="0074154F" w:rsidRDefault="001F156D" w:rsidP="00413455">
      <w:pPr>
        <w:tabs>
          <w:tab w:val="left" w:pos="709"/>
        </w:tabs>
        <w:spacing w:after="0" w:line="240" w:lineRule="auto"/>
        <w:ind w:right="-8"/>
        <w:jc w:val="both"/>
        <w:rPr>
          <w:rFonts w:ascii="Arial" w:hAnsi="Arial" w:cs="Arial"/>
          <w:sz w:val="20"/>
          <w:szCs w:val="20"/>
        </w:rPr>
      </w:pPr>
    </w:p>
    <w:p w14:paraId="6635B893" w14:textId="65EFA6E8" w:rsidR="001F156D" w:rsidRPr="0074154F" w:rsidRDefault="001F156D" w:rsidP="001F156D">
      <w:pPr>
        <w:tabs>
          <w:tab w:val="left" w:pos="709"/>
        </w:tabs>
        <w:spacing w:after="0" w:line="240" w:lineRule="auto"/>
        <w:ind w:right="-8"/>
        <w:jc w:val="both"/>
        <w:rPr>
          <w:rFonts w:ascii="Arial" w:hAnsi="Arial" w:cs="Arial"/>
          <w:sz w:val="20"/>
          <w:szCs w:val="20"/>
        </w:rPr>
      </w:pPr>
      <w:r w:rsidRPr="0074154F">
        <w:rPr>
          <w:rFonts w:ascii="Arial" w:hAnsi="Arial" w:cs="Arial"/>
          <w:sz w:val="20"/>
          <w:szCs w:val="20"/>
        </w:rPr>
        <w:t>Proporcionamos a los responsables de la Administración de</w:t>
      </w:r>
      <w:r w:rsidR="008B4584">
        <w:rPr>
          <w:rFonts w:ascii="Arial" w:hAnsi="Arial" w:cs="Arial"/>
          <w:sz w:val="20"/>
          <w:szCs w:val="20"/>
        </w:rPr>
        <w:t xml:space="preserve"> Telconet y su Compañía </w:t>
      </w:r>
      <w:r w:rsidR="009D5C54">
        <w:rPr>
          <w:rFonts w:ascii="Arial" w:hAnsi="Arial" w:cs="Arial"/>
          <w:sz w:val="20"/>
          <w:szCs w:val="20"/>
        </w:rPr>
        <w:t>R</w:t>
      </w:r>
      <w:r w:rsidR="008B4584">
        <w:rPr>
          <w:rFonts w:ascii="Arial" w:hAnsi="Arial" w:cs="Arial"/>
          <w:sz w:val="20"/>
          <w:szCs w:val="20"/>
        </w:rPr>
        <w:t>elacionada</w:t>
      </w:r>
      <w:r w:rsidR="000C691C" w:rsidRPr="0074154F">
        <w:rPr>
          <w:rFonts w:ascii="Arial" w:hAnsi="Arial" w:cs="Arial"/>
          <w:sz w:val="20"/>
          <w:szCs w:val="20"/>
        </w:rPr>
        <w:t xml:space="preserve"> </w:t>
      </w:r>
      <w:r w:rsidRPr="0074154F">
        <w:rPr>
          <w:rFonts w:ascii="Arial" w:hAnsi="Arial" w:cs="Arial"/>
          <w:sz w:val="20"/>
          <w:szCs w:val="20"/>
        </w:rPr>
        <w:t>una declaración que hemos cumplido con los requerimientos de ética en relación con la independencia e informamos acerca de todas las relaciones y otros asuntos de los que se pueden esperar razonablemente que pueden afectar a nuestra independencia, y en su caso, las correspondientes salvaguardas.</w:t>
      </w:r>
    </w:p>
    <w:p w14:paraId="4E643DE2" w14:textId="2A7B80A2" w:rsidR="00F22328" w:rsidRDefault="00F22328" w:rsidP="001F156D">
      <w:pPr>
        <w:tabs>
          <w:tab w:val="left" w:pos="709"/>
        </w:tabs>
        <w:spacing w:after="0" w:line="240" w:lineRule="auto"/>
        <w:ind w:right="-8"/>
        <w:jc w:val="both"/>
        <w:rPr>
          <w:rFonts w:ascii="Arial" w:hAnsi="Arial" w:cs="Arial"/>
          <w:sz w:val="20"/>
          <w:szCs w:val="20"/>
        </w:rPr>
      </w:pPr>
    </w:p>
    <w:p w14:paraId="5F6D7DAD" w14:textId="6D88DA7F" w:rsidR="00F22328" w:rsidRPr="0074154F" w:rsidRDefault="00F22328" w:rsidP="00F22328">
      <w:pPr>
        <w:tabs>
          <w:tab w:val="left" w:pos="709"/>
        </w:tabs>
        <w:spacing w:after="0" w:line="240" w:lineRule="auto"/>
        <w:ind w:right="-8"/>
        <w:jc w:val="both"/>
        <w:rPr>
          <w:rFonts w:ascii="Arial" w:hAnsi="Arial" w:cs="Arial"/>
          <w:sz w:val="20"/>
          <w:szCs w:val="20"/>
        </w:rPr>
      </w:pPr>
      <w:r w:rsidRPr="0074154F">
        <w:rPr>
          <w:rFonts w:ascii="Arial" w:hAnsi="Arial" w:cs="Arial"/>
          <w:sz w:val="20"/>
          <w:szCs w:val="20"/>
        </w:rPr>
        <w:t xml:space="preserve">Entre los asuntos comunicados </w:t>
      </w:r>
      <w:r w:rsidR="000C691C" w:rsidRPr="0074154F">
        <w:rPr>
          <w:rFonts w:ascii="Arial" w:hAnsi="Arial" w:cs="Arial"/>
          <w:sz w:val="20"/>
          <w:szCs w:val="20"/>
        </w:rPr>
        <w:t>de</w:t>
      </w:r>
      <w:r w:rsidR="0058222C">
        <w:rPr>
          <w:rFonts w:ascii="Arial" w:hAnsi="Arial" w:cs="Arial"/>
          <w:sz w:val="20"/>
          <w:szCs w:val="20"/>
        </w:rPr>
        <w:t xml:space="preserve"> Telconet y su Compañía </w:t>
      </w:r>
      <w:r w:rsidR="001B29A3">
        <w:rPr>
          <w:rFonts w:ascii="Arial" w:hAnsi="Arial" w:cs="Arial"/>
          <w:sz w:val="20"/>
          <w:szCs w:val="20"/>
        </w:rPr>
        <w:t>R</w:t>
      </w:r>
      <w:r w:rsidR="0058222C">
        <w:rPr>
          <w:rFonts w:ascii="Arial" w:hAnsi="Arial" w:cs="Arial"/>
          <w:sz w:val="20"/>
          <w:szCs w:val="20"/>
        </w:rPr>
        <w:t>elacionada</w:t>
      </w:r>
      <w:r w:rsidRPr="0074154F">
        <w:rPr>
          <w:rFonts w:ascii="Arial" w:hAnsi="Arial" w:cs="Arial"/>
          <w:sz w:val="20"/>
          <w:szCs w:val="20"/>
        </w:rPr>
        <w:t xml:space="preserve">, determinamos aquellos que fueron los más significativos en la auditoría de los estados financieros </w:t>
      </w:r>
      <w:r w:rsidR="00F703AA" w:rsidRPr="0074154F">
        <w:rPr>
          <w:rFonts w:ascii="Arial" w:hAnsi="Arial" w:cs="Arial"/>
          <w:sz w:val="20"/>
          <w:szCs w:val="20"/>
        </w:rPr>
        <w:t>consolidado</w:t>
      </w:r>
      <w:r w:rsidRPr="0074154F">
        <w:rPr>
          <w:rFonts w:ascii="Arial" w:hAnsi="Arial" w:cs="Arial"/>
          <w:sz w:val="20"/>
          <w:szCs w:val="20"/>
        </w:rPr>
        <w:t>s del año actual y que son, en consecuencia, las cuestiones claves de auditoría. Describimos estos asuntos en nuestro informe de auditoría salvo que las disposiciones legales o reglamentarias prohíban revelar públicamente este asunto o, en circunstancias extremadamente poco frecuentes, determinemos que un asunto no se debería comunicar en nuestro informe porque razonablemente esperamos que las consecuencias adversas superarían los beneficios de interés público de la comunicación.</w:t>
      </w:r>
    </w:p>
    <w:p w14:paraId="7994E04A" w14:textId="77777777" w:rsidR="00F22328" w:rsidRPr="0074154F" w:rsidRDefault="00F22328" w:rsidP="001F156D">
      <w:pPr>
        <w:tabs>
          <w:tab w:val="left" w:pos="709"/>
        </w:tabs>
        <w:spacing w:after="0" w:line="240" w:lineRule="auto"/>
        <w:ind w:right="-8"/>
        <w:jc w:val="both"/>
        <w:rPr>
          <w:rFonts w:ascii="Arial" w:hAnsi="Arial" w:cs="Arial"/>
          <w:sz w:val="20"/>
          <w:szCs w:val="20"/>
        </w:rPr>
      </w:pPr>
    </w:p>
    <w:p w14:paraId="0F000ABE" w14:textId="13204021" w:rsidR="00FF6FBF" w:rsidRPr="0074154F" w:rsidRDefault="009A7F44" w:rsidP="00FF6FBF">
      <w:pPr>
        <w:tabs>
          <w:tab w:val="left" w:pos="426"/>
        </w:tabs>
        <w:spacing w:after="0" w:line="240" w:lineRule="auto"/>
        <w:jc w:val="both"/>
        <w:rPr>
          <w:rFonts w:ascii="Arial" w:hAnsi="Arial" w:cs="Arial"/>
          <w:b/>
          <w:sz w:val="20"/>
          <w:szCs w:val="20"/>
        </w:rPr>
      </w:pPr>
      <w:r>
        <w:rPr>
          <w:rFonts w:ascii="Arial" w:hAnsi="Arial" w:cs="Arial"/>
          <w:b/>
          <w:sz w:val="20"/>
          <w:szCs w:val="20"/>
        </w:rPr>
        <w:t>Otros asuntos</w:t>
      </w:r>
    </w:p>
    <w:p w14:paraId="64027915" w14:textId="04047B73" w:rsidR="00E3246F" w:rsidRPr="0074154F" w:rsidRDefault="00E3246F" w:rsidP="00413455">
      <w:pPr>
        <w:spacing w:after="0" w:line="240" w:lineRule="auto"/>
        <w:ind w:right="-1"/>
        <w:jc w:val="both"/>
        <w:rPr>
          <w:rFonts w:ascii="Arial" w:hAnsi="Arial" w:cs="Arial"/>
          <w:sz w:val="20"/>
          <w:szCs w:val="20"/>
        </w:rPr>
      </w:pPr>
    </w:p>
    <w:p w14:paraId="32817EEC" w14:textId="788548ED" w:rsidR="00C05E8A" w:rsidRPr="0074154F" w:rsidRDefault="00525D4A" w:rsidP="00413455">
      <w:pPr>
        <w:spacing w:after="0" w:line="240" w:lineRule="auto"/>
        <w:ind w:right="-1"/>
        <w:jc w:val="both"/>
        <w:rPr>
          <w:rFonts w:ascii="Arial" w:hAnsi="Arial" w:cs="Arial"/>
          <w:sz w:val="20"/>
          <w:szCs w:val="20"/>
        </w:rPr>
      </w:pPr>
      <w:r>
        <w:rPr>
          <w:rFonts w:ascii="Arial" w:hAnsi="Arial" w:cs="Arial"/>
          <w:sz w:val="20"/>
          <w:szCs w:val="20"/>
        </w:rPr>
        <w:t>Comunicamos a los responsables de la Administración que n</w:t>
      </w:r>
      <w:r w:rsidR="003A46A3">
        <w:rPr>
          <w:rFonts w:ascii="Arial" w:hAnsi="Arial" w:cs="Arial"/>
          <w:sz w:val="20"/>
          <w:szCs w:val="20"/>
        </w:rPr>
        <w:t>uestro informe se emite exclusivamente para propósitos de uso interno de la Compañía Telconet y su Compañía Relacionada y no para ser presentado ante la Superintendencia de Compañías, Valores y Seguros (SCVS) y no podrá utilizarse para ningún otro propósito ni ser distribuido a otras partes.</w:t>
      </w:r>
    </w:p>
    <w:p w14:paraId="672F65D3" w14:textId="77777777" w:rsidR="00C05E8A" w:rsidRPr="0074154F" w:rsidRDefault="00C05E8A" w:rsidP="00413455">
      <w:pPr>
        <w:spacing w:after="0" w:line="240" w:lineRule="auto"/>
        <w:ind w:right="-1"/>
        <w:jc w:val="both"/>
        <w:rPr>
          <w:rFonts w:ascii="Arial" w:hAnsi="Arial" w:cs="Arial"/>
          <w:sz w:val="20"/>
          <w:szCs w:val="20"/>
        </w:rPr>
      </w:pPr>
    </w:p>
    <w:p w14:paraId="729AF3E8" w14:textId="77777777" w:rsidR="00E3246F" w:rsidRPr="0074154F" w:rsidRDefault="00E3246F" w:rsidP="00413455">
      <w:pPr>
        <w:spacing w:after="0" w:line="240" w:lineRule="auto"/>
        <w:ind w:right="-1"/>
        <w:jc w:val="both"/>
        <w:rPr>
          <w:rFonts w:ascii="Arial" w:hAnsi="Arial" w:cs="Arial"/>
          <w:sz w:val="20"/>
          <w:szCs w:val="20"/>
        </w:rPr>
      </w:pPr>
    </w:p>
    <w:p w14:paraId="2F37CCD7" w14:textId="77777777" w:rsidR="008A08EB" w:rsidRPr="0074154F" w:rsidRDefault="008A08EB" w:rsidP="00413455">
      <w:pPr>
        <w:tabs>
          <w:tab w:val="left" w:pos="6096"/>
        </w:tabs>
        <w:autoSpaceDE w:val="0"/>
        <w:autoSpaceDN w:val="0"/>
        <w:adjustRightInd w:val="0"/>
        <w:spacing w:after="0" w:line="240" w:lineRule="auto"/>
        <w:rPr>
          <w:rFonts w:ascii="Arial" w:hAnsi="Arial" w:cs="Arial"/>
          <w:sz w:val="20"/>
          <w:szCs w:val="20"/>
        </w:rPr>
      </w:pPr>
      <w:bookmarkStart w:id="3" w:name="_Hlk40175204"/>
      <w:r w:rsidRPr="0074154F">
        <w:rPr>
          <w:rFonts w:ascii="Arial" w:hAnsi="Arial" w:cs="Arial"/>
          <w:b/>
          <w:bCs/>
          <w:sz w:val="20"/>
          <w:szCs w:val="20"/>
        </w:rPr>
        <w:t>RUSSELL BEDFORD ECUADOR S.A.</w:t>
      </w:r>
      <w:r w:rsidRPr="0074154F">
        <w:rPr>
          <w:rFonts w:ascii="Arial" w:hAnsi="Arial" w:cs="Arial"/>
          <w:b/>
          <w:bCs/>
          <w:sz w:val="20"/>
          <w:szCs w:val="20"/>
        </w:rPr>
        <w:tab/>
        <w:t>Ramiro Pinto F.</w:t>
      </w:r>
    </w:p>
    <w:p w14:paraId="0ABA2A34" w14:textId="7C86FF3E" w:rsidR="008A08EB" w:rsidRPr="0074154F" w:rsidRDefault="008A08EB" w:rsidP="00413455">
      <w:pPr>
        <w:tabs>
          <w:tab w:val="left" w:pos="6096"/>
        </w:tabs>
        <w:autoSpaceDE w:val="0"/>
        <w:autoSpaceDN w:val="0"/>
        <w:adjustRightInd w:val="0"/>
        <w:spacing w:after="0" w:line="240" w:lineRule="auto"/>
        <w:rPr>
          <w:rFonts w:ascii="Arial" w:hAnsi="Arial" w:cs="Arial"/>
          <w:sz w:val="20"/>
          <w:szCs w:val="20"/>
        </w:rPr>
      </w:pPr>
      <w:r w:rsidRPr="0074154F">
        <w:rPr>
          <w:rFonts w:ascii="Arial" w:hAnsi="Arial" w:cs="Arial"/>
          <w:b/>
          <w:bCs/>
          <w:sz w:val="20"/>
          <w:szCs w:val="20"/>
        </w:rPr>
        <w:t>SC-RNAE No. 337</w:t>
      </w:r>
      <w:r w:rsidRPr="0074154F">
        <w:rPr>
          <w:rFonts w:ascii="Arial" w:hAnsi="Arial" w:cs="Arial"/>
          <w:sz w:val="20"/>
          <w:szCs w:val="20"/>
        </w:rPr>
        <w:tab/>
      </w:r>
      <w:r w:rsidRPr="0074154F">
        <w:rPr>
          <w:rFonts w:ascii="Arial" w:hAnsi="Arial" w:cs="Arial"/>
          <w:b/>
          <w:bCs/>
          <w:sz w:val="20"/>
          <w:szCs w:val="20"/>
        </w:rPr>
        <w:t>Socio</w:t>
      </w:r>
    </w:p>
    <w:p w14:paraId="22F1B50E" w14:textId="2FF4B297" w:rsidR="008A08EB" w:rsidRPr="0074154F" w:rsidRDefault="008A08EB" w:rsidP="00413455">
      <w:pPr>
        <w:tabs>
          <w:tab w:val="left" w:pos="6096"/>
        </w:tabs>
        <w:spacing w:after="0" w:line="240" w:lineRule="auto"/>
        <w:ind w:right="-1"/>
        <w:jc w:val="both"/>
        <w:rPr>
          <w:rFonts w:ascii="Arial" w:hAnsi="Arial" w:cs="Arial"/>
          <w:sz w:val="20"/>
          <w:szCs w:val="20"/>
        </w:rPr>
      </w:pPr>
      <w:r w:rsidRPr="0074154F">
        <w:rPr>
          <w:rFonts w:ascii="Arial" w:hAnsi="Arial" w:cs="Arial"/>
          <w:sz w:val="20"/>
          <w:szCs w:val="20"/>
        </w:rPr>
        <w:t>Guayaquil,</w:t>
      </w:r>
      <w:r w:rsidR="00BF2ABD" w:rsidRPr="0074154F">
        <w:rPr>
          <w:rFonts w:ascii="Arial" w:hAnsi="Arial" w:cs="Arial"/>
          <w:sz w:val="20"/>
          <w:szCs w:val="20"/>
        </w:rPr>
        <w:t xml:space="preserve"> </w:t>
      </w:r>
      <w:r w:rsidR="007F4908" w:rsidRPr="007F4908">
        <w:rPr>
          <w:rFonts w:ascii="Arial" w:hAnsi="Arial" w:cs="Arial"/>
          <w:sz w:val="20"/>
          <w:szCs w:val="20"/>
          <w:highlight w:val="yellow"/>
        </w:rPr>
        <w:t>25</w:t>
      </w:r>
      <w:r w:rsidR="0046273F" w:rsidRPr="0074154F">
        <w:rPr>
          <w:rFonts w:ascii="Arial" w:hAnsi="Arial" w:cs="Arial"/>
          <w:sz w:val="20"/>
          <w:szCs w:val="20"/>
        </w:rPr>
        <w:t xml:space="preserve"> de</w:t>
      </w:r>
      <w:r w:rsidR="00294A8B" w:rsidRPr="0074154F">
        <w:rPr>
          <w:rFonts w:ascii="Arial" w:hAnsi="Arial" w:cs="Arial"/>
          <w:sz w:val="20"/>
          <w:szCs w:val="20"/>
        </w:rPr>
        <w:t xml:space="preserve"> </w:t>
      </w:r>
      <w:r w:rsidR="00FF3E5B" w:rsidRPr="0074154F">
        <w:rPr>
          <w:rFonts w:ascii="Arial" w:hAnsi="Arial" w:cs="Arial"/>
          <w:sz w:val="20"/>
          <w:szCs w:val="20"/>
        </w:rPr>
        <w:t>junio</w:t>
      </w:r>
      <w:r w:rsidR="00BF2ABD" w:rsidRPr="0074154F">
        <w:rPr>
          <w:rFonts w:ascii="Arial" w:hAnsi="Arial" w:cs="Arial"/>
          <w:sz w:val="20"/>
          <w:szCs w:val="20"/>
        </w:rPr>
        <w:t xml:space="preserve"> </w:t>
      </w:r>
      <w:r w:rsidRPr="0074154F">
        <w:rPr>
          <w:rFonts w:ascii="Arial" w:hAnsi="Arial" w:cs="Arial"/>
          <w:sz w:val="20"/>
          <w:szCs w:val="20"/>
        </w:rPr>
        <w:t>del 202</w:t>
      </w:r>
      <w:r w:rsidR="0055732B" w:rsidRPr="0074154F">
        <w:rPr>
          <w:rFonts w:ascii="Arial" w:hAnsi="Arial" w:cs="Arial"/>
          <w:sz w:val="20"/>
          <w:szCs w:val="20"/>
        </w:rPr>
        <w:t>1</w:t>
      </w:r>
      <w:r w:rsidRPr="0074154F">
        <w:rPr>
          <w:rFonts w:ascii="Arial" w:hAnsi="Arial" w:cs="Arial"/>
          <w:sz w:val="20"/>
          <w:szCs w:val="20"/>
        </w:rPr>
        <w:tab/>
        <w:t>Licencia Profesional No. 17-352</w:t>
      </w:r>
      <w:bookmarkEnd w:id="3"/>
    </w:p>
    <w:p w14:paraId="08980284" w14:textId="15D1E7FE" w:rsidR="0006711B" w:rsidRDefault="0006711B" w:rsidP="00413455">
      <w:pPr>
        <w:spacing w:after="0" w:line="240" w:lineRule="auto"/>
        <w:ind w:right="-1"/>
        <w:jc w:val="both"/>
        <w:rPr>
          <w:rFonts w:ascii="Arial" w:hAnsi="Arial" w:cs="Arial"/>
          <w:sz w:val="20"/>
          <w:szCs w:val="20"/>
        </w:rPr>
      </w:pPr>
    </w:p>
    <w:p w14:paraId="30BDBC8A" w14:textId="79F6B59F" w:rsidR="00207909" w:rsidRDefault="00207909" w:rsidP="00413455">
      <w:pPr>
        <w:spacing w:after="0" w:line="240" w:lineRule="auto"/>
        <w:ind w:right="-1"/>
        <w:jc w:val="both"/>
        <w:rPr>
          <w:rFonts w:ascii="Arial" w:hAnsi="Arial" w:cs="Arial"/>
          <w:sz w:val="20"/>
          <w:szCs w:val="20"/>
        </w:rPr>
      </w:pPr>
    </w:p>
    <w:p w14:paraId="08A29D82" w14:textId="61814ABB" w:rsidR="00207909" w:rsidRDefault="00207909" w:rsidP="00413455">
      <w:pPr>
        <w:spacing w:after="0" w:line="240" w:lineRule="auto"/>
        <w:ind w:right="-1"/>
        <w:jc w:val="both"/>
        <w:rPr>
          <w:rFonts w:ascii="Arial" w:hAnsi="Arial" w:cs="Arial"/>
          <w:sz w:val="20"/>
          <w:szCs w:val="20"/>
        </w:rPr>
      </w:pPr>
    </w:p>
    <w:p w14:paraId="381CE537" w14:textId="47923D6E" w:rsidR="00207909" w:rsidRDefault="00207909" w:rsidP="00413455">
      <w:pPr>
        <w:spacing w:after="0" w:line="240" w:lineRule="auto"/>
        <w:ind w:right="-1"/>
        <w:jc w:val="both"/>
        <w:rPr>
          <w:rFonts w:ascii="Arial" w:hAnsi="Arial" w:cs="Arial"/>
          <w:sz w:val="20"/>
          <w:szCs w:val="20"/>
        </w:rPr>
      </w:pPr>
    </w:p>
    <w:p w14:paraId="504B859E" w14:textId="7C51E45F" w:rsidR="00207909" w:rsidRDefault="00207909" w:rsidP="00413455">
      <w:pPr>
        <w:spacing w:after="0" w:line="240" w:lineRule="auto"/>
        <w:ind w:right="-1"/>
        <w:jc w:val="both"/>
        <w:rPr>
          <w:rFonts w:ascii="Arial" w:hAnsi="Arial" w:cs="Arial"/>
          <w:sz w:val="20"/>
          <w:szCs w:val="20"/>
        </w:rPr>
      </w:pPr>
    </w:p>
    <w:p w14:paraId="6CB318E1" w14:textId="2DCE600F" w:rsidR="00207909" w:rsidRDefault="00207909" w:rsidP="00413455">
      <w:pPr>
        <w:spacing w:after="0" w:line="240" w:lineRule="auto"/>
        <w:ind w:right="-1"/>
        <w:jc w:val="both"/>
        <w:rPr>
          <w:rFonts w:ascii="Arial" w:hAnsi="Arial" w:cs="Arial"/>
          <w:sz w:val="20"/>
          <w:szCs w:val="20"/>
        </w:rPr>
      </w:pPr>
    </w:p>
    <w:p w14:paraId="6147DDB7" w14:textId="1D118D26" w:rsidR="00207909" w:rsidRDefault="00207909" w:rsidP="00413455">
      <w:pPr>
        <w:spacing w:after="0" w:line="240" w:lineRule="auto"/>
        <w:ind w:right="-1"/>
        <w:jc w:val="both"/>
        <w:rPr>
          <w:rFonts w:ascii="Arial" w:hAnsi="Arial" w:cs="Arial"/>
          <w:sz w:val="20"/>
          <w:szCs w:val="20"/>
        </w:rPr>
      </w:pPr>
    </w:p>
    <w:p w14:paraId="4560B236" w14:textId="29A19F6E" w:rsidR="00207909" w:rsidRDefault="00207909" w:rsidP="00413455">
      <w:pPr>
        <w:spacing w:after="0" w:line="240" w:lineRule="auto"/>
        <w:ind w:right="-1"/>
        <w:jc w:val="both"/>
        <w:rPr>
          <w:rFonts w:ascii="Arial" w:hAnsi="Arial" w:cs="Arial"/>
          <w:sz w:val="20"/>
          <w:szCs w:val="20"/>
        </w:rPr>
      </w:pPr>
    </w:p>
    <w:p w14:paraId="386E0252" w14:textId="6F5BE8F1" w:rsidR="00207909" w:rsidRDefault="00207909" w:rsidP="00413455">
      <w:pPr>
        <w:spacing w:after="0" w:line="240" w:lineRule="auto"/>
        <w:ind w:right="-1"/>
        <w:jc w:val="both"/>
        <w:rPr>
          <w:rFonts w:ascii="Arial" w:hAnsi="Arial" w:cs="Arial"/>
          <w:sz w:val="20"/>
          <w:szCs w:val="20"/>
        </w:rPr>
      </w:pPr>
    </w:p>
    <w:p w14:paraId="340447A2" w14:textId="233CE2DA" w:rsidR="00207909" w:rsidRDefault="00207909" w:rsidP="00413455">
      <w:pPr>
        <w:spacing w:after="0" w:line="240" w:lineRule="auto"/>
        <w:ind w:right="-1"/>
        <w:jc w:val="both"/>
        <w:rPr>
          <w:rFonts w:ascii="Arial" w:hAnsi="Arial" w:cs="Arial"/>
          <w:sz w:val="20"/>
          <w:szCs w:val="20"/>
        </w:rPr>
      </w:pPr>
    </w:p>
    <w:p w14:paraId="71D7863B" w14:textId="744578BF" w:rsidR="00207909" w:rsidRDefault="00207909" w:rsidP="00413455">
      <w:pPr>
        <w:spacing w:after="0" w:line="240" w:lineRule="auto"/>
        <w:ind w:right="-1"/>
        <w:jc w:val="both"/>
        <w:rPr>
          <w:rFonts w:ascii="Arial" w:hAnsi="Arial" w:cs="Arial"/>
          <w:sz w:val="20"/>
          <w:szCs w:val="20"/>
        </w:rPr>
      </w:pPr>
    </w:p>
    <w:p w14:paraId="28362635" w14:textId="40648B9B" w:rsidR="00207909" w:rsidRDefault="00207909" w:rsidP="00413455">
      <w:pPr>
        <w:spacing w:after="0" w:line="240" w:lineRule="auto"/>
        <w:ind w:right="-1"/>
        <w:jc w:val="both"/>
        <w:rPr>
          <w:rFonts w:ascii="Arial" w:hAnsi="Arial" w:cs="Arial"/>
          <w:sz w:val="20"/>
          <w:szCs w:val="20"/>
        </w:rPr>
      </w:pPr>
    </w:p>
    <w:p w14:paraId="6C4C96AB" w14:textId="513D0466" w:rsidR="00207909" w:rsidRDefault="00207909" w:rsidP="00413455">
      <w:pPr>
        <w:spacing w:after="0" w:line="240" w:lineRule="auto"/>
        <w:ind w:right="-1"/>
        <w:jc w:val="both"/>
        <w:rPr>
          <w:rFonts w:ascii="Arial" w:hAnsi="Arial" w:cs="Arial"/>
          <w:sz w:val="20"/>
          <w:szCs w:val="20"/>
        </w:rPr>
      </w:pPr>
    </w:p>
    <w:p w14:paraId="2CDE94A6" w14:textId="71F964BE" w:rsidR="00207909" w:rsidRDefault="00207909" w:rsidP="00413455">
      <w:pPr>
        <w:spacing w:after="0" w:line="240" w:lineRule="auto"/>
        <w:ind w:right="-1"/>
        <w:jc w:val="both"/>
        <w:rPr>
          <w:rFonts w:ascii="Arial" w:hAnsi="Arial" w:cs="Arial"/>
          <w:sz w:val="20"/>
          <w:szCs w:val="20"/>
        </w:rPr>
      </w:pPr>
    </w:p>
    <w:p w14:paraId="079AAEF5" w14:textId="5436B010" w:rsidR="00207909" w:rsidRDefault="00207909" w:rsidP="00413455">
      <w:pPr>
        <w:spacing w:after="0" w:line="240" w:lineRule="auto"/>
        <w:ind w:right="-1"/>
        <w:jc w:val="both"/>
        <w:rPr>
          <w:rFonts w:ascii="Arial" w:hAnsi="Arial" w:cs="Arial"/>
          <w:sz w:val="20"/>
          <w:szCs w:val="20"/>
        </w:rPr>
      </w:pPr>
    </w:p>
    <w:p w14:paraId="510D4574" w14:textId="052E65B6" w:rsidR="00207909" w:rsidRDefault="00207909" w:rsidP="00413455">
      <w:pPr>
        <w:spacing w:after="0" w:line="240" w:lineRule="auto"/>
        <w:ind w:right="-1"/>
        <w:jc w:val="both"/>
        <w:rPr>
          <w:rFonts w:ascii="Arial" w:hAnsi="Arial" w:cs="Arial"/>
          <w:sz w:val="20"/>
          <w:szCs w:val="20"/>
        </w:rPr>
      </w:pPr>
    </w:p>
    <w:p w14:paraId="6000A02D" w14:textId="130DCCDF" w:rsidR="00207909" w:rsidRDefault="00207909" w:rsidP="00413455">
      <w:pPr>
        <w:spacing w:after="0" w:line="240" w:lineRule="auto"/>
        <w:ind w:right="-1"/>
        <w:jc w:val="both"/>
        <w:rPr>
          <w:rFonts w:ascii="Arial" w:hAnsi="Arial" w:cs="Arial"/>
          <w:sz w:val="20"/>
          <w:szCs w:val="20"/>
        </w:rPr>
      </w:pPr>
    </w:p>
    <w:p w14:paraId="1379376B" w14:textId="2C4FC463" w:rsidR="00207909" w:rsidRDefault="00207909" w:rsidP="00413455">
      <w:pPr>
        <w:spacing w:after="0" w:line="240" w:lineRule="auto"/>
        <w:ind w:right="-1"/>
        <w:jc w:val="both"/>
        <w:rPr>
          <w:rFonts w:ascii="Arial" w:hAnsi="Arial" w:cs="Arial"/>
          <w:sz w:val="20"/>
          <w:szCs w:val="20"/>
        </w:rPr>
      </w:pPr>
    </w:p>
    <w:p w14:paraId="7A59B9CF" w14:textId="4BBFAFE8" w:rsidR="00444E6B" w:rsidRPr="0074154F" w:rsidRDefault="00C47EE1" w:rsidP="00F20356">
      <w:pPr>
        <w:spacing w:after="0" w:line="240" w:lineRule="auto"/>
        <w:jc w:val="center"/>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0C691C" w:rsidRPr="0074154F">
        <w:rPr>
          <w:rFonts w:ascii="Arial" w:hAnsi="Arial" w:cs="Arial"/>
          <w:b/>
          <w:sz w:val="20"/>
          <w:szCs w:val="20"/>
          <w:u w:val="single"/>
          <w:lang w:val="es-MX"/>
        </w:rPr>
        <w:t xml:space="preserve"> Y COMPAÑÍA</w:t>
      </w:r>
      <w:r w:rsidR="008B49C6">
        <w:rPr>
          <w:rFonts w:ascii="Arial" w:hAnsi="Arial" w:cs="Arial"/>
          <w:b/>
          <w:sz w:val="20"/>
          <w:szCs w:val="20"/>
          <w:u w:val="single"/>
          <w:lang w:val="es-MX"/>
        </w:rPr>
        <w:t xml:space="preserve"> RELACIONADA</w:t>
      </w:r>
    </w:p>
    <w:p w14:paraId="5F3A372E" w14:textId="77777777" w:rsidR="00444E6B" w:rsidRPr="0074154F" w:rsidRDefault="00444E6B" w:rsidP="00413455">
      <w:pPr>
        <w:spacing w:after="0" w:line="240" w:lineRule="auto"/>
        <w:ind w:right="-1"/>
        <w:jc w:val="center"/>
        <w:rPr>
          <w:rFonts w:ascii="Arial" w:hAnsi="Arial" w:cs="Arial"/>
          <w:b/>
          <w:sz w:val="20"/>
          <w:szCs w:val="20"/>
          <w:lang w:val="es-MX"/>
        </w:rPr>
      </w:pPr>
    </w:p>
    <w:p w14:paraId="5763B8A6" w14:textId="22D98925" w:rsidR="00122499" w:rsidRPr="0074154F" w:rsidRDefault="00122499" w:rsidP="00413455">
      <w:pPr>
        <w:keepNext/>
        <w:spacing w:after="0" w:line="240" w:lineRule="auto"/>
        <w:ind w:right="-1"/>
        <w:contextualSpacing/>
        <w:mirrorIndents/>
        <w:jc w:val="center"/>
        <w:outlineLvl w:val="2"/>
        <w:rPr>
          <w:rFonts w:ascii="Arial" w:hAnsi="Arial" w:cs="Arial"/>
          <w:sz w:val="20"/>
          <w:szCs w:val="20"/>
        </w:rPr>
      </w:pPr>
      <w:r w:rsidRPr="0074154F">
        <w:rPr>
          <w:rFonts w:ascii="Arial" w:hAnsi="Arial" w:cs="Arial"/>
          <w:sz w:val="20"/>
          <w:szCs w:val="20"/>
        </w:rPr>
        <w:t>Estado</w:t>
      </w:r>
      <w:r w:rsidR="00256293" w:rsidRPr="0074154F">
        <w:rPr>
          <w:rFonts w:ascii="Arial" w:hAnsi="Arial" w:cs="Arial"/>
          <w:sz w:val="20"/>
          <w:szCs w:val="20"/>
        </w:rPr>
        <w:t xml:space="preserve"> </w:t>
      </w:r>
      <w:r w:rsidR="00FF6FBF" w:rsidRPr="0074154F">
        <w:rPr>
          <w:rFonts w:ascii="Arial" w:hAnsi="Arial" w:cs="Arial"/>
          <w:sz w:val="20"/>
          <w:szCs w:val="20"/>
        </w:rPr>
        <w:t>Consolidado</w:t>
      </w:r>
      <w:r w:rsidR="00A455B3" w:rsidRPr="0074154F">
        <w:rPr>
          <w:rFonts w:ascii="Arial" w:hAnsi="Arial" w:cs="Arial"/>
          <w:sz w:val="20"/>
          <w:szCs w:val="20"/>
        </w:rPr>
        <w:t xml:space="preserve"> </w:t>
      </w:r>
      <w:r w:rsidRPr="0074154F">
        <w:rPr>
          <w:rFonts w:ascii="Arial" w:hAnsi="Arial" w:cs="Arial"/>
          <w:sz w:val="20"/>
          <w:szCs w:val="20"/>
        </w:rPr>
        <w:t>de Situación Financiera</w:t>
      </w:r>
      <w:r w:rsidRPr="0074154F">
        <w:rPr>
          <w:rFonts w:ascii="Arial" w:hAnsi="Arial" w:cs="Arial"/>
          <w:sz w:val="20"/>
          <w:szCs w:val="20"/>
        </w:rPr>
        <w:br/>
      </w:r>
      <w:r w:rsidR="00170ADE" w:rsidRPr="0074154F">
        <w:rPr>
          <w:rFonts w:ascii="Arial" w:hAnsi="Arial" w:cs="Arial"/>
          <w:sz w:val="20"/>
          <w:szCs w:val="20"/>
        </w:rPr>
        <w:t>Al 31 de diciembre del 20</w:t>
      </w:r>
      <w:r w:rsidR="0055732B" w:rsidRPr="0074154F">
        <w:rPr>
          <w:rFonts w:ascii="Arial" w:hAnsi="Arial" w:cs="Arial"/>
          <w:sz w:val="20"/>
          <w:szCs w:val="20"/>
        </w:rPr>
        <w:t>20</w:t>
      </w:r>
    </w:p>
    <w:p w14:paraId="27AFA973" w14:textId="77777777" w:rsidR="00444E6B" w:rsidRPr="0074154F" w:rsidRDefault="00444E6B"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ind w:right="-1"/>
        <w:jc w:val="center"/>
        <w:rPr>
          <w:rFonts w:ascii="Arial" w:hAnsi="Arial" w:cs="Arial"/>
          <w:lang w:val="es-EC" w:eastAsia="es-ES"/>
        </w:rPr>
      </w:pPr>
      <w:r w:rsidRPr="0074154F">
        <w:rPr>
          <w:rFonts w:ascii="Arial" w:hAnsi="Arial" w:cs="Arial"/>
          <w:lang w:val="es-EC" w:eastAsia="es-ES"/>
        </w:rPr>
        <w:t xml:space="preserve">(En dólares de los Estados Unidos de América) </w:t>
      </w:r>
    </w:p>
    <w:p w14:paraId="19045EE5" w14:textId="77777777" w:rsidR="00444E6B" w:rsidRPr="0074154F" w:rsidRDefault="00444E6B" w:rsidP="00413455">
      <w:pPr>
        <w:tabs>
          <w:tab w:val="center" w:pos="5670"/>
        </w:tabs>
        <w:spacing w:after="0" w:line="240" w:lineRule="auto"/>
        <w:ind w:right="-1"/>
        <w:jc w:val="center"/>
        <w:rPr>
          <w:rFonts w:ascii="Arial" w:hAnsi="Arial" w:cs="Arial"/>
          <w:b/>
          <w:sz w:val="20"/>
          <w:szCs w:val="20"/>
        </w:rPr>
      </w:pPr>
    </w:p>
    <w:tbl>
      <w:tblPr>
        <w:tblW w:w="9054" w:type="dxa"/>
        <w:jc w:val="right"/>
        <w:tblLayout w:type="fixed"/>
        <w:tblCellMar>
          <w:left w:w="70" w:type="dxa"/>
          <w:right w:w="70" w:type="dxa"/>
        </w:tblCellMar>
        <w:tblLook w:val="04A0" w:firstRow="1" w:lastRow="0" w:firstColumn="1" w:lastColumn="0" w:noHBand="0" w:noVBand="1"/>
      </w:tblPr>
      <w:tblGrid>
        <w:gridCol w:w="4860"/>
        <w:gridCol w:w="850"/>
        <w:gridCol w:w="170"/>
        <w:gridCol w:w="1502"/>
        <w:gridCol w:w="170"/>
        <w:gridCol w:w="1502"/>
      </w:tblGrid>
      <w:tr w:rsidR="00CA606A" w:rsidRPr="0074154F" w14:paraId="0B3CBF56" w14:textId="77777777" w:rsidTr="00580EBD">
        <w:trPr>
          <w:trHeight w:val="283"/>
          <w:jc w:val="right"/>
        </w:trPr>
        <w:tc>
          <w:tcPr>
            <w:tcW w:w="4860" w:type="dxa"/>
            <w:tcBorders>
              <w:top w:val="nil"/>
              <w:left w:val="nil"/>
              <w:bottom w:val="nil"/>
              <w:right w:val="nil"/>
            </w:tcBorders>
            <w:shd w:val="clear" w:color="auto" w:fill="auto"/>
            <w:vAlign w:val="bottom"/>
            <w:hideMark/>
          </w:tcPr>
          <w:p w14:paraId="57B940EB" w14:textId="77777777" w:rsidR="00CA606A" w:rsidRPr="0074154F" w:rsidRDefault="00CA606A" w:rsidP="00CA606A">
            <w:pPr>
              <w:spacing w:after="0" w:line="240" w:lineRule="auto"/>
              <w:ind w:left="-75"/>
              <w:rPr>
                <w:rFonts w:ascii="Arial" w:eastAsia="Times New Roman" w:hAnsi="Arial" w:cs="Arial"/>
                <w:b/>
                <w:bCs/>
                <w:color w:val="000000"/>
                <w:sz w:val="20"/>
                <w:szCs w:val="20"/>
                <w:u w:val="single"/>
                <w:lang w:val="es-MX" w:eastAsia="es-MX"/>
              </w:rPr>
            </w:pPr>
            <w:bookmarkStart w:id="4" w:name="_Hlk74573473"/>
            <w:r w:rsidRPr="0074154F">
              <w:rPr>
                <w:rFonts w:ascii="Arial" w:eastAsia="Times New Roman" w:hAnsi="Arial" w:cs="Arial"/>
                <w:b/>
                <w:bCs/>
                <w:color w:val="000000"/>
                <w:sz w:val="20"/>
                <w:szCs w:val="20"/>
                <w:u w:val="single"/>
                <w:lang w:eastAsia="es-MX"/>
              </w:rPr>
              <w:t>ACTIVOS</w:t>
            </w:r>
          </w:p>
        </w:tc>
        <w:tc>
          <w:tcPr>
            <w:tcW w:w="850" w:type="dxa"/>
            <w:tcBorders>
              <w:top w:val="nil"/>
              <w:left w:val="nil"/>
              <w:bottom w:val="single" w:sz="8" w:space="0" w:color="auto"/>
              <w:right w:val="nil"/>
            </w:tcBorders>
            <w:shd w:val="clear" w:color="auto" w:fill="auto"/>
            <w:vAlign w:val="bottom"/>
            <w:hideMark/>
          </w:tcPr>
          <w:p w14:paraId="06FD25AB" w14:textId="77777777" w:rsidR="00CA606A" w:rsidRPr="0074154F" w:rsidRDefault="00CA606A" w:rsidP="00CA606A">
            <w:pPr>
              <w:spacing w:after="0" w:line="240" w:lineRule="auto"/>
              <w:jc w:val="center"/>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NOTAS</w:t>
            </w:r>
          </w:p>
        </w:tc>
        <w:tc>
          <w:tcPr>
            <w:tcW w:w="170" w:type="dxa"/>
            <w:tcBorders>
              <w:top w:val="nil"/>
              <w:left w:val="nil"/>
              <w:bottom w:val="nil"/>
              <w:right w:val="nil"/>
            </w:tcBorders>
            <w:shd w:val="clear" w:color="auto" w:fill="auto"/>
            <w:vAlign w:val="bottom"/>
            <w:hideMark/>
          </w:tcPr>
          <w:p w14:paraId="389AB550" w14:textId="77777777" w:rsidR="00CA606A" w:rsidRPr="0074154F" w:rsidRDefault="00CA606A" w:rsidP="00CA606A">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bottom w:val="single" w:sz="8" w:space="0" w:color="auto"/>
              <w:right w:val="nil"/>
            </w:tcBorders>
            <w:shd w:val="clear" w:color="auto" w:fill="auto"/>
            <w:vAlign w:val="bottom"/>
            <w:hideMark/>
          </w:tcPr>
          <w:p w14:paraId="222A8DA3" w14:textId="1B99E477" w:rsidR="00CA606A" w:rsidRPr="0074154F" w:rsidRDefault="00CA606A" w:rsidP="00CA606A">
            <w:pPr>
              <w:spacing w:after="0" w:line="240" w:lineRule="auto"/>
              <w:ind w:right="97"/>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31/12/2020</w:t>
            </w:r>
          </w:p>
        </w:tc>
        <w:tc>
          <w:tcPr>
            <w:tcW w:w="170" w:type="dxa"/>
            <w:tcBorders>
              <w:top w:val="nil"/>
              <w:left w:val="nil"/>
              <w:bottom w:val="nil"/>
              <w:right w:val="nil"/>
            </w:tcBorders>
            <w:shd w:val="clear" w:color="auto" w:fill="auto"/>
            <w:vAlign w:val="bottom"/>
            <w:hideMark/>
          </w:tcPr>
          <w:p w14:paraId="55887C4E" w14:textId="77777777" w:rsidR="00CA606A" w:rsidRPr="0074154F" w:rsidRDefault="00CA606A" w:rsidP="00CA606A">
            <w:pPr>
              <w:spacing w:after="0" w:line="240" w:lineRule="auto"/>
              <w:ind w:right="98"/>
              <w:jc w:val="right"/>
              <w:rPr>
                <w:rFonts w:ascii="Arial" w:eastAsia="Times New Roman" w:hAnsi="Arial" w:cs="Arial"/>
                <w:b/>
                <w:bCs/>
                <w:color w:val="000000"/>
                <w:sz w:val="20"/>
                <w:szCs w:val="20"/>
                <w:lang w:val="es-MX" w:eastAsia="es-MX"/>
              </w:rPr>
            </w:pPr>
          </w:p>
        </w:tc>
        <w:tc>
          <w:tcPr>
            <w:tcW w:w="1502" w:type="dxa"/>
            <w:tcBorders>
              <w:top w:val="nil"/>
              <w:left w:val="nil"/>
              <w:bottom w:val="single" w:sz="8" w:space="0" w:color="auto"/>
              <w:right w:val="nil"/>
            </w:tcBorders>
            <w:shd w:val="clear" w:color="auto" w:fill="auto"/>
            <w:vAlign w:val="bottom"/>
            <w:hideMark/>
          </w:tcPr>
          <w:p w14:paraId="7015B139" w14:textId="206B01B4" w:rsidR="00CA606A" w:rsidRPr="0074154F" w:rsidRDefault="00CA606A" w:rsidP="00CA606A">
            <w:pPr>
              <w:spacing w:after="0" w:line="240" w:lineRule="auto"/>
              <w:ind w:right="98"/>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31/12/2019</w:t>
            </w:r>
          </w:p>
        </w:tc>
      </w:tr>
      <w:tr w:rsidR="00491BF9" w:rsidRPr="0074154F" w14:paraId="37263C91" w14:textId="77777777" w:rsidTr="00580EBD">
        <w:trPr>
          <w:trHeight w:val="283"/>
          <w:jc w:val="right"/>
        </w:trPr>
        <w:tc>
          <w:tcPr>
            <w:tcW w:w="4860" w:type="dxa"/>
            <w:tcBorders>
              <w:top w:val="nil"/>
              <w:left w:val="nil"/>
              <w:bottom w:val="nil"/>
              <w:right w:val="nil"/>
            </w:tcBorders>
            <w:shd w:val="clear" w:color="auto" w:fill="auto"/>
            <w:vAlign w:val="bottom"/>
            <w:hideMark/>
          </w:tcPr>
          <w:p w14:paraId="348501D0" w14:textId="77777777" w:rsidR="00491BF9" w:rsidRPr="0074154F" w:rsidRDefault="00491BF9" w:rsidP="00413455">
            <w:pPr>
              <w:spacing w:after="0" w:line="240" w:lineRule="auto"/>
              <w:ind w:left="-75"/>
              <w:rPr>
                <w:rFonts w:ascii="Arial" w:eastAsia="Times New Roman" w:hAnsi="Arial" w:cs="Arial"/>
                <w:b/>
                <w:bCs/>
                <w:color w:val="000000"/>
                <w:sz w:val="20"/>
                <w:szCs w:val="20"/>
                <w:u w:val="single"/>
                <w:lang w:val="es-MX" w:eastAsia="es-MX"/>
              </w:rPr>
            </w:pPr>
          </w:p>
        </w:tc>
        <w:tc>
          <w:tcPr>
            <w:tcW w:w="850" w:type="dxa"/>
            <w:tcBorders>
              <w:top w:val="single" w:sz="8" w:space="0" w:color="auto"/>
              <w:left w:val="nil"/>
              <w:bottom w:val="nil"/>
              <w:right w:val="nil"/>
            </w:tcBorders>
            <w:shd w:val="clear" w:color="auto" w:fill="auto"/>
            <w:vAlign w:val="bottom"/>
            <w:hideMark/>
          </w:tcPr>
          <w:p w14:paraId="2C962289" w14:textId="77777777" w:rsidR="00491BF9" w:rsidRPr="0074154F" w:rsidRDefault="00491BF9" w:rsidP="00413455">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16B7B22C"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bottom w:val="nil"/>
              <w:right w:val="nil"/>
            </w:tcBorders>
            <w:shd w:val="clear" w:color="auto" w:fill="auto"/>
            <w:vAlign w:val="bottom"/>
            <w:hideMark/>
          </w:tcPr>
          <w:p w14:paraId="203AF1A4"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1054E823"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bottom w:val="nil"/>
              <w:right w:val="nil"/>
            </w:tcBorders>
            <w:shd w:val="clear" w:color="auto" w:fill="auto"/>
            <w:vAlign w:val="bottom"/>
            <w:hideMark/>
          </w:tcPr>
          <w:p w14:paraId="245A4C1A" w14:textId="77777777" w:rsidR="00491BF9" w:rsidRPr="0074154F" w:rsidRDefault="00491BF9" w:rsidP="00413455">
            <w:pPr>
              <w:spacing w:after="0" w:line="240" w:lineRule="auto"/>
              <w:rPr>
                <w:rFonts w:ascii="Arial" w:eastAsia="Times New Roman" w:hAnsi="Arial" w:cs="Arial"/>
                <w:sz w:val="20"/>
                <w:szCs w:val="20"/>
                <w:lang w:val="es-MX" w:eastAsia="es-MX"/>
              </w:rPr>
            </w:pPr>
          </w:p>
        </w:tc>
      </w:tr>
      <w:tr w:rsidR="00491BF9" w:rsidRPr="0074154F" w14:paraId="08C8BC3A" w14:textId="77777777" w:rsidTr="00580EBD">
        <w:trPr>
          <w:trHeight w:val="283"/>
          <w:jc w:val="right"/>
        </w:trPr>
        <w:tc>
          <w:tcPr>
            <w:tcW w:w="4860" w:type="dxa"/>
            <w:tcBorders>
              <w:top w:val="nil"/>
              <w:left w:val="nil"/>
              <w:bottom w:val="nil"/>
              <w:right w:val="nil"/>
            </w:tcBorders>
            <w:shd w:val="clear" w:color="auto" w:fill="auto"/>
            <w:vAlign w:val="bottom"/>
            <w:hideMark/>
          </w:tcPr>
          <w:p w14:paraId="50EE4637" w14:textId="6328713C" w:rsidR="00491BF9" w:rsidRPr="0074154F" w:rsidRDefault="00491BF9" w:rsidP="00413455">
            <w:pPr>
              <w:spacing w:after="0" w:line="240" w:lineRule="auto"/>
              <w:ind w:left="-75"/>
              <w:rPr>
                <w:rFonts w:ascii="Arial" w:eastAsia="Times New Roman" w:hAnsi="Arial" w:cs="Arial"/>
                <w:b/>
                <w:color w:val="000000"/>
                <w:sz w:val="20"/>
                <w:szCs w:val="20"/>
                <w:lang w:val="es-MX" w:eastAsia="es-MX"/>
              </w:rPr>
            </w:pPr>
            <w:r w:rsidRPr="0074154F">
              <w:rPr>
                <w:rFonts w:ascii="Arial" w:eastAsia="Times New Roman" w:hAnsi="Arial" w:cs="Arial"/>
                <w:b/>
                <w:color w:val="000000"/>
                <w:sz w:val="20"/>
                <w:szCs w:val="20"/>
                <w:lang w:eastAsia="es-MX"/>
              </w:rPr>
              <w:t>ACTIVOS CORRIENTES</w:t>
            </w:r>
            <w:r w:rsidR="00491FCB" w:rsidRPr="0074154F">
              <w:rPr>
                <w:rFonts w:ascii="Arial" w:eastAsia="Times New Roman" w:hAnsi="Arial" w:cs="Arial"/>
                <w:b/>
                <w:color w:val="000000"/>
                <w:sz w:val="20"/>
                <w:szCs w:val="20"/>
                <w:lang w:eastAsia="es-MX"/>
              </w:rPr>
              <w:t>:</w:t>
            </w:r>
          </w:p>
        </w:tc>
        <w:tc>
          <w:tcPr>
            <w:tcW w:w="850" w:type="dxa"/>
            <w:tcBorders>
              <w:top w:val="nil"/>
              <w:left w:val="nil"/>
              <w:bottom w:val="nil"/>
              <w:right w:val="nil"/>
            </w:tcBorders>
            <w:shd w:val="clear" w:color="auto" w:fill="auto"/>
            <w:vAlign w:val="bottom"/>
            <w:hideMark/>
          </w:tcPr>
          <w:p w14:paraId="423098E4" w14:textId="77777777" w:rsidR="00491BF9" w:rsidRPr="0074154F" w:rsidRDefault="00491BF9" w:rsidP="00413455">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5D664701"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hideMark/>
          </w:tcPr>
          <w:p w14:paraId="37BEEBF2"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326E830C" w14:textId="77777777" w:rsidR="00491BF9" w:rsidRPr="0074154F" w:rsidRDefault="00491BF9" w:rsidP="00413455">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hideMark/>
          </w:tcPr>
          <w:p w14:paraId="54A63EEC" w14:textId="77777777" w:rsidR="00491BF9" w:rsidRPr="0074154F" w:rsidRDefault="00491BF9" w:rsidP="00413455">
            <w:pPr>
              <w:spacing w:after="0" w:line="240" w:lineRule="auto"/>
              <w:rPr>
                <w:rFonts w:ascii="Arial" w:eastAsia="Times New Roman" w:hAnsi="Arial" w:cs="Arial"/>
                <w:sz w:val="20"/>
                <w:szCs w:val="20"/>
                <w:lang w:val="es-MX" w:eastAsia="es-MX"/>
              </w:rPr>
            </w:pPr>
          </w:p>
        </w:tc>
      </w:tr>
      <w:tr w:rsidR="00BB2D4D" w:rsidRPr="0074154F" w14:paraId="60129AA3" w14:textId="77777777" w:rsidTr="00580EBD">
        <w:trPr>
          <w:trHeight w:val="283"/>
          <w:jc w:val="right"/>
        </w:trPr>
        <w:tc>
          <w:tcPr>
            <w:tcW w:w="4860" w:type="dxa"/>
            <w:tcBorders>
              <w:top w:val="nil"/>
              <w:left w:val="nil"/>
              <w:bottom w:val="nil"/>
              <w:right w:val="nil"/>
            </w:tcBorders>
            <w:shd w:val="clear" w:color="auto" w:fill="auto"/>
            <w:vAlign w:val="bottom"/>
          </w:tcPr>
          <w:p w14:paraId="17E9C468" w14:textId="77777777" w:rsidR="00BB2D4D" w:rsidRPr="0074154F" w:rsidRDefault="00BB2D4D" w:rsidP="00BB2D4D">
            <w:pPr>
              <w:spacing w:after="0" w:line="240" w:lineRule="auto"/>
              <w:ind w:left="-75"/>
              <w:rPr>
                <w:rFonts w:ascii="Arial" w:hAnsi="Arial" w:cs="Arial"/>
                <w:sz w:val="20"/>
                <w:szCs w:val="20"/>
              </w:rPr>
            </w:pPr>
            <w:r w:rsidRPr="0074154F">
              <w:rPr>
                <w:rFonts w:ascii="Arial" w:hAnsi="Arial" w:cs="Arial"/>
                <w:sz w:val="20"/>
                <w:szCs w:val="20"/>
              </w:rPr>
              <w:t>Efectivo y equivalentes de efectivo</w:t>
            </w:r>
          </w:p>
        </w:tc>
        <w:tc>
          <w:tcPr>
            <w:tcW w:w="850" w:type="dxa"/>
            <w:tcBorders>
              <w:top w:val="nil"/>
              <w:left w:val="nil"/>
              <w:bottom w:val="nil"/>
              <w:right w:val="nil"/>
            </w:tcBorders>
            <w:shd w:val="clear" w:color="auto" w:fill="auto"/>
            <w:vAlign w:val="bottom"/>
          </w:tcPr>
          <w:p w14:paraId="3EFF23D2" w14:textId="58C9B120"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3</w:t>
            </w:r>
          </w:p>
        </w:tc>
        <w:tc>
          <w:tcPr>
            <w:tcW w:w="170" w:type="dxa"/>
            <w:tcBorders>
              <w:top w:val="nil"/>
              <w:left w:val="nil"/>
              <w:bottom w:val="nil"/>
              <w:right w:val="nil"/>
            </w:tcBorders>
            <w:shd w:val="clear" w:color="auto" w:fill="auto"/>
            <w:vAlign w:val="bottom"/>
            <w:hideMark/>
          </w:tcPr>
          <w:p w14:paraId="5D0E1437" w14:textId="77777777" w:rsidR="00BB2D4D" w:rsidRPr="0074154F" w:rsidRDefault="00BB2D4D" w:rsidP="00BB2D4D">
            <w:pPr>
              <w:spacing w:after="0" w:line="240" w:lineRule="auto"/>
              <w:ind w:left="-75"/>
              <w:rPr>
                <w:rFonts w:ascii="Arial" w:hAnsi="Arial" w:cs="Arial"/>
                <w:sz w:val="20"/>
                <w:szCs w:val="20"/>
              </w:rPr>
            </w:pPr>
          </w:p>
        </w:tc>
        <w:tc>
          <w:tcPr>
            <w:tcW w:w="1502" w:type="dxa"/>
            <w:tcBorders>
              <w:top w:val="nil"/>
              <w:left w:val="nil"/>
              <w:bottom w:val="nil"/>
              <w:right w:val="nil"/>
            </w:tcBorders>
            <w:shd w:val="clear" w:color="auto" w:fill="auto"/>
            <w:vAlign w:val="bottom"/>
          </w:tcPr>
          <w:p w14:paraId="002A7586" w14:textId="1858BD38" w:rsidR="00BB2D4D" w:rsidRPr="0074154F" w:rsidRDefault="008B49C6" w:rsidP="00BB2D4D">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23,111,567</w:t>
            </w:r>
          </w:p>
        </w:tc>
        <w:tc>
          <w:tcPr>
            <w:tcW w:w="170" w:type="dxa"/>
            <w:tcBorders>
              <w:top w:val="nil"/>
              <w:left w:val="nil"/>
              <w:bottom w:val="nil"/>
              <w:right w:val="nil"/>
            </w:tcBorders>
            <w:shd w:val="clear" w:color="auto" w:fill="auto"/>
            <w:vAlign w:val="bottom"/>
          </w:tcPr>
          <w:p w14:paraId="77EB4C99" w14:textId="77777777" w:rsidR="00BB2D4D" w:rsidRPr="0074154F" w:rsidRDefault="00BB2D4D" w:rsidP="00BB2D4D">
            <w:pPr>
              <w:spacing w:after="0" w:line="240" w:lineRule="auto"/>
              <w:ind w:left="-75"/>
              <w:rPr>
                <w:rFonts w:ascii="Arial" w:hAnsi="Arial" w:cs="Arial"/>
                <w:sz w:val="20"/>
                <w:szCs w:val="20"/>
              </w:rPr>
            </w:pPr>
          </w:p>
        </w:tc>
        <w:tc>
          <w:tcPr>
            <w:tcW w:w="1502" w:type="dxa"/>
            <w:tcBorders>
              <w:top w:val="nil"/>
              <w:left w:val="nil"/>
              <w:bottom w:val="nil"/>
              <w:right w:val="nil"/>
            </w:tcBorders>
            <w:shd w:val="clear" w:color="auto" w:fill="auto"/>
            <w:vAlign w:val="bottom"/>
          </w:tcPr>
          <w:p w14:paraId="18E68F42" w14:textId="02D8AB37" w:rsidR="00BB2D4D" w:rsidRPr="0074154F" w:rsidRDefault="00F0574C" w:rsidP="00BB2D4D">
            <w:pPr>
              <w:tabs>
                <w:tab w:val="decimal" w:pos="1276"/>
              </w:tabs>
              <w:spacing w:after="0" w:line="240" w:lineRule="auto"/>
              <w:ind w:left="-75"/>
              <w:rPr>
                <w:rFonts w:ascii="Arial" w:hAnsi="Arial" w:cs="Arial"/>
                <w:sz w:val="20"/>
                <w:szCs w:val="20"/>
              </w:rPr>
            </w:pPr>
            <w:r>
              <w:rPr>
                <w:rFonts w:ascii="Arial" w:hAnsi="Arial" w:cs="Arial"/>
                <w:sz w:val="20"/>
                <w:szCs w:val="20"/>
              </w:rPr>
              <w:t>7,639,576</w:t>
            </w:r>
          </w:p>
        </w:tc>
      </w:tr>
      <w:tr w:rsidR="00BB2D4D" w:rsidRPr="0074154F" w14:paraId="3B3B9BB6" w14:textId="77777777" w:rsidTr="00580EBD">
        <w:trPr>
          <w:trHeight w:val="283"/>
          <w:jc w:val="right"/>
        </w:trPr>
        <w:tc>
          <w:tcPr>
            <w:tcW w:w="4860" w:type="dxa"/>
            <w:tcBorders>
              <w:top w:val="nil"/>
              <w:left w:val="nil"/>
              <w:bottom w:val="nil"/>
              <w:right w:val="nil"/>
            </w:tcBorders>
            <w:shd w:val="clear" w:color="auto" w:fill="auto"/>
            <w:vAlign w:val="bottom"/>
          </w:tcPr>
          <w:p w14:paraId="44C339E1" w14:textId="6F3FA81D"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 xml:space="preserve">Documentos y cuentas por cobrar </w:t>
            </w:r>
          </w:p>
        </w:tc>
        <w:tc>
          <w:tcPr>
            <w:tcW w:w="850" w:type="dxa"/>
            <w:tcBorders>
              <w:top w:val="nil"/>
              <w:left w:val="nil"/>
              <w:bottom w:val="nil"/>
              <w:right w:val="nil"/>
            </w:tcBorders>
            <w:shd w:val="clear" w:color="auto" w:fill="auto"/>
            <w:vAlign w:val="bottom"/>
          </w:tcPr>
          <w:p w14:paraId="08B43BAB" w14:textId="7678F58C"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 xml:space="preserve">4 </w:t>
            </w:r>
          </w:p>
        </w:tc>
        <w:tc>
          <w:tcPr>
            <w:tcW w:w="170" w:type="dxa"/>
            <w:tcBorders>
              <w:top w:val="nil"/>
              <w:left w:val="nil"/>
              <w:bottom w:val="nil"/>
              <w:right w:val="nil"/>
            </w:tcBorders>
            <w:shd w:val="clear" w:color="auto" w:fill="auto"/>
            <w:vAlign w:val="bottom"/>
          </w:tcPr>
          <w:p w14:paraId="0561BB1C"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1153C631" w14:textId="63372000" w:rsidR="00BB2D4D" w:rsidRPr="0074154F" w:rsidRDefault="008B49C6" w:rsidP="00BB2D4D">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49,237,005</w:t>
            </w:r>
          </w:p>
        </w:tc>
        <w:tc>
          <w:tcPr>
            <w:tcW w:w="170" w:type="dxa"/>
            <w:tcBorders>
              <w:top w:val="nil"/>
              <w:left w:val="nil"/>
              <w:right w:val="nil"/>
            </w:tcBorders>
            <w:shd w:val="clear" w:color="auto" w:fill="auto"/>
            <w:vAlign w:val="bottom"/>
          </w:tcPr>
          <w:p w14:paraId="55E6EEEF"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17693C51" w14:textId="6D98DE8A" w:rsidR="00BB2D4D" w:rsidRPr="0074154F" w:rsidRDefault="00F0574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w:t>
            </w:r>
            <w:r w:rsidR="0042385C">
              <w:rPr>
                <w:rFonts w:ascii="Arial" w:eastAsia="Times New Roman" w:hAnsi="Arial" w:cs="Arial"/>
                <w:color w:val="000000"/>
                <w:sz w:val="20"/>
                <w:szCs w:val="20"/>
                <w:lang w:val="es-MX" w:eastAsia="es-MX"/>
              </w:rPr>
              <w:t>2,002,</w:t>
            </w:r>
            <w:r w:rsidR="004C69E8">
              <w:rPr>
                <w:rFonts w:ascii="Arial" w:eastAsia="Times New Roman" w:hAnsi="Arial" w:cs="Arial"/>
                <w:color w:val="000000"/>
                <w:sz w:val="20"/>
                <w:szCs w:val="20"/>
                <w:lang w:val="es-MX" w:eastAsia="es-MX"/>
              </w:rPr>
              <w:t>578</w:t>
            </w:r>
          </w:p>
        </w:tc>
      </w:tr>
      <w:tr w:rsidR="00BB2D4D" w:rsidRPr="0074154F" w14:paraId="54500B3F" w14:textId="77777777" w:rsidTr="00580EBD">
        <w:trPr>
          <w:trHeight w:val="283"/>
          <w:jc w:val="right"/>
        </w:trPr>
        <w:tc>
          <w:tcPr>
            <w:tcW w:w="4860" w:type="dxa"/>
            <w:tcBorders>
              <w:top w:val="nil"/>
              <w:left w:val="nil"/>
              <w:bottom w:val="nil"/>
              <w:right w:val="nil"/>
            </w:tcBorders>
            <w:shd w:val="clear" w:color="auto" w:fill="auto"/>
            <w:vAlign w:val="bottom"/>
          </w:tcPr>
          <w:p w14:paraId="5D8E31CA" w14:textId="5555C8F2"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Inversiones temporales</w:t>
            </w:r>
          </w:p>
        </w:tc>
        <w:tc>
          <w:tcPr>
            <w:tcW w:w="850" w:type="dxa"/>
            <w:tcBorders>
              <w:top w:val="nil"/>
              <w:left w:val="nil"/>
              <w:bottom w:val="nil"/>
              <w:right w:val="nil"/>
            </w:tcBorders>
            <w:shd w:val="clear" w:color="auto" w:fill="auto"/>
            <w:vAlign w:val="bottom"/>
          </w:tcPr>
          <w:p w14:paraId="5FC34603" w14:textId="3E47B74C"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5</w:t>
            </w:r>
          </w:p>
        </w:tc>
        <w:tc>
          <w:tcPr>
            <w:tcW w:w="170" w:type="dxa"/>
            <w:tcBorders>
              <w:top w:val="nil"/>
              <w:left w:val="nil"/>
              <w:bottom w:val="nil"/>
              <w:right w:val="nil"/>
            </w:tcBorders>
            <w:shd w:val="clear" w:color="auto" w:fill="auto"/>
            <w:vAlign w:val="bottom"/>
          </w:tcPr>
          <w:p w14:paraId="6161D71A"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0185DD83" w14:textId="6681BC9F" w:rsidR="00BB2D4D" w:rsidRPr="0074154F" w:rsidRDefault="008B49C6" w:rsidP="00BB2D4D">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3,119,911</w:t>
            </w:r>
          </w:p>
        </w:tc>
        <w:tc>
          <w:tcPr>
            <w:tcW w:w="170" w:type="dxa"/>
            <w:tcBorders>
              <w:top w:val="nil"/>
              <w:left w:val="nil"/>
              <w:right w:val="nil"/>
            </w:tcBorders>
            <w:shd w:val="clear" w:color="auto" w:fill="auto"/>
            <w:vAlign w:val="bottom"/>
          </w:tcPr>
          <w:p w14:paraId="078F8EA2"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295F9E7E" w14:textId="56F2C0E9" w:rsidR="00BB2D4D" w:rsidRPr="0074154F" w:rsidRDefault="00F0574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3,3</w:t>
            </w:r>
            <w:r w:rsidR="0042385C">
              <w:rPr>
                <w:rFonts w:ascii="Arial" w:eastAsia="Times New Roman" w:hAnsi="Arial" w:cs="Arial"/>
                <w:color w:val="000000"/>
                <w:sz w:val="20"/>
                <w:szCs w:val="20"/>
                <w:lang w:val="es-MX" w:eastAsia="es-MX"/>
              </w:rPr>
              <w:t>58,789</w:t>
            </w:r>
          </w:p>
        </w:tc>
      </w:tr>
      <w:tr w:rsidR="00BB2D4D" w:rsidRPr="0074154F" w14:paraId="2F24A00F" w14:textId="77777777" w:rsidTr="00580EBD">
        <w:trPr>
          <w:trHeight w:val="283"/>
          <w:jc w:val="right"/>
        </w:trPr>
        <w:tc>
          <w:tcPr>
            <w:tcW w:w="4860" w:type="dxa"/>
            <w:tcBorders>
              <w:top w:val="nil"/>
              <w:left w:val="nil"/>
              <w:bottom w:val="nil"/>
              <w:right w:val="nil"/>
            </w:tcBorders>
            <w:shd w:val="clear" w:color="auto" w:fill="auto"/>
            <w:vAlign w:val="bottom"/>
          </w:tcPr>
          <w:p w14:paraId="78D15600" w14:textId="77777777" w:rsidR="00BB2D4D" w:rsidRPr="0074154F" w:rsidRDefault="00BB2D4D" w:rsidP="00BB2D4D">
            <w:pPr>
              <w:spacing w:after="0" w:line="240" w:lineRule="auto"/>
              <w:ind w:left="-75"/>
              <w:rPr>
                <w:rFonts w:ascii="Arial" w:hAnsi="Arial" w:cs="Arial"/>
                <w:sz w:val="20"/>
                <w:szCs w:val="20"/>
              </w:rPr>
            </w:pPr>
            <w:r w:rsidRPr="0074154F">
              <w:rPr>
                <w:rFonts w:ascii="Arial" w:hAnsi="Arial" w:cs="Arial"/>
                <w:sz w:val="20"/>
                <w:szCs w:val="20"/>
              </w:rPr>
              <w:t>Inventarios</w:t>
            </w:r>
          </w:p>
        </w:tc>
        <w:tc>
          <w:tcPr>
            <w:tcW w:w="850" w:type="dxa"/>
            <w:tcBorders>
              <w:top w:val="nil"/>
              <w:left w:val="nil"/>
              <w:bottom w:val="nil"/>
              <w:right w:val="nil"/>
            </w:tcBorders>
            <w:shd w:val="clear" w:color="auto" w:fill="auto"/>
            <w:vAlign w:val="bottom"/>
          </w:tcPr>
          <w:p w14:paraId="7162CEB8" w14:textId="0A9C323F"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6</w:t>
            </w:r>
          </w:p>
        </w:tc>
        <w:tc>
          <w:tcPr>
            <w:tcW w:w="170" w:type="dxa"/>
            <w:tcBorders>
              <w:top w:val="nil"/>
              <w:left w:val="nil"/>
              <w:bottom w:val="nil"/>
              <w:right w:val="nil"/>
            </w:tcBorders>
            <w:shd w:val="clear" w:color="auto" w:fill="auto"/>
            <w:vAlign w:val="bottom"/>
            <w:hideMark/>
          </w:tcPr>
          <w:p w14:paraId="76A15ABB"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2722BBBC" w14:textId="6FE83136" w:rsidR="00BB2D4D" w:rsidRPr="0074154F" w:rsidRDefault="008B49C6" w:rsidP="00BB2D4D">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28,373,524</w:t>
            </w:r>
          </w:p>
        </w:tc>
        <w:tc>
          <w:tcPr>
            <w:tcW w:w="170" w:type="dxa"/>
            <w:tcBorders>
              <w:top w:val="nil"/>
              <w:left w:val="nil"/>
              <w:right w:val="nil"/>
            </w:tcBorders>
            <w:shd w:val="clear" w:color="auto" w:fill="auto"/>
            <w:vAlign w:val="bottom"/>
          </w:tcPr>
          <w:p w14:paraId="7A88E240"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705CB1F9" w14:textId="3C7ECF88" w:rsidR="00BB2D4D" w:rsidRPr="0074154F" w:rsidRDefault="00F0574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28,594,642</w:t>
            </w:r>
          </w:p>
        </w:tc>
      </w:tr>
      <w:tr w:rsidR="00BB2D4D" w:rsidRPr="0074154F" w14:paraId="1685EA2A" w14:textId="77777777" w:rsidTr="00580EBD">
        <w:trPr>
          <w:trHeight w:val="283"/>
          <w:jc w:val="right"/>
        </w:trPr>
        <w:tc>
          <w:tcPr>
            <w:tcW w:w="4860" w:type="dxa"/>
            <w:tcBorders>
              <w:top w:val="nil"/>
              <w:left w:val="nil"/>
              <w:bottom w:val="nil"/>
              <w:right w:val="nil"/>
            </w:tcBorders>
            <w:shd w:val="clear" w:color="auto" w:fill="auto"/>
            <w:vAlign w:val="bottom"/>
          </w:tcPr>
          <w:p w14:paraId="2B1D2A01" w14:textId="77777777" w:rsidR="00BB2D4D" w:rsidRPr="0074154F" w:rsidRDefault="00BB2D4D" w:rsidP="00BB2D4D">
            <w:pPr>
              <w:spacing w:after="0" w:line="240" w:lineRule="auto"/>
              <w:ind w:left="-75"/>
              <w:rPr>
                <w:rFonts w:ascii="Arial" w:hAnsi="Arial" w:cs="Arial"/>
                <w:sz w:val="20"/>
                <w:szCs w:val="20"/>
              </w:rPr>
            </w:pPr>
            <w:r w:rsidRPr="0074154F">
              <w:rPr>
                <w:rFonts w:ascii="Arial" w:hAnsi="Arial" w:cs="Arial"/>
                <w:sz w:val="20"/>
                <w:szCs w:val="20"/>
              </w:rPr>
              <w:t>Impuestos</w:t>
            </w:r>
          </w:p>
        </w:tc>
        <w:tc>
          <w:tcPr>
            <w:tcW w:w="850" w:type="dxa"/>
            <w:tcBorders>
              <w:top w:val="nil"/>
              <w:left w:val="nil"/>
              <w:bottom w:val="nil"/>
              <w:right w:val="nil"/>
            </w:tcBorders>
            <w:shd w:val="clear" w:color="auto" w:fill="auto"/>
            <w:vAlign w:val="bottom"/>
          </w:tcPr>
          <w:p w14:paraId="132BC848" w14:textId="2D60FAF0"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hAnsi="Arial" w:cs="Arial"/>
                <w:color w:val="000000"/>
                <w:sz w:val="20"/>
                <w:szCs w:val="20"/>
              </w:rPr>
              <w:t>19</w:t>
            </w:r>
          </w:p>
        </w:tc>
        <w:tc>
          <w:tcPr>
            <w:tcW w:w="170" w:type="dxa"/>
            <w:tcBorders>
              <w:top w:val="nil"/>
              <w:left w:val="nil"/>
              <w:bottom w:val="nil"/>
              <w:right w:val="nil"/>
            </w:tcBorders>
            <w:shd w:val="clear" w:color="auto" w:fill="auto"/>
            <w:vAlign w:val="bottom"/>
          </w:tcPr>
          <w:p w14:paraId="11AF40AF"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0B513AD7" w14:textId="23299927" w:rsidR="00BB2D4D" w:rsidRPr="0074154F" w:rsidRDefault="008B49C6" w:rsidP="00BB2D4D">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1,702,817</w:t>
            </w:r>
          </w:p>
        </w:tc>
        <w:tc>
          <w:tcPr>
            <w:tcW w:w="170" w:type="dxa"/>
            <w:tcBorders>
              <w:top w:val="nil"/>
              <w:left w:val="nil"/>
              <w:right w:val="nil"/>
            </w:tcBorders>
            <w:shd w:val="clear" w:color="auto" w:fill="auto"/>
            <w:vAlign w:val="bottom"/>
          </w:tcPr>
          <w:p w14:paraId="464B0599"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4722A0F6" w14:textId="26EE1951" w:rsidR="00BB2D4D" w:rsidRPr="0074154F" w:rsidRDefault="00F0574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1,973,</w:t>
            </w:r>
            <w:r w:rsidR="004C69E8">
              <w:rPr>
                <w:rFonts w:ascii="Arial" w:eastAsia="Times New Roman" w:hAnsi="Arial" w:cs="Arial"/>
                <w:color w:val="000000"/>
                <w:sz w:val="20"/>
                <w:szCs w:val="20"/>
                <w:lang w:val="es-MX" w:eastAsia="es-MX"/>
              </w:rPr>
              <w:t>932</w:t>
            </w:r>
          </w:p>
        </w:tc>
      </w:tr>
      <w:tr w:rsidR="00BB2D4D" w:rsidRPr="0074154F" w14:paraId="5607EF9B" w14:textId="77777777" w:rsidTr="00580EBD">
        <w:trPr>
          <w:trHeight w:val="283"/>
          <w:jc w:val="right"/>
        </w:trPr>
        <w:tc>
          <w:tcPr>
            <w:tcW w:w="4860" w:type="dxa"/>
            <w:tcBorders>
              <w:top w:val="nil"/>
              <w:left w:val="nil"/>
              <w:bottom w:val="nil"/>
              <w:right w:val="nil"/>
            </w:tcBorders>
            <w:shd w:val="clear" w:color="auto" w:fill="auto"/>
            <w:vAlign w:val="bottom"/>
          </w:tcPr>
          <w:p w14:paraId="2A751D35" w14:textId="245DB02C" w:rsidR="00BB2D4D" w:rsidRPr="0074154F" w:rsidRDefault="00BB2D4D" w:rsidP="00BB2D4D">
            <w:pPr>
              <w:spacing w:after="0" w:line="240" w:lineRule="auto"/>
              <w:ind w:left="-75"/>
              <w:rPr>
                <w:rFonts w:ascii="Arial" w:hAnsi="Arial" w:cs="Arial"/>
                <w:sz w:val="20"/>
                <w:szCs w:val="20"/>
              </w:rPr>
            </w:pPr>
            <w:r w:rsidRPr="0074154F">
              <w:rPr>
                <w:rFonts w:ascii="Arial" w:hAnsi="Arial" w:cs="Arial"/>
                <w:sz w:val="20"/>
                <w:szCs w:val="20"/>
              </w:rPr>
              <w:t>Otros activos</w:t>
            </w:r>
          </w:p>
        </w:tc>
        <w:tc>
          <w:tcPr>
            <w:tcW w:w="850" w:type="dxa"/>
            <w:tcBorders>
              <w:top w:val="nil"/>
              <w:left w:val="nil"/>
              <w:bottom w:val="nil"/>
              <w:right w:val="nil"/>
            </w:tcBorders>
            <w:shd w:val="clear" w:color="auto" w:fill="auto"/>
            <w:vAlign w:val="bottom"/>
          </w:tcPr>
          <w:p w14:paraId="76061AEF" w14:textId="1802D1AC"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p>
        </w:tc>
        <w:tc>
          <w:tcPr>
            <w:tcW w:w="170" w:type="dxa"/>
            <w:tcBorders>
              <w:top w:val="nil"/>
              <w:left w:val="nil"/>
              <w:bottom w:val="nil"/>
              <w:right w:val="nil"/>
            </w:tcBorders>
            <w:shd w:val="clear" w:color="auto" w:fill="auto"/>
            <w:vAlign w:val="bottom"/>
          </w:tcPr>
          <w:p w14:paraId="63442C52"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bottom w:val="single" w:sz="4" w:space="0" w:color="auto"/>
              <w:right w:val="nil"/>
            </w:tcBorders>
            <w:shd w:val="clear" w:color="auto" w:fill="auto"/>
            <w:vAlign w:val="bottom"/>
          </w:tcPr>
          <w:p w14:paraId="49653C66" w14:textId="35B1B046" w:rsidR="00BB2D4D" w:rsidRPr="0074154F" w:rsidRDefault="008B49C6" w:rsidP="00BB2D4D">
            <w:pPr>
              <w:tabs>
                <w:tab w:val="decimal" w:pos="1120"/>
              </w:tabs>
              <w:spacing w:after="0" w:line="240" w:lineRule="auto"/>
              <w:ind w:right="101"/>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413,564</w:t>
            </w:r>
          </w:p>
        </w:tc>
        <w:tc>
          <w:tcPr>
            <w:tcW w:w="170" w:type="dxa"/>
            <w:tcBorders>
              <w:top w:val="nil"/>
              <w:left w:val="nil"/>
              <w:right w:val="nil"/>
            </w:tcBorders>
            <w:shd w:val="clear" w:color="auto" w:fill="auto"/>
            <w:vAlign w:val="bottom"/>
          </w:tcPr>
          <w:p w14:paraId="4BCB0380"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bottom w:val="single" w:sz="4" w:space="0" w:color="auto"/>
              <w:right w:val="nil"/>
            </w:tcBorders>
            <w:shd w:val="clear" w:color="auto" w:fill="auto"/>
            <w:vAlign w:val="bottom"/>
          </w:tcPr>
          <w:p w14:paraId="4652154C" w14:textId="7A29F5A9" w:rsidR="00BB2D4D" w:rsidRPr="0074154F" w:rsidRDefault="0042385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278,280</w:t>
            </w:r>
          </w:p>
        </w:tc>
      </w:tr>
      <w:tr w:rsidR="00BB2D4D" w:rsidRPr="0074154F" w14:paraId="3E8E2ACD" w14:textId="77777777" w:rsidTr="00BC45BB">
        <w:trPr>
          <w:trHeight w:val="283"/>
          <w:jc w:val="right"/>
        </w:trPr>
        <w:tc>
          <w:tcPr>
            <w:tcW w:w="4860" w:type="dxa"/>
            <w:tcBorders>
              <w:top w:val="nil"/>
              <w:left w:val="nil"/>
              <w:bottom w:val="nil"/>
              <w:right w:val="nil"/>
            </w:tcBorders>
            <w:shd w:val="clear" w:color="auto" w:fill="auto"/>
            <w:vAlign w:val="bottom"/>
          </w:tcPr>
          <w:p w14:paraId="5A7128D7" w14:textId="77777777" w:rsidR="00BB2D4D" w:rsidRPr="0074154F" w:rsidRDefault="00BB2D4D" w:rsidP="00BB2D4D">
            <w:pPr>
              <w:spacing w:after="0" w:line="240" w:lineRule="auto"/>
              <w:ind w:left="-75"/>
              <w:rPr>
                <w:rFonts w:ascii="Arial" w:hAnsi="Arial" w:cs="Arial"/>
                <w:sz w:val="20"/>
                <w:szCs w:val="20"/>
              </w:rPr>
            </w:pPr>
          </w:p>
        </w:tc>
        <w:tc>
          <w:tcPr>
            <w:tcW w:w="850" w:type="dxa"/>
            <w:tcBorders>
              <w:top w:val="nil"/>
              <w:left w:val="nil"/>
              <w:bottom w:val="nil"/>
              <w:right w:val="nil"/>
            </w:tcBorders>
            <w:shd w:val="clear" w:color="auto" w:fill="auto"/>
            <w:vAlign w:val="bottom"/>
          </w:tcPr>
          <w:p w14:paraId="14AC9A17" w14:textId="7777777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p>
        </w:tc>
        <w:tc>
          <w:tcPr>
            <w:tcW w:w="170" w:type="dxa"/>
            <w:tcBorders>
              <w:top w:val="nil"/>
              <w:left w:val="nil"/>
              <w:bottom w:val="nil"/>
              <w:right w:val="nil"/>
            </w:tcBorders>
            <w:shd w:val="clear" w:color="auto" w:fill="auto"/>
            <w:vAlign w:val="bottom"/>
          </w:tcPr>
          <w:p w14:paraId="3CA032E1"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single" w:sz="4" w:space="0" w:color="auto"/>
              <w:left w:val="nil"/>
              <w:right w:val="nil"/>
            </w:tcBorders>
            <w:shd w:val="clear" w:color="auto" w:fill="auto"/>
            <w:vAlign w:val="bottom"/>
          </w:tcPr>
          <w:p w14:paraId="68CCC95D" w14:textId="3FB11788" w:rsidR="00BB2D4D" w:rsidRPr="0074154F" w:rsidRDefault="00BB2D4D" w:rsidP="00BB2D4D">
            <w:pPr>
              <w:tabs>
                <w:tab w:val="decimal" w:pos="1276"/>
              </w:tabs>
              <w:spacing w:after="0" w:line="240" w:lineRule="auto"/>
              <w:ind w:right="101"/>
              <w:jc w:val="right"/>
              <w:rPr>
                <w:rFonts w:ascii="Arial" w:eastAsia="Times New Roman" w:hAnsi="Arial" w:cs="Arial"/>
                <w:color w:val="000000"/>
                <w:sz w:val="20"/>
                <w:szCs w:val="20"/>
                <w:lang w:val="es-MX" w:eastAsia="es-MX"/>
              </w:rPr>
            </w:pPr>
          </w:p>
        </w:tc>
        <w:tc>
          <w:tcPr>
            <w:tcW w:w="170" w:type="dxa"/>
            <w:tcBorders>
              <w:top w:val="nil"/>
              <w:left w:val="nil"/>
              <w:right w:val="nil"/>
            </w:tcBorders>
            <w:shd w:val="clear" w:color="auto" w:fill="auto"/>
            <w:vAlign w:val="bottom"/>
          </w:tcPr>
          <w:p w14:paraId="1355D6A5"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single" w:sz="4" w:space="0" w:color="auto"/>
              <w:left w:val="nil"/>
              <w:right w:val="nil"/>
            </w:tcBorders>
            <w:shd w:val="clear" w:color="auto" w:fill="auto"/>
            <w:vAlign w:val="bottom"/>
          </w:tcPr>
          <w:p w14:paraId="5F1833F5" w14:textId="77777777"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r>
      <w:tr w:rsidR="00BB2D4D" w:rsidRPr="0074154F" w14:paraId="3AC90231" w14:textId="77777777" w:rsidTr="00BC45BB">
        <w:trPr>
          <w:trHeight w:val="283"/>
          <w:jc w:val="right"/>
        </w:trPr>
        <w:tc>
          <w:tcPr>
            <w:tcW w:w="4860" w:type="dxa"/>
            <w:tcBorders>
              <w:top w:val="nil"/>
              <w:left w:val="nil"/>
              <w:bottom w:val="nil"/>
              <w:right w:val="nil"/>
            </w:tcBorders>
            <w:shd w:val="clear" w:color="auto" w:fill="auto"/>
            <w:vAlign w:val="bottom"/>
          </w:tcPr>
          <w:p w14:paraId="097FF5D6" w14:textId="17D30BE4"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proofErr w:type="gramStart"/>
            <w:r w:rsidRPr="0074154F">
              <w:rPr>
                <w:rFonts w:ascii="Arial" w:eastAsia="Times New Roman" w:hAnsi="Arial" w:cs="Arial"/>
                <w:color w:val="000000"/>
                <w:sz w:val="20"/>
                <w:szCs w:val="20"/>
                <w:lang w:val="es-MX" w:eastAsia="es-MX"/>
              </w:rPr>
              <w:t>Total</w:t>
            </w:r>
            <w:proofErr w:type="gramEnd"/>
            <w:r w:rsidRPr="0074154F">
              <w:rPr>
                <w:rFonts w:ascii="Arial" w:eastAsia="Times New Roman" w:hAnsi="Arial" w:cs="Arial"/>
                <w:color w:val="000000"/>
                <w:sz w:val="20"/>
                <w:szCs w:val="20"/>
                <w:lang w:val="es-MX" w:eastAsia="es-MX"/>
              </w:rPr>
              <w:t xml:space="preserve"> activos corrientes</w:t>
            </w:r>
          </w:p>
        </w:tc>
        <w:tc>
          <w:tcPr>
            <w:tcW w:w="850" w:type="dxa"/>
            <w:tcBorders>
              <w:top w:val="nil"/>
              <w:left w:val="nil"/>
              <w:bottom w:val="nil"/>
              <w:right w:val="nil"/>
            </w:tcBorders>
            <w:shd w:val="clear" w:color="auto" w:fill="auto"/>
            <w:vAlign w:val="bottom"/>
          </w:tcPr>
          <w:p w14:paraId="5A2B2A47" w14:textId="77777777" w:rsidR="00BB2D4D" w:rsidRPr="0074154F" w:rsidRDefault="00BB2D4D" w:rsidP="00BB2D4D">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4501D716"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left w:val="nil"/>
              <w:bottom w:val="single" w:sz="8" w:space="0" w:color="auto"/>
              <w:right w:val="nil"/>
            </w:tcBorders>
            <w:shd w:val="clear" w:color="auto" w:fill="auto"/>
            <w:vAlign w:val="bottom"/>
          </w:tcPr>
          <w:p w14:paraId="72A5330B" w14:textId="73466B8F" w:rsidR="00BB2D4D" w:rsidRPr="0074154F" w:rsidRDefault="00F0574C" w:rsidP="00BB2D4D">
            <w:pPr>
              <w:tabs>
                <w:tab w:val="decimal" w:pos="1276"/>
              </w:tabs>
              <w:spacing w:after="0" w:line="240" w:lineRule="auto"/>
              <w:ind w:right="101"/>
              <w:jc w:val="right"/>
              <w:rPr>
                <w:rFonts w:ascii="Arial" w:hAnsi="Arial" w:cs="Arial"/>
                <w:sz w:val="20"/>
                <w:szCs w:val="20"/>
              </w:rPr>
            </w:pPr>
            <w:r>
              <w:rPr>
                <w:rFonts w:ascii="Arial" w:hAnsi="Arial" w:cs="Arial"/>
                <w:sz w:val="20"/>
                <w:szCs w:val="20"/>
              </w:rPr>
              <w:t>105,958,388</w:t>
            </w:r>
          </w:p>
        </w:tc>
        <w:tc>
          <w:tcPr>
            <w:tcW w:w="170" w:type="dxa"/>
            <w:tcBorders>
              <w:left w:val="nil"/>
              <w:right w:val="nil"/>
            </w:tcBorders>
            <w:shd w:val="clear" w:color="auto" w:fill="auto"/>
            <w:vAlign w:val="bottom"/>
          </w:tcPr>
          <w:p w14:paraId="46A414D9"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left w:val="nil"/>
              <w:bottom w:val="single" w:sz="8" w:space="0" w:color="auto"/>
              <w:right w:val="nil"/>
            </w:tcBorders>
            <w:shd w:val="clear" w:color="auto" w:fill="auto"/>
            <w:vAlign w:val="bottom"/>
          </w:tcPr>
          <w:p w14:paraId="1FC09962" w14:textId="3B1DC032" w:rsidR="00BB2D4D" w:rsidRPr="0074154F" w:rsidRDefault="00F0574C" w:rsidP="00BB2D4D">
            <w:pPr>
              <w:tabs>
                <w:tab w:val="decimal" w:pos="1276"/>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9</w:t>
            </w:r>
            <w:r w:rsidR="0042385C">
              <w:rPr>
                <w:rFonts w:ascii="Arial" w:eastAsia="Times New Roman" w:hAnsi="Arial" w:cs="Arial"/>
                <w:sz w:val="20"/>
                <w:szCs w:val="20"/>
                <w:lang w:val="es-MX" w:eastAsia="es-MX"/>
              </w:rPr>
              <w:t>3</w:t>
            </w:r>
            <w:r>
              <w:rPr>
                <w:rFonts w:ascii="Arial" w:eastAsia="Times New Roman" w:hAnsi="Arial" w:cs="Arial"/>
                <w:sz w:val="20"/>
                <w:szCs w:val="20"/>
                <w:lang w:val="es-MX" w:eastAsia="es-MX"/>
              </w:rPr>
              <w:t>,</w:t>
            </w:r>
            <w:r w:rsidR="0042385C">
              <w:rPr>
                <w:rFonts w:ascii="Arial" w:eastAsia="Times New Roman" w:hAnsi="Arial" w:cs="Arial"/>
                <w:sz w:val="20"/>
                <w:szCs w:val="20"/>
                <w:lang w:val="es-MX" w:eastAsia="es-MX"/>
              </w:rPr>
              <w:t>847,797</w:t>
            </w:r>
          </w:p>
        </w:tc>
      </w:tr>
      <w:tr w:rsidR="00BB2D4D" w:rsidRPr="0074154F" w14:paraId="0251AF15" w14:textId="77777777" w:rsidTr="00BC45BB">
        <w:trPr>
          <w:trHeight w:val="283"/>
          <w:jc w:val="right"/>
        </w:trPr>
        <w:tc>
          <w:tcPr>
            <w:tcW w:w="4860" w:type="dxa"/>
            <w:tcBorders>
              <w:top w:val="nil"/>
              <w:left w:val="nil"/>
              <w:bottom w:val="nil"/>
              <w:right w:val="nil"/>
            </w:tcBorders>
            <w:shd w:val="clear" w:color="auto" w:fill="auto"/>
            <w:vAlign w:val="bottom"/>
          </w:tcPr>
          <w:p w14:paraId="4C65F77A" w14:textId="263EA67C"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p>
        </w:tc>
        <w:tc>
          <w:tcPr>
            <w:tcW w:w="850" w:type="dxa"/>
            <w:tcBorders>
              <w:top w:val="nil"/>
              <w:left w:val="nil"/>
              <w:bottom w:val="nil"/>
              <w:right w:val="nil"/>
            </w:tcBorders>
            <w:shd w:val="clear" w:color="auto" w:fill="auto"/>
            <w:vAlign w:val="bottom"/>
          </w:tcPr>
          <w:p w14:paraId="23A3FF5E" w14:textId="64F50145" w:rsidR="00BB2D4D" w:rsidRPr="0074154F" w:rsidRDefault="00BB2D4D" w:rsidP="00BB2D4D">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658875EA"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bottom w:val="nil"/>
              <w:right w:val="nil"/>
            </w:tcBorders>
            <w:shd w:val="clear" w:color="auto" w:fill="auto"/>
            <w:vAlign w:val="bottom"/>
          </w:tcPr>
          <w:p w14:paraId="3F2077C3" w14:textId="7D7DFA37"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c>
          <w:tcPr>
            <w:tcW w:w="170" w:type="dxa"/>
            <w:tcBorders>
              <w:left w:val="nil"/>
              <w:bottom w:val="nil"/>
              <w:right w:val="nil"/>
            </w:tcBorders>
            <w:shd w:val="clear" w:color="auto" w:fill="auto"/>
            <w:vAlign w:val="bottom"/>
          </w:tcPr>
          <w:p w14:paraId="5B9F40F1"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single" w:sz="8" w:space="0" w:color="auto"/>
              <w:left w:val="nil"/>
              <w:bottom w:val="nil"/>
              <w:right w:val="nil"/>
            </w:tcBorders>
            <w:shd w:val="clear" w:color="auto" w:fill="auto"/>
            <w:vAlign w:val="bottom"/>
          </w:tcPr>
          <w:p w14:paraId="078B33DF" w14:textId="6ABA05D0"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r>
      <w:tr w:rsidR="00BB2D4D" w:rsidRPr="0074154F" w14:paraId="7A3049CD" w14:textId="77777777" w:rsidTr="00580EBD">
        <w:trPr>
          <w:trHeight w:val="283"/>
          <w:jc w:val="right"/>
        </w:trPr>
        <w:tc>
          <w:tcPr>
            <w:tcW w:w="4860" w:type="dxa"/>
            <w:tcBorders>
              <w:top w:val="nil"/>
              <w:left w:val="nil"/>
              <w:bottom w:val="nil"/>
              <w:right w:val="nil"/>
            </w:tcBorders>
            <w:shd w:val="clear" w:color="auto" w:fill="auto"/>
            <w:vAlign w:val="bottom"/>
          </w:tcPr>
          <w:p w14:paraId="12B66D88" w14:textId="218CF01A" w:rsidR="00BB2D4D" w:rsidRPr="0074154F" w:rsidRDefault="00BB2D4D" w:rsidP="00BB2D4D">
            <w:pPr>
              <w:spacing w:after="0" w:line="240" w:lineRule="auto"/>
              <w:ind w:left="-75"/>
              <w:rPr>
                <w:rFonts w:ascii="Arial" w:eastAsia="Times New Roman" w:hAnsi="Arial" w:cs="Arial"/>
                <w:b/>
                <w:color w:val="000000"/>
                <w:sz w:val="20"/>
                <w:szCs w:val="20"/>
                <w:lang w:val="es-MX" w:eastAsia="es-MX"/>
              </w:rPr>
            </w:pPr>
            <w:r w:rsidRPr="0074154F">
              <w:rPr>
                <w:rFonts w:ascii="Arial" w:eastAsia="Times New Roman" w:hAnsi="Arial" w:cs="Arial"/>
                <w:b/>
                <w:color w:val="000000"/>
                <w:sz w:val="20"/>
                <w:szCs w:val="20"/>
                <w:lang w:val="es-MX" w:eastAsia="es-MX"/>
              </w:rPr>
              <w:t>ACTIVOS NO CORRIENTES:</w:t>
            </w:r>
          </w:p>
        </w:tc>
        <w:tc>
          <w:tcPr>
            <w:tcW w:w="850" w:type="dxa"/>
            <w:tcBorders>
              <w:top w:val="nil"/>
              <w:left w:val="nil"/>
              <w:bottom w:val="nil"/>
              <w:right w:val="nil"/>
            </w:tcBorders>
            <w:shd w:val="clear" w:color="auto" w:fill="auto"/>
            <w:vAlign w:val="bottom"/>
          </w:tcPr>
          <w:p w14:paraId="133E5000" w14:textId="77777777" w:rsidR="00BB2D4D" w:rsidRPr="0074154F" w:rsidRDefault="00BB2D4D" w:rsidP="00BB2D4D">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hideMark/>
          </w:tcPr>
          <w:p w14:paraId="588FDC5A"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tcPr>
          <w:p w14:paraId="2205460F" w14:textId="77777777" w:rsidR="00BB2D4D" w:rsidRPr="0074154F" w:rsidRDefault="00BB2D4D" w:rsidP="00BB2D4D">
            <w:pPr>
              <w:tabs>
                <w:tab w:val="decimal" w:pos="1276"/>
              </w:tabs>
              <w:spacing w:after="0" w:line="240" w:lineRule="auto"/>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3F5D6D5D"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tcPr>
          <w:p w14:paraId="7E39604C" w14:textId="77777777" w:rsidR="00BB2D4D" w:rsidRPr="0074154F" w:rsidRDefault="00BB2D4D" w:rsidP="00BB2D4D">
            <w:pPr>
              <w:tabs>
                <w:tab w:val="decimal" w:pos="1276"/>
              </w:tabs>
              <w:spacing w:after="0" w:line="240" w:lineRule="auto"/>
              <w:rPr>
                <w:rFonts w:ascii="Arial" w:eastAsia="Times New Roman" w:hAnsi="Arial" w:cs="Arial"/>
                <w:sz w:val="20"/>
                <w:szCs w:val="20"/>
                <w:lang w:val="es-MX" w:eastAsia="es-MX"/>
              </w:rPr>
            </w:pPr>
          </w:p>
        </w:tc>
      </w:tr>
      <w:tr w:rsidR="00BB2D4D" w:rsidRPr="0074154F" w14:paraId="27071486" w14:textId="77777777" w:rsidTr="00580EBD">
        <w:trPr>
          <w:trHeight w:val="283"/>
          <w:jc w:val="right"/>
        </w:trPr>
        <w:tc>
          <w:tcPr>
            <w:tcW w:w="4860" w:type="dxa"/>
            <w:tcBorders>
              <w:top w:val="nil"/>
              <w:left w:val="nil"/>
              <w:bottom w:val="nil"/>
              <w:right w:val="nil"/>
            </w:tcBorders>
            <w:shd w:val="clear" w:color="auto" w:fill="auto"/>
            <w:vAlign w:val="bottom"/>
          </w:tcPr>
          <w:p w14:paraId="6EF184ED" w14:textId="732B2E65"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Activos por derecho de uso</w:t>
            </w:r>
          </w:p>
        </w:tc>
        <w:tc>
          <w:tcPr>
            <w:tcW w:w="850" w:type="dxa"/>
            <w:tcBorders>
              <w:top w:val="nil"/>
              <w:left w:val="nil"/>
              <w:bottom w:val="nil"/>
              <w:right w:val="nil"/>
            </w:tcBorders>
            <w:shd w:val="clear" w:color="auto" w:fill="auto"/>
            <w:vAlign w:val="bottom"/>
          </w:tcPr>
          <w:p w14:paraId="42857D05" w14:textId="31BEEC1D"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7</w:t>
            </w:r>
          </w:p>
        </w:tc>
        <w:tc>
          <w:tcPr>
            <w:tcW w:w="170" w:type="dxa"/>
            <w:tcBorders>
              <w:top w:val="nil"/>
              <w:left w:val="nil"/>
              <w:bottom w:val="nil"/>
              <w:right w:val="nil"/>
            </w:tcBorders>
            <w:shd w:val="clear" w:color="auto" w:fill="auto"/>
            <w:vAlign w:val="bottom"/>
          </w:tcPr>
          <w:p w14:paraId="161A0BA6"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003DA930" w14:textId="05D0DAF0" w:rsidR="00BB2D4D" w:rsidRPr="0074154F" w:rsidRDefault="0042385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5,786,290</w:t>
            </w:r>
          </w:p>
        </w:tc>
        <w:tc>
          <w:tcPr>
            <w:tcW w:w="170" w:type="dxa"/>
            <w:tcBorders>
              <w:top w:val="nil"/>
              <w:left w:val="nil"/>
              <w:right w:val="nil"/>
            </w:tcBorders>
            <w:shd w:val="clear" w:color="auto" w:fill="auto"/>
            <w:vAlign w:val="bottom"/>
          </w:tcPr>
          <w:p w14:paraId="58904DA9"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33002137" w14:textId="4A3A1DC3" w:rsidR="00BB2D4D" w:rsidRPr="0074154F" w:rsidRDefault="00EC017D"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5,624,251</w:t>
            </w:r>
          </w:p>
        </w:tc>
      </w:tr>
      <w:tr w:rsidR="00BB2D4D" w:rsidRPr="0074154F" w14:paraId="7533F2DF" w14:textId="77777777" w:rsidTr="00580EBD">
        <w:trPr>
          <w:trHeight w:val="283"/>
          <w:jc w:val="right"/>
        </w:trPr>
        <w:tc>
          <w:tcPr>
            <w:tcW w:w="4860" w:type="dxa"/>
            <w:tcBorders>
              <w:top w:val="nil"/>
              <w:left w:val="nil"/>
              <w:bottom w:val="nil"/>
              <w:right w:val="nil"/>
            </w:tcBorders>
            <w:shd w:val="clear" w:color="auto" w:fill="auto"/>
            <w:vAlign w:val="bottom"/>
          </w:tcPr>
          <w:p w14:paraId="7EAB6EAE" w14:textId="5114A0C2"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Impuestos diferidos</w:t>
            </w:r>
          </w:p>
        </w:tc>
        <w:tc>
          <w:tcPr>
            <w:tcW w:w="850" w:type="dxa"/>
            <w:tcBorders>
              <w:top w:val="nil"/>
              <w:left w:val="nil"/>
              <w:bottom w:val="nil"/>
              <w:right w:val="nil"/>
            </w:tcBorders>
            <w:shd w:val="clear" w:color="auto" w:fill="auto"/>
            <w:vAlign w:val="bottom"/>
          </w:tcPr>
          <w:p w14:paraId="11C206B8" w14:textId="1F68018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19</w:t>
            </w:r>
          </w:p>
        </w:tc>
        <w:tc>
          <w:tcPr>
            <w:tcW w:w="170" w:type="dxa"/>
            <w:tcBorders>
              <w:top w:val="nil"/>
              <w:left w:val="nil"/>
              <w:bottom w:val="nil"/>
              <w:right w:val="nil"/>
            </w:tcBorders>
            <w:shd w:val="clear" w:color="auto" w:fill="auto"/>
            <w:vAlign w:val="bottom"/>
          </w:tcPr>
          <w:p w14:paraId="5B887DE9"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1E532EE9" w14:textId="4AF637E1" w:rsidR="00BB2D4D" w:rsidRPr="0074154F" w:rsidRDefault="0042385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5,133,423</w:t>
            </w:r>
          </w:p>
        </w:tc>
        <w:tc>
          <w:tcPr>
            <w:tcW w:w="170" w:type="dxa"/>
            <w:tcBorders>
              <w:top w:val="nil"/>
              <w:left w:val="nil"/>
              <w:right w:val="nil"/>
            </w:tcBorders>
            <w:shd w:val="clear" w:color="auto" w:fill="auto"/>
            <w:vAlign w:val="bottom"/>
          </w:tcPr>
          <w:p w14:paraId="783B5D42"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1875AB29" w14:textId="5EC96AC1" w:rsidR="00BB2D4D" w:rsidRPr="0074154F" w:rsidRDefault="000A44FF"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3,561,499</w:t>
            </w:r>
          </w:p>
        </w:tc>
      </w:tr>
      <w:tr w:rsidR="00BB2D4D" w:rsidRPr="0074154F" w14:paraId="0C323348" w14:textId="77777777" w:rsidTr="00580EBD">
        <w:trPr>
          <w:trHeight w:val="283"/>
          <w:jc w:val="right"/>
        </w:trPr>
        <w:tc>
          <w:tcPr>
            <w:tcW w:w="4860" w:type="dxa"/>
            <w:tcBorders>
              <w:top w:val="nil"/>
              <w:left w:val="nil"/>
              <w:bottom w:val="nil"/>
              <w:right w:val="nil"/>
            </w:tcBorders>
            <w:shd w:val="clear" w:color="auto" w:fill="auto"/>
            <w:vAlign w:val="bottom"/>
          </w:tcPr>
          <w:p w14:paraId="784FC59E" w14:textId="14E6081C"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Cuentas por cobrar largo plazo</w:t>
            </w:r>
          </w:p>
        </w:tc>
        <w:tc>
          <w:tcPr>
            <w:tcW w:w="850" w:type="dxa"/>
            <w:tcBorders>
              <w:top w:val="nil"/>
              <w:left w:val="nil"/>
              <w:bottom w:val="nil"/>
              <w:right w:val="nil"/>
            </w:tcBorders>
            <w:shd w:val="clear" w:color="auto" w:fill="auto"/>
            <w:vAlign w:val="bottom"/>
          </w:tcPr>
          <w:p w14:paraId="275D3D07" w14:textId="70B3A2FB"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4</w:t>
            </w:r>
          </w:p>
        </w:tc>
        <w:tc>
          <w:tcPr>
            <w:tcW w:w="170" w:type="dxa"/>
            <w:tcBorders>
              <w:top w:val="nil"/>
              <w:left w:val="nil"/>
              <w:bottom w:val="nil"/>
              <w:right w:val="nil"/>
            </w:tcBorders>
            <w:shd w:val="clear" w:color="auto" w:fill="auto"/>
            <w:vAlign w:val="bottom"/>
          </w:tcPr>
          <w:p w14:paraId="3EFB0E7C"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406775D3" w14:textId="57F53412" w:rsidR="00BB2D4D" w:rsidRPr="0074154F" w:rsidRDefault="0042385C"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6,718,699</w:t>
            </w:r>
          </w:p>
        </w:tc>
        <w:tc>
          <w:tcPr>
            <w:tcW w:w="170" w:type="dxa"/>
            <w:tcBorders>
              <w:top w:val="nil"/>
              <w:left w:val="nil"/>
              <w:right w:val="nil"/>
            </w:tcBorders>
            <w:shd w:val="clear" w:color="auto" w:fill="auto"/>
            <w:vAlign w:val="bottom"/>
          </w:tcPr>
          <w:p w14:paraId="5C200421"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534B5615" w14:textId="01D01E89"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8,112,188</w:t>
            </w:r>
          </w:p>
        </w:tc>
      </w:tr>
      <w:tr w:rsidR="00BB2D4D" w:rsidRPr="0074154F" w14:paraId="613FFBF4" w14:textId="77777777" w:rsidTr="00580EBD">
        <w:trPr>
          <w:trHeight w:val="283"/>
          <w:jc w:val="right"/>
        </w:trPr>
        <w:tc>
          <w:tcPr>
            <w:tcW w:w="4860" w:type="dxa"/>
            <w:tcBorders>
              <w:top w:val="nil"/>
              <w:left w:val="nil"/>
              <w:bottom w:val="nil"/>
              <w:right w:val="nil"/>
            </w:tcBorders>
            <w:shd w:val="clear" w:color="auto" w:fill="auto"/>
            <w:vAlign w:val="bottom"/>
          </w:tcPr>
          <w:p w14:paraId="55686C70" w14:textId="4B54DDBE"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Inversiones en subsidiarias y asociadas</w:t>
            </w:r>
          </w:p>
        </w:tc>
        <w:tc>
          <w:tcPr>
            <w:tcW w:w="850" w:type="dxa"/>
            <w:tcBorders>
              <w:top w:val="nil"/>
              <w:left w:val="nil"/>
              <w:bottom w:val="nil"/>
              <w:right w:val="nil"/>
            </w:tcBorders>
            <w:shd w:val="clear" w:color="auto" w:fill="auto"/>
            <w:vAlign w:val="bottom"/>
          </w:tcPr>
          <w:p w14:paraId="2214DF5A" w14:textId="5B21357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8</w:t>
            </w:r>
          </w:p>
        </w:tc>
        <w:tc>
          <w:tcPr>
            <w:tcW w:w="170" w:type="dxa"/>
            <w:tcBorders>
              <w:top w:val="nil"/>
              <w:left w:val="nil"/>
              <w:bottom w:val="nil"/>
              <w:right w:val="nil"/>
            </w:tcBorders>
            <w:shd w:val="clear" w:color="auto" w:fill="auto"/>
            <w:vAlign w:val="bottom"/>
          </w:tcPr>
          <w:p w14:paraId="15C9514C"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67407CAA" w14:textId="5AB24979"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42,165,207</w:t>
            </w:r>
          </w:p>
        </w:tc>
        <w:tc>
          <w:tcPr>
            <w:tcW w:w="170" w:type="dxa"/>
            <w:tcBorders>
              <w:top w:val="nil"/>
              <w:left w:val="nil"/>
              <w:right w:val="nil"/>
            </w:tcBorders>
            <w:shd w:val="clear" w:color="auto" w:fill="auto"/>
            <w:vAlign w:val="bottom"/>
          </w:tcPr>
          <w:p w14:paraId="2FFB7E78"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5E2F8CF8" w14:textId="3F86BDF7" w:rsidR="00BB2D4D" w:rsidRPr="0074154F" w:rsidRDefault="000A44FF"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39,018,371</w:t>
            </w:r>
          </w:p>
        </w:tc>
      </w:tr>
      <w:tr w:rsidR="00BB2D4D" w:rsidRPr="0074154F" w14:paraId="261C0703" w14:textId="77777777" w:rsidTr="008A6601">
        <w:trPr>
          <w:trHeight w:val="283"/>
          <w:jc w:val="right"/>
        </w:trPr>
        <w:tc>
          <w:tcPr>
            <w:tcW w:w="4860" w:type="dxa"/>
            <w:tcBorders>
              <w:top w:val="nil"/>
              <w:left w:val="nil"/>
              <w:bottom w:val="nil"/>
              <w:right w:val="nil"/>
            </w:tcBorders>
            <w:shd w:val="clear" w:color="auto" w:fill="auto"/>
            <w:vAlign w:val="bottom"/>
          </w:tcPr>
          <w:p w14:paraId="298C49F7" w14:textId="384772DC"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Propiedades de inversión</w:t>
            </w:r>
          </w:p>
        </w:tc>
        <w:tc>
          <w:tcPr>
            <w:tcW w:w="850" w:type="dxa"/>
            <w:tcBorders>
              <w:top w:val="nil"/>
              <w:left w:val="nil"/>
              <w:bottom w:val="nil"/>
              <w:right w:val="nil"/>
            </w:tcBorders>
            <w:shd w:val="clear" w:color="auto" w:fill="auto"/>
            <w:vAlign w:val="bottom"/>
          </w:tcPr>
          <w:p w14:paraId="08AB68A6" w14:textId="2085072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9</w:t>
            </w:r>
          </w:p>
        </w:tc>
        <w:tc>
          <w:tcPr>
            <w:tcW w:w="170" w:type="dxa"/>
            <w:tcBorders>
              <w:top w:val="nil"/>
              <w:left w:val="nil"/>
              <w:bottom w:val="nil"/>
              <w:right w:val="nil"/>
            </w:tcBorders>
            <w:shd w:val="clear" w:color="auto" w:fill="auto"/>
            <w:vAlign w:val="bottom"/>
          </w:tcPr>
          <w:p w14:paraId="32DA6320"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7F198CA7" w14:textId="1138F66D"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545,591</w:t>
            </w:r>
          </w:p>
        </w:tc>
        <w:tc>
          <w:tcPr>
            <w:tcW w:w="170" w:type="dxa"/>
            <w:tcBorders>
              <w:top w:val="nil"/>
              <w:left w:val="nil"/>
              <w:right w:val="nil"/>
            </w:tcBorders>
            <w:shd w:val="clear" w:color="auto" w:fill="auto"/>
            <w:vAlign w:val="bottom"/>
          </w:tcPr>
          <w:p w14:paraId="1235CE31"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3533FA74" w14:textId="18978D8F"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584,801</w:t>
            </w:r>
          </w:p>
        </w:tc>
      </w:tr>
      <w:tr w:rsidR="00BB2D4D" w:rsidRPr="0074154F" w14:paraId="1A62FAE0" w14:textId="77777777" w:rsidTr="00580EBD">
        <w:trPr>
          <w:trHeight w:val="283"/>
          <w:jc w:val="right"/>
        </w:trPr>
        <w:tc>
          <w:tcPr>
            <w:tcW w:w="4860" w:type="dxa"/>
            <w:tcBorders>
              <w:top w:val="nil"/>
              <w:left w:val="nil"/>
              <w:bottom w:val="nil"/>
              <w:right w:val="nil"/>
            </w:tcBorders>
            <w:shd w:val="clear" w:color="auto" w:fill="auto"/>
            <w:vAlign w:val="bottom"/>
          </w:tcPr>
          <w:p w14:paraId="4E2035E7" w14:textId="3CA9DABE"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Propiedades y equipos, neto</w:t>
            </w:r>
          </w:p>
        </w:tc>
        <w:tc>
          <w:tcPr>
            <w:tcW w:w="850" w:type="dxa"/>
            <w:tcBorders>
              <w:top w:val="nil"/>
              <w:left w:val="nil"/>
              <w:bottom w:val="nil"/>
              <w:right w:val="nil"/>
            </w:tcBorders>
            <w:shd w:val="clear" w:color="auto" w:fill="auto"/>
            <w:vAlign w:val="bottom"/>
          </w:tcPr>
          <w:p w14:paraId="44C0CAF7" w14:textId="2B8D4090"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10</w:t>
            </w:r>
          </w:p>
        </w:tc>
        <w:tc>
          <w:tcPr>
            <w:tcW w:w="170" w:type="dxa"/>
            <w:tcBorders>
              <w:top w:val="nil"/>
              <w:left w:val="nil"/>
              <w:bottom w:val="nil"/>
              <w:right w:val="nil"/>
            </w:tcBorders>
            <w:shd w:val="clear" w:color="auto" w:fill="auto"/>
            <w:vAlign w:val="bottom"/>
          </w:tcPr>
          <w:p w14:paraId="33373CB9"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69215AA0" w14:textId="44F45FB5"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64,557,806</w:t>
            </w:r>
          </w:p>
        </w:tc>
        <w:tc>
          <w:tcPr>
            <w:tcW w:w="170" w:type="dxa"/>
            <w:tcBorders>
              <w:top w:val="nil"/>
              <w:left w:val="nil"/>
              <w:right w:val="nil"/>
            </w:tcBorders>
            <w:shd w:val="clear" w:color="auto" w:fill="auto"/>
            <w:vAlign w:val="bottom"/>
          </w:tcPr>
          <w:p w14:paraId="3F9E88A9"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3FEDA1BF" w14:textId="29C7FC25"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46,392,449</w:t>
            </w:r>
          </w:p>
        </w:tc>
      </w:tr>
      <w:tr w:rsidR="00BB2D4D" w:rsidRPr="0074154F" w14:paraId="1A8326D2" w14:textId="77777777" w:rsidTr="008741E0">
        <w:trPr>
          <w:trHeight w:val="283"/>
          <w:jc w:val="right"/>
        </w:trPr>
        <w:tc>
          <w:tcPr>
            <w:tcW w:w="4860" w:type="dxa"/>
            <w:tcBorders>
              <w:top w:val="nil"/>
              <w:left w:val="nil"/>
              <w:bottom w:val="nil"/>
              <w:right w:val="nil"/>
            </w:tcBorders>
            <w:shd w:val="clear" w:color="auto" w:fill="auto"/>
            <w:vAlign w:val="bottom"/>
          </w:tcPr>
          <w:p w14:paraId="199219CD" w14:textId="7E899F5A"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Intangibles</w:t>
            </w:r>
          </w:p>
        </w:tc>
        <w:tc>
          <w:tcPr>
            <w:tcW w:w="850" w:type="dxa"/>
            <w:tcBorders>
              <w:top w:val="nil"/>
              <w:left w:val="nil"/>
              <w:bottom w:val="nil"/>
              <w:right w:val="nil"/>
            </w:tcBorders>
            <w:shd w:val="clear" w:color="auto" w:fill="auto"/>
            <w:vAlign w:val="bottom"/>
          </w:tcPr>
          <w:p w14:paraId="14F489F1" w14:textId="5271B406"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11</w:t>
            </w:r>
          </w:p>
        </w:tc>
        <w:tc>
          <w:tcPr>
            <w:tcW w:w="170" w:type="dxa"/>
            <w:tcBorders>
              <w:top w:val="nil"/>
              <w:left w:val="nil"/>
              <w:bottom w:val="nil"/>
              <w:right w:val="nil"/>
            </w:tcBorders>
            <w:shd w:val="clear" w:color="auto" w:fill="auto"/>
            <w:vAlign w:val="bottom"/>
          </w:tcPr>
          <w:p w14:paraId="045CAC6F"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top w:val="nil"/>
              <w:left w:val="nil"/>
              <w:right w:val="nil"/>
            </w:tcBorders>
            <w:shd w:val="clear" w:color="auto" w:fill="auto"/>
            <w:vAlign w:val="bottom"/>
          </w:tcPr>
          <w:p w14:paraId="724FD58B" w14:textId="48265A02"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11,464,101</w:t>
            </w:r>
          </w:p>
        </w:tc>
        <w:tc>
          <w:tcPr>
            <w:tcW w:w="170" w:type="dxa"/>
            <w:tcBorders>
              <w:top w:val="nil"/>
              <w:left w:val="nil"/>
              <w:right w:val="nil"/>
            </w:tcBorders>
            <w:shd w:val="clear" w:color="auto" w:fill="auto"/>
            <w:vAlign w:val="bottom"/>
          </w:tcPr>
          <w:p w14:paraId="7BC030AD"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vAlign w:val="bottom"/>
          </w:tcPr>
          <w:p w14:paraId="17184E5E" w14:textId="7DF44F17" w:rsidR="00BB2D4D" w:rsidRPr="0074154F" w:rsidRDefault="00EC017D"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13,210,444</w:t>
            </w:r>
          </w:p>
        </w:tc>
      </w:tr>
      <w:tr w:rsidR="00BB2D4D" w:rsidRPr="0074154F" w14:paraId="2C32AD8F" w14:textId="77777777" w:rsidTr="008741E0">
        <w:trPr>
          <w:trHeight w:val="283"/>
          <w:jc w:val="right"/>
        </w:trPr>
        <w:tc>
          <w:tcPr>
            <w:tcW w:w="4860" w:type="dxa"/>
            <w:tcBorders>
              <w:top w:val="nil"/>
              <w:left w:val="nil"/>
              <w:bottom w:val="nil"/>
              <w:right w:val="nil"/>
            </w:tcBorders>
            <w:shd w:val="clear" w:color="auto" w:fill="auto"/>
            <w:vAlign w:val="bottom"/>
          </w:tcPr>
          <w:p w14:paraId="6241C528" w14:textId="66D9C087"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Derechos fiduciarios</w:t>
            </w:r>
          </w:p>
        </w:tc>
        <w:tc>
          <w:tcPr>
            <w:tcW w:w="850" w:type="dxa"/>
            <w:tcBorders>
              <w:top w:val="nil"/>
              <w:left w:val="nil"/>
              <w:bottom w:val="nil"/>
              <w:right w:val="nil"/>
            </w:tcBorders>
            <w:shd w:val="clear" w:color="auto" w:fill="auto"/>
            <w:vAlign w:val="bottom"/>
          </w:tcPr>
          <w:p w14:paraId="103578BC" w14:textId="4ABBEC69"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r w:rsidRPr="0074154F">
              <w:rPr>
                <w:rFonts w:ascii="Arial" w:eastAsia="Times New Roman" w:hAnsi="Arial" w:cs="Arial"/>
                <w:bCs/>
                <w:color w:val="000000"/>
                <w:sz w:val="20"/>
                <w:szCs w:val="20"/>
                <w:lang w:val="es-MX" w:eastAsia="es-MX"/>
              </w:rPr>
              <w:t>12</w:t>
            </w:r>
          </w:p>
        </w:tc>
        <w:tc>
          <w:tcPr>
            <w:tcW w:w="170" w:type="dxa"/>
            <w:tcBorders>
              <w:top w:val="nil"/>
              <w:left w:val="nil"/>
              <w:bottom w:val="nil"/>
              <w:right w:val="nil"/>
            </w:tcBorders>
            <w:shd w:val="clear" w:color="auto" w:fill="auto"/>
            <w:vAlign w:val="bottom"/>
          </w:tcPr>
          <w:p w14:paraId="6E6578AB"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left w:val="nil"/>
              <w:right w:val="nil"/>
            </w:tcBorders>
            <w:shd w:val="clear" w:color="auto" w:fill="auto"/>
            <w:vAlign w:val="bottom"/>
          </w:tcPr>
          <w:p w14:paraId="45D3370D" w14:textId="06D59D41"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1,429,486</w:t>
            </w:r>
          </w:p>
        </w:tc>
        <w:tc>
          <w:tcPr>
            <w:tcW w:w="170" w:type="dxa"/>
            <w:tcBorders>
              <w:left w:val="nil"/>
              <w:right w:val="nil"/>
            </w:tcBorders>
            <w:shd w:val="clear" w:color="auto" w:fill="auto"/>
            <w:vAlign w:val="bottom"/>
          </w:tcPr>
          <w:p w14:paraId="52F3BC2C"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left w:val="nil"/>
              <w:right w:val="nil"/>
            </w:tcBorders>
            <w:shd w:val="clear" w:color="auto" w:fill="auto"/>
            <w:vAlign w:val="bottom"/>
          </w:tcPr>
          <w:p w14:paraId="6B86C4A4" w14:textId="403CD061" w:rsidR="00BB2D4D" w:rsidRPr="0074154F" w:rsidRDefault="00EC017D"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1,681,534</w:t>
            </w:r>
          </w:p>
        </w:tc>
      </w:tr>
      <w:tr w:rsidR="00BB2D4D" w:rsidRPr="0074154F" w14:paraId="64C4B67F" w14:textId="77777777" w:rsidTr="008741E0">
        <w:trPr>
          <w:trHeight w:val="283"/>
          <w:jc w:val="right"/>
        </w:trPr>
        <w:tc>
          <w:tcPr>
            <w:tcW w:w="4860" w:type="dxa"/>
            <w:tcBorders>
              <w:top w:val="nil"/>
              <w:left w:val="nil"/>
              <w:bottom w:val="nil"/>
              <w:right w:val="nil"/>
            </w:tcBorders>
            <w:shd w:val="clear" w:color="auto" w:fill="auto"/>
            <w:vAlign w:val="bottom"/>
          </w:tcPr>
          <w:p w14:paraId="1225713F" w14:textId="7F9B0780" w:rsidR="00BB2D4D" w:rsidRPr="0074154F" w:rsidRDefault="00BB2D4D" w:rsidP="00BB2D4D">
            <w:pPr>
              <w:spacing w:after="0" w:line="240" w:lineRule="auto"/>
              <w:ind w:left="-75"/>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Otros activos</w:t>
            </w:r>
          </w:p>
        </w:tc>
        <w:tc>
          <w:tcPr>
            <w:tcW w:w="850" w:type="dxa"/>
            <w:tcBorders>
              <w:top w:val="nil"/>
              <w:left w:val="nil"/>
              <w:bottom w:val="nil"/>
              <w:right w:val="nil"/>
            </w:tcBorders>
            <w:shd w:val="clear" w:color="auto" w:fill="auto"/>
            <w:vAlign w:val="bottom"/>
          </w:tcPr>
          <w:p w14:paraId="6CD7FF65" w14:textId="3612717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p>
        </w:tc>
        <w:tc>
          <w:tcPr>
            <w:tcW w:w="170" w:type="dxa"/>
            <w:tcBorders>
              <w:top w:val="nil"/>
              <w:left w:val="nil"/>
              <w:bottom w:val="nil"/>
              <w:right w:val="nil"/>
            </w:tcBorders>
            <w:shd w:val="clear" w:color="auto" w:fill="auto"/>
            <w:vAlign w:val="bottom"/>
          </w:tcPr>
          <w:p w14:paraId="356DC838"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left w:val="nil"/>
              <w:bottom w:val="single" w:sz="4" w:space="0" w:color="auto"/>
              <w:right w:val="nil"/>
            </w:tcBorders>
            <w:shd w:val="clear" w:color="auto" w:fill="auto"/>
            <w:vAlign w:val="bottom"/>
          </w:tcPr>
          <w:p w14:paraId="4FA6D001" w14:textId="141FF149"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354,098</w:t>
            </w:r>
          </w:p>
        </w:tc>
        <w:tc>
          <w:tcPr>
            <w:tcW w:w="170" w:type="dxa"/>
            <w:tcBorders>
              <w:left w:val="nil"/>
              <w:right w:val="nil"/>
            </w:tcBorders>
            <w:shd w:val="clear" w:color="auto" w:fill="auto"/>
            <w:vAlign w:val="bottom"/>
          </w:tcPr>
          <w:p w14:paraId="4D869107"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left w:val="nil"/>
              <w:bottom w:val="single" w:sz="4" w:space="0" w:color="auto"/>
              <w:right w:val="nil"/>
            </w:tcBorders>
            <w:shd w:val="clear" w:color="auto" w:fill="auto"/>
            <w:vAlign w:val="bottom"/>
          </w:tcPr>
          <w:p w14:paraId="3E768B24" w14:textId="424D5994" w:rsidR="00BB2D4D" w:rsidRPr="0074154F" w:rsidRDefault="000A44FF"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145,825</w:t>
            </w:r>
          </w:p>
        </w:tc>
      </w:tr>
      <w:tr w:rsidR="00BB2D4D" w:rsidRPr="0074154F" w14:paraId="0CE8100F" w14:textId="77777777" w:rsidTr="00BC45BB">
        <w:trPr>
          <w:trHeight w:val="283"/>
          <w:jc w:val="right"/>
        </w:trPr>
        <w:tc>
          <w:tcPr>
            <w:tcW w:w="4860" w:type="dxa"/>
            <w:tcBorders>
              <w:top w:val="nil"/>
              <w:left w:val="nil"/>
              <w:bottom w:val="nil"/>
              <w:right w:val="nil"/>
            </w:tcBorders>
            <w:shd w:val="clear" w:color="auto" w:fill="auto"/>
            <w:vAlign w:val="bottom"/>
          </w:tcPr>
          <w:p w14:paraId="1E398924" w14:textId="77777777"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p>
        </w:tc>
        <w:tc>
          <w:tcPr>
            <w:tcW w:w="850" w:type="dxa"/>
            <w:tcBorders>
              <w:top w:val="nil"/>
              <w:left w:val="nil"/>
              <w:bottom w:val="nil"/>
              <w:right w:val="nil"/>
            </w:tcBorders>
            <w:shd w:val="clear" w:color="auto" w:fill="auto"/>
            <w:vAlign w:val="bottom"/>
          </w:tcPr>
          <w:p w14:paraId="0CF25E1F" w14:textId="7777777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p>
        </w:tc>
        <w:tc>
          <w:tcPr>
            <w:tcW w:w="170" w:type="dxa"/>
            <w:tcBorders>
              <w:top w:val="nil"/>
              <w:left w:val="nil"/>
              <w:bottom w:val="nil"/>
              <w:right w:val="nil"/>
            </w:tcBorders>
            <w:shd w:val="clear" w:color="auto" w:fill="auto"/>
            <w:vAlign w:val="bottom"/>
          </w:tcPr>
          <w:p w14:paraId="491193DE"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left w:val="nil"/>
              <w:right w:val="nil"/>
            </w:tcBorders>
            <w:shd w:val="clear" w:color="auto" w:fill="auto"/>
            <w:vAlign w:val="bottom"/>
          </w:tcPr>
          <w:p w14:paraId="426285DD" w14:textId="223A3FBC"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c>
          <w:tcPr>
            <w:tcW w:w="170" w:type="dxa"/>
            <w:tcBorders>
              <w:left w:val="nil"/>
              <w:right w:val="nil"/>
            </w:tcBorders>
            <w:shd w:val="clear" w:color="auto" w:fill="auto"/>
            <w:vAlign w:val="bottom"/>
          </w:tcPr>
          <w:p w14:paraId="58B63D6F"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left w:val="nil"/>
              <w:right w:val="nil"/>
            </w:tcBorders>
            <w:shd w:val="clear" w:color="auto" w:fill="auto"/>
            <w:vAlign w:val="bottom"/>
          </w:tcPr>
          <w:p w14:paraId="625FB678" w14:textId="73300E52"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r>
      <w:tr w:rsidR="00BB2D4D" w:rsidRPr="0074154F" w14:paraId="71701A2A" w14:textId="77777777" w:rsidTr="00BC45BB">
        <w:trPr>
          <w:trHeight w:val="283"/>
          <w:jc w:val="right"/>
        </w:trPr>
        <w:tc>
          <w:tcPr>
            <w:tcW w:w="4860" w:type="dxa"/>
            <w:tcBorders>
              <w:top w:val="nil"/>
              <w:left w:val="nil"/>
              <w:bottom w:val="nil"/>
              <w:right w:val="nil"/>
            </w:tcBorders>
            <w:shd w:val="clear" w:color="auto" w:fill="auto"/>
            <w:vAlign w:val="bottom"/>
          </w:tcPr>
          <w:p w14:paraId="10CF7D1F" w14:textId="4041F4CF"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proofErr w:type="gramStart"/>
            <w:r w:rsidRPr="0074154F">
              <w:rPr>
                <w:rFonts w:ascii="Arial" w:eastAsia="Times New Roman" w:hAnsi="Arial" w:cs="Arial"/>
                <w:color w:val="000000"/>
                <w:sz w:val="20"/>
                <w:szCs w:val="20"/>
                <w:lang w:val="es-MX" w:eastAsia="es-MX"/>
              </w:rPr>
              <w:t>Total</w:t>
            </w:r>
            <w:proofErr w:type="gramEnd"/>
            <w:r w:rsidRPr="0074154F">
              <w:rPr>
                <w:rFonts w:ascii="Arial" w:eastAsia="Times New Roman" w:hAnsi="Arial" w:cs="Arial"/>
                <w:color w:val="000000"/>
                <w:sz w:val="20"/>
                <w:szCs w:val="20"/>
                <w:lang w:val="es-MX" w:eastAsia="es-MX"/>
              </w:rPr>
              <w:t xml:space="preserve"> activos no corrientes</w:t>
            </w:r>
          </w:p>
        </w:tc>
        <w:tc>
          <w:tcPr>
            <w:tcW w:w="850" w:type="dxa"/>
            <w:tcBorders>
              <w:top w:val="nil"/>
              <w:left w:val="nil"/>
              <w:bottom w:val="nil"/>
              <w:right w:val="nil"/>
            </w:tcBorders>
            <w:shd w:val="clear" w:color="auto" w:fill="auto"/>
            <w:vAlign w:val="bottom"/>
          </w:tcPr>
          <w:p w14:paraId="26FD9540" w14:textId="77777777" w:rsidR="00BB2D4D" w:rsidRPr="0074154F" w:rsidRDefault="00BB2D4D" w:rsidP="00BB2D4D">
            <w:pPr>
              <w:spacing w:after="0" w:line="240" w:lineRule="auto"/>
              <w:jc w:val="center"/>
              <w:rPr>
                <w:rFonts w:ascii="Arial" w:eastAsia="Times New Roman" w:hAnsi="Arial" w:cs="Arial"/>
                <w:bCs/>
                <w:color w:val="000000"/>
                <w:sz w:val="20"/>
                <w:szCs w:val="20"/>
                <w:lang w:val="es-MX" w:eastAsia="es-MX"/>
              </w:rPr>
            </w:pPr>
          </w:p>
        </w:tc>
        <w:tc>
          <w:tcPr>
            <w:tcW w:w="170" w:type="dxa"/>
            <w:tcBorders>
              <w:top w:val="nil"/>
              <w:left w:val="nil"/>
              <w:bottom w:val="nil"/>
              <w:right w:val="nil"/>
            </w:tcBorders>
            <w:shd w:val="clear" w:color="auto" w:fill="auto"/>
            <w:vAlign w:val="bottom"/>
          </w:tcPr>
          <w:p w14:paraId="6953801B" w14:textId="77777777" w:rsidR="00BB2D4D" w:rsidRPr="0074154F" w:rsidRDefault="00BB2D4D" w:rsidP="00BB2D4D">
            <w:pPr>
              <w:spacing w:after="0" w:line="240" w:lineRule="auto"/>
              <w:rPr>
                <w:rFonts w:ascii="Arial" w:eastAsia="Times New Roman" w:hAnsi="Arial" w:cs="Arial"/>
                <w:b/>
                <w:bCs/>
                <w:color w:val="000000"/>
                <w:sz w:val="20"/>
                <w:szCs w:val="20"/>
                <w:lang w:val="es-MX" w:eastAsia="es-MX"/>
              </w:rPr>
            </w:pPr>
          </w:p>
        </w:tc>
        <w:tc>
          <w:tcPr>
            <w:tcW w:w="1502" w:type="dxa"/>
            <w:tcBorders>
              <w:left w:val="nil"/>
              <w:bottom w:val="single" w:sz="8" w:space="0" w:color="auto"/>
              <w:right w:val="nil"/>
            </w:tcBorders>
            <w:shd w:val="clear" w:color="auto" w:fill="auto"/>
            <w:vAlign w:val="bottom"/>
          </w:tcPr>
          <w:p w14:paraId="43668412" w14:textId="38EC2E89"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138,154,701</w:t>
            </w:r>
          </w:p>
        </w:tc>
        <w:tc>
          <w:tcPr>
            <w:tcW w:w="170" w:type="dxa"/>
            <w:tcBorders>
              <w:left w:val="nil"/>
              <w:right w:val="nil"/>
            </w:tcBorders>
            <w:shd w:val="clear" w:color="auto" w:fill="auto"/>
            <w:vAlign w:val="bottom"/>
          </w:tcPr>
          <w:p w14:paraId="4EE56E78"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left w:val="nil"/>
              <w:bottom w:val="single" w:sz="8" w:space="0" w:color="auto"/>
              <w:right w:val="nil"/>
            </w:tcBorders>
            <w:shd w:val="clear" w:color="auto" w:fill="auto"/>
            <w:vAlign w:val="bottom"/>
          </w:tcPr>
          <w:p w14:paraId="52CBD9D1" w14:textId="0F6E4A4C" w:rsidR="00BB2D4D" w:rsidRPr="0074154F" w:rsidRDefault="000A44FF"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118,331,362</w:t>
            </w:r>
          </w:p>
        </w:tc>
      </w:tr>
      <w:tr w:rsidR="00BB2D4D" w:rsidRPr="0074154F" w14:paraId="4CC3F037" w14:textId="77777777" w:rsidTr="00BC45BB">
        <w:trPr>
          <w:trHeight w:val="283"/>
          <w:jc w:val="right"/>
        </w:trPr>
        <w:tc>
          <w:tcPr>
            <w:tcW w:w="4860" w:type="dxa"/>
            <w:tcBorders>
              <w:top w:val="nil"/>
              <w:left w:val="nil"/>
              <w:bottom w:val="nil"/>
              <w:right w:val="nil"/>
            </w:tcBorders>
            <w:shd w:val="clear" w:color="auto" w:fill="auto"/>
            <w:vAlign w:val="bottom"/>
          </w:tcPr>
          <w:p w14:paraId="74A8A508" w14:textId="77777777" w:rsidR="00BB2D4D" w:rsidRPr="0074154F" w:rsidRDefault="00BB2D4D" w:rsidP="00BB2D4D">
            <w:pPr>
              <w:spacing w:after="0" w:line="240" w:lineRule="auto"/>
              <w:ind w:left="-75"/>
              <w:rPr>
                <w:rFonts w:ascii="Arial" w:eastAsia="Times New Roman" w:hAnsi="Arial" w:cs="Arial"/>
                <w:color w:val="000000"/>
                <w:sz w:val="20"/>
                <w:szCs w:val="20"/>
                <w:lang w:val="es-MX" w:eastAsia="es-MX"/>
              </w:rPr>
            </w:pPr>
          </w:p>
        </w:tc>
        <w:tc>
          <w:tcPr>
            <w:tcW w:w="850" w:type="dxa"/>
            <w:tcBorders>
              <w:top w:val="nil"/>
              <w:left w:val="nil"/>
              <w:bottom w:val="nil"/>
              <w:right w:val="nil"/>
            </w:tcBorders>
            <w:shd w:val="clear" w:color="auto" w:fill="auto"/>
            <w:vAlign w:val="bottom"/>
          </w:tcPr>
          <w:p w14:paraId="3D93741D" w14:textId="77777777" w:rsidR="00BB2D4D" w:rsidRPr="0074154F" w:rsidRDefault="00BB2D4D" w:rsidP="00BB2D4D">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5CDA4690"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right w:val="nil"/>
            </w:tcBorders>
            <w:shd w:val="clear" w:color="auto" w:fill="auto"/>
            <w:vAlign w:val="bottom"/>
          </w:tcPr>
          <w:p w14:paraId="3CD1EDD6" w14:textId="77777777"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c>
          <w:tcPr>
            <w:tcW w:w="170" w:type="dxa"/>
            <w:tcBorders>
              <w:left w:val="nil"/>
              <w:bottom w:val="nil"/>
              <w:right w:val="nil"/>
            </w:tcBorders>
            <w:shd w:val="clear" w:color="auto" w:fill="auto"/>
            <w:vAlign w:val="bottom"/>
          </w:tcPr>
          <w:p w14:paraId="5C9DF751" w14:textId="77777777" w:rsidR="00BB2D4D" w:rsidRPr="0074154F" w:rsidRDefault="00BB2D4D" w:rsidP="00BB2D4D">
            <w:pPr>
              <w:spacing w:after="0" w:line="240" w:lineRule="auto"/>
              <w:rPr>
                <w:rFonts w:ascii="Arial" w:eastAsia="Times New Roman" w:hAnsi="Arial" w:cs="Arial"/>
                <w:color w:val="000000"/>
                <w:sz w:val="20"/>
                <w:szCs w:val="20"/>
                <w:lang w:val="es-MX" w:eastAsia="es-MX"/>
              </w:rPr>
            </w:pPr>
          </w:p>
        </w:tc>
        <w:tc>
          <w:tcPr>
            <w:tcW w:w="1502" w:type="dxa"/>
            <w:tcBorders>
              <w:top w:val="single" w:sz="8" w:space="0" w:color="auto"/>
              <w:left w:val="nil"/>
              <w:right w:val="nil"/>
            </w:tcBorders>
            <w:shd w:val="clear" w:color="auto" w:fill="auto"/>
            <w:vAlign w:val="bottom"/>
          </w:tcPr>
          <w:p w14:paraId="3325D0B1" w14:textId="77777777" w:rsidR="00BB2D4D" w:rsidRPr="0074154F" w:rsidRDefault="00BB2D4D" w:rsidP="00BB2D4D">
            <w:pPr>
              <w:tabs>
                <w:tab w:val="decimal" w:pos="1276"/>
              </w:tabs>
              <w:spacing w:after="0" w:line="240" w:lineRule="auto"/>
              <w:rPr>
                <w:rFonts w:ascii="Arial" w:eastAsia="Times New Roman" w:hAnsi="Arial" w:cs="Arial"/>
                <w:color w:val="000000"/>
                <w:sz w:val="20"/>
                <w:szCs w:val="20"/>
                <w:lang w:val="es-MX" w:eastAsia="es-MX"/>
              </w:rPr>
            </w:pPr>
          </w:p>
        </w:tc>
      </w:tr>
      <w:tr w:rsidR="00BB2D4D" w:rsidRPr="0074154F" w14:paraId="78C9D09A" w14:textId="77777777" w:rsidTr="00580EBD">
        <w:trPr>
          <w:trHeight w:val="283"/>
          <w:jc w:val="right"/>
        </w:trPr>
        <w:tc>
          <w:tcPr>
            <w:tcW w:w="4860" w:type="dxa"/>
            <w:tcBorders>
              <w:top w:val="nil"/>
              <w:left w:val="nil"/>
              <w:bottom w:val="nil"/>
              <w:right w:val="nil"/>
            </w:tcBorders>
            <w:shd w:val="clear" w:color="auto" w:fill="auto"/>
            <w:vAlign w:val="bottom"/>
          </w:tcPr>
          <w:p w14:paraId="13E346A0" w14:textId="77777777" w:rsidR="00BB2D4D" w:rsidRPr="0074154F" w:rsidRDefault="00BB2D4D" w:rsidP="00BB2D4D">
            <w:pPr>
              <w:spacing w:after="0" w:line="240" w:lineRule="auto"/>
              <w:ind w:left="-75"/>
              <w:rPr>
                <w:rFonts w:ascii="Arial" w:eastAsia="Times New Roman" w:hAnsi="Arial" w:cs="Arial"/>
                <w:b/>
                <w:color w:val="000000"/>
                <w:sz w:val="20"/>
                <w:szCs w:val="20"/>
                <w:lang w:eastAsia="es-MX"/>
              </w:rPr>
            </w:pPr>
            <w:proofErr w:type="gramStart"/>
            <w:r w:rsidRPr="0074154F">
              <w:rPr>
                <w:rFonts w:ascii="Arial" w:eastAsia="Times New Roman" w:hAnsi="Arial" w:cs="Arial"/>
                <w:b/>
                <w:color w:val="000000"/>
                <w:sz w:val="20"/>
                <w:szCs w:val="20"/>
                <w:lang w:eastAsia="es-MX"/>
              </w:rPr>
              <w:t>TOTAL</w:t>
            </w:r>
            <w:proofErr w:type="gramEnd"/>
            <w:r w:rsidRPr="0074154F">
              <w:rPr>
                <w:rFonts w:ascii="Arial" w:eastAsia="Times New Roman" w:hAnsi="Arial" w:cs="Arial"/>
                <w:b/>
                <w:color w:val="000000"/>
                <w:sz w:val="20"/>
                <w:szCs w:val="20"/>
                <w:lang w:eastAsia="es-MX"/>
              </w:rPr>
              <w:t xml:space="preserve"> ACTIVOS</w:t>
            </w:r>
          </w:p>
        </w:tc>
        <w:tc>
          <w:tcPr>
            <w:tcW w:w="850" w:type="dxa"/>
            <w:tcBorders>
              <w:top w:val="nil"/>
              <w:left w:val="nil"/>
              <w:bottom w:val="nil"/>
              <w:right w:val="nil"/>
            </w:tcBorders>
            <w:shd w:val="clear" w:color="auto" w:fill="auto"/>
            <w:vAlign w:val="bottom"/>
          </w:tcPr>
          <w:p w14:paraId="0A955C82" w14:textId="77777777" w:rsidR="00BB2D4D" w:rsidRPr="0074154F" w:rsidRDefault="00BB2D4D" w:rsidP="00BB2D4D">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1F0AAF76"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nil"/>
              <w:left w:val="nil"/>
              <w:bottom w:val="double" w:sz="4" w:space="0" w:color="auto"/>
              <w:right w:val="nil"/>
            </w:tcBorders>
            <w:shd w:val="clear" w:color="auto" w:fill="auto"/>
            <w:vAlign w:val="bottom"/>
          </w:tcPr>
          <w:p w14:paraId="77F9F93C" w14:textId="1ACBAC90" w:rsidR="00BB2D4D" w:rsidRPr="0074154F" w:rsidRDefault="008D4654"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244,113,089</w:t>
            </w:r>
          </w:p>
        </w:tc>
        <w:tc>
          <w:tcPr>
            <w:tcW w:w="170" w:type="dxa"/>
            <w:tcBorders>
              <w:top w:val="nil"/>
              <w:left w:val="nil"/>
              <w:bottom w:val="nil"/>
              <w:right w:val="nil"/>
            </w:tcBorders>
            <w:shd w:val="clear" w:color="auto" w:fill="auto"/>
            <w:vAlign w:val="bottom"/>
          </w:tcPr>
          <w:p w14:paraId="4BDB7BEA" w14:textId="77777777" w:rsidR="00BB2D4D" w:rsidRPr="0074154F" w:rsidRDefault="00BB2D4D" w:rsidP="00BB2D4D">
            <w:pPr>
              <w:spacing w:after="0" w:line="240" w:lineRule="auto"/>
              <w:rPr>
                <w:rFonts w:ascii="Arial" w:eastAsia="Times New Roman" w:hAnsi="Arial" w:cs="Arial"/>
                <w:sz w:val="20"/>
                <w:szCs w:val="20"/>
                <w:lang w:val="es-MX" w:eastAsia="es-MX"/>
              </w:rPr>
            </w:pPr>
          </w:p>
        </w:tc>
        <w:tc>
          <w:tcPr>
            <w:tcW w:w="1502" w:type="dxa"/>
            <w:tcBorders>
              <w:top w:val="nil"/>
              <w:left w:val="nil"/>
              <w:bottom w:val="double" w:sz="4" w:space="0" w:color="auto"/>
              <w:right w:val="nil"/>
            </w:tcBorders>
            <w:shd w:val="clear" w:color="auto" w:fill="auto"/>
            <w:vAlign w:val="bottom"/>
          </w:tcPr>
          <w:p w14:paraId="3E2DA96F" w14:textId="19DA20E0" w:rsidR="00BB2D4D" w:rsidRPr="0074154F" w:rsidRDefault="000A44FF" w:rsidP="00BB2D4D">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212,179,159</w:t>
            </w:r>
          </w:p>
        </w:tc>
      </w:tr>
      <w:bookmarkEnd w:id="4"/>
    </w:tbl>
    <w:p w14:paraId="415C0A5D" w14:textId="7E57FC60" w:rsidR="00D82827" w:rsidRPr="0074154F" w:rsidRDefault="00D82827" w:rsidP="00413455">
      <w:pPr>
        <w:spacing w:after="0" w:line="240" w:lineRule="auto"/>
        <w:rPr>
          <w:rFonts w:ascii="Arial" w:hAnsi="Arial" w:cs="Arial"/>
          <w:sz w:val="20"/>
          <w:szCs w:val="20"/>
        </w:rPr>
      </w:pPr>
    </w:p>
    <w:p w14:paraId="1079DAED" w14:textId="2DD07DCE" w:rsidR="00D82827" w:rsidRPr="0074154F" w:rsidRDefault="00D82827" w:rsidP="00413455">
      <w:pPr>
        <w:spacing w:after="0" w:line="240" w:lineRule="auto"/>
        <w:rPr>
          <w:rFonts w:ascii="Arial" w:hAnsi="Arial" w:cs="Arial"/>
          <w:sz w:val="20"/>
          <w:szCs w:val="20"/>
        </w:rPr>
      </w:pPr>
    </w:p>
    <w:p w14:paraId="32771B28" w14:textId="1E59A6C6" w:rsidR="00D82827" w:rsidRPr="0074154F" w:rsidRDefault="00D82827" w:rsidP="00413455">
      <w:pPr>
        <w:spacing w:after="0" w:line="240" w:lineRule="auto"/>
        <w:rPr>
          <w:rFonts w:ascii="Arial" w:hAnsi="Arial" w:cs="Arial"/>
          <w:sz w:val="20"/>
          <w:szCs w:val="20"/>
        </w:rPr>
      </w:pPr>
    </w:p>
    <w:p w14:paraId="639890C8" w14:textId="73213DE6" w:rsidR="00D82827" w:rsidRPr="0074154F" w:rsidRDefault="00D82827" w:rsidP="00413455">
      <w:pPr>
        <w:spacing w:after="0" w:line="240" w:lineRule="auto"/>
        <w:rPr>
          <w:rFonts w:ascii="Arial" w:hAnsi="Arial" w:cs="Arial"/>
          <w:sz w:val="20"/>
          <w:szCs w:val="20"/>
        </w:rPr>
      </w:pPr>
    </w:p>
    <w:p w14:paraId="5D509178" w14:textId="124B6099" w:rsidR="00D252A4" w:rsidRPr="0074154F" w:rsidRDefault="00D252A4" w:rsidP="00413455">
      <w:pPr>
        <w:spacing w:after="0" w:line="240" w:lineRule="auto"/>
        <w:rPr>
          <w:rFonts w:ascii="Arial" w:hAnsi="Arial" w:cs="Arial"/>
          <w:sz w:val="20"/>
          <w:szCs w:val="20"/>
        </w:rPr>
      </w:pPr>
    </w:p>
    <w:p w14:paraId="70C57B83" w14:textId="76006631" w:rsidR="00D252A4" w:rsidRPr="0074154F" w:rsidRDefault="00D252A4" w:rsidP="00413455">
      <w:pPr>
        <w:spacing w:after="0" w:line="240" w:lineRule="auto"/>
        <w:rPr>
          <w:rFonts w:ascii="Arial" w:hAnsi="Arial" w:cs="Arial"/>
          <w:sz w:val="20"/>
          <w:szCs w:val="20"/>
        </w:rPr>
      </w:pPr>
    </w:p>
    <w:p w14:paraId="085D6555" w14:textId="2E478A0C" w:rsidR="00D252A4" w:rsidRPr="0074154F" w:rsidRDefault="00D252A4" w:rsidP="00413455">
      <w:pPr>
        <w:spacing w:after="0" w:line="240" w:lineRule="auto"/>
        <w:rPr>
          <w:rFonts w:ascii="Arial" w:hAnsi="Arial" w:cs="Arial"/>
          <w:sz w:val="20"/>
          <w:szCs w:val="20"/>
        </w:rPr>
      </w:pPr>
    </w:p>
    <w:p w14:paraId="039189D6" w14:textId="177B0732" w:rsidR="00D252A4" w:rsidRPr="0074154F" w:rsidRDefault="00D252A4" w:rsidP="00413455">
      <w:pPr>
        <w:spacing w:after="0" w:line="240" w:lineRule="auto"/>
        <w:rPr>
          <w:rFonts w:ascii="Arial" w:hAnsi="Arial" w:cs="Arial"/>
          <w:sz w:val="20"/>
          <w:szCs w:val="20"/>
        </w:rPr>
      </w:pPr>
    </w:p>
    <w:p w14:paraId="65CFBBE3" w14:textId="463C6A4C" w:rsidR="00D252A4" w:rsidRPr="0074154F" w:rsidRDefault="00D252A4" w:rsidP="00413455">
      <w:pPr>
        <w:spacing w:after="0" w:line="240" w:lineRule="auto"/>
        <w:rPr>
          <w:rFonts w:ascii="Arial" w:hAnsi="Arial" w:cs="Arial"/>
          <w:sz w:val="20"/>
          <w:szCs w:val="20"/>
        </w:rPr>
      </w:pPr>
    </w:p>
    <w:p w14:paraId="16C6AE4B" w14:textId="77777777" w:rsidR="00D252A4" w:rsidRPr="0074154F" w:rsidRDefault="00D252A4" w:rsidP="00413455">
      <w:pPr>
        <w:spacing w:after="0" w:line="240" w:lineRule="auto"/>
        <w:rPr>
          <w:rFonts w:ascii="Arial" w:hAnsi="Arial" w:cs="Arial"/>
          <w:sz w:val="20"/>
          <w:szCs w:val="20"/>
        </w:rPr>
      </w:pPr>
    </w:p>
    <w:p w14:paraId="16A5006A" w14:textId="530D911D" w:rsidR="00B4305D" w:rsidRPr="0074154F" w:rsidRDefault="00B4305D" w:rsidP="00413455">
      <w:pPr>
        <w:spacing w:after="0" w:line="240" w:lineRule="auto"/>
        <w:rPr>
          <w:rFonts w:ascii="Arial" w:hAnsi="Arial" w:cs="Arial"/>
          <w:sz w:val="20"/>
          <w:szCs w:val="20"/>
        </w:rPr>
      </w:pPr>
    </w:p>
    <w:p w14:paraId="1D31EE70" w14:textId="2666B1D5" w:rsidR="00D82827" w:rsidRPr="0074154F" w:rsidRDefault="00D82827" w:rsidP="00413455">
      <w:pPr>
        <w:spacing w:after="0" w:line="240" w:lineRule="auto"/>
        <w:rPr>
          <w:rFonts w:ascii="Arial" w:hAnsi="Arial" w:cs="Arial"/>
          <w:sz w:val="20"/>
          <w:szCs w:val="20"/>
        </w:rPr>
      </w:pPr>
    </w:p>
    <w:p w14:paraId="04AF705A" w14:textId="7337750B" w:rsidR="00D252A4" w:rsidRPr="0074154F" w:rsidRDefault="00D252A4" w:rsidP="00413455">
      <w:pPr>
        <w:spacing w:after="0" w:line="240" w:lineRule="auto"/>
        <w:rPr>
          <w:rFonts w:ascii="Arial" w:hAnsi="Arial" w:cs="Arial"/>
          <w:sz w:val="20"/>
          <w:szCs w:val="20"/>
        </w:rPr>
      </w:pPr>
    </w:p>
    <w:p w14:paraId="31920FBF" w14:textId="7DC327E6" w:rsidR="00413455" w:rsidRPr="0074154F" w:rsidRDefault="00413455" w:rsidP="00413455">
      <w:pPr>
        <w:spacing w:after="0" w:line="240" w:lineRule="auto"/>
        <w:rPr>
          <w:rFonts w:ascii="Arial" w:hAnsi="Arial" w:cs="Arial"/>
          <w:sz w:val="20"/>
          <w:szCs w:val="20"/>
        </w:rPr>
      </w:pPr>
    </w:p>
    <w:p w14:paraId="6605027B" w14:textId="042339FF" w:rsidR="00DF52C3" w:rsidRPr="0074154F" w:rsidRDefault="00D252A4" w:rsidP="00413455">
      <w:pPr>
        <w:spacing w:after="0" w:line="240" w:lineRule="auto"/>
        <w:rPr>
          <w:rFonts w:ascii="Arial" w:hAnsi="Arial" w:cs="Arial"/>
          <w:sz w:val="20"/>
          <w:szCs w:val="20"/>
        </w:rPr>
      </w:pPr>
      <w:r w:rsidRPr="0074154F">
        <w:rPr>
          <w:rFonts w:ascii="Arial" w:hAnsi="Arial" w:cs="Arial"/>
          <w:sz w:val="20"/>
          <w:szCs w:val="20"/>
        </w:rPr>
        <w:t xml:space="preserve"> </w:t>
      </w:r>
    </w:p>
    <w:p w14:paraId="727B653A" w14:textId="25CC8801" w:rsidR="00B84E49" w:rsidRPr="0074154F" w:rsidRDefault="00D252A4" w:rsidP="00413455">
      <w:pPr>
        <w:spacing w:after="0" w:line="240" w:lineRule="auto"/>
        <w:rPr>
          <w:rFonts w:ascii="Arial" w:hAnsi="Arial" w:cs="Arial"/>
          <w:sz w:val="20"/>
          <w:szCs w:val="20"/>
        </w:rPr>
      </w:pPr>
      <w:r w:rsidRPr="0074154F">
        <w:rPr>
          <w:rFonts w:ascii="Arial" w:hAnsi="Arial" w:cs="Arial"/>
          <w:sz w:val="20"/>
          <w:szCs w:val="20"/>
        </w:rPr>
        <w:t xml:space="preserve">           </w:t>
      </w:r>
    </w:p>
    <w:p w14:paraId="23673B95" w14:textId="77777777" w:rsidR="00D252A4" w:rsidRPr="0074154F" w:rsidRDefault="00D252A4" w:rsidP="00413455">
      <w:pPr>
        <w:spacing w:after="0" w:line="240" w:lineRule="auto"/>
        <w:rPr>
          <w:rFonts w:ascii="Arial" w:hAnsi="Arial" w:cs="Arial"/>
          <w:sz w:val="20"/>
          <w:szCs w:val="20"/>
        </w:rPr>
      </w:pPr>
    </w:p>
    <w:tbl>
      <w:tblPr>
        <w:tblW w:w="9072" w:type="dxa"/>
        <w:jc w:val="center"/>
        <w:tblLook w:val="01E0" w:firstRow="1" w:lastRow="1" w:firstColumn="1" w:lastColumn="1" w:noHBand="0" w:noVBand="0"/>
      </w:tblPr>
      <w:tblGrid>
        <w:gridCol w:w="3821"/>
        <w:gridCol w:w="1643"/>
        <w:gridCol w:w="3608"/>
      </w:tblGrid>
      <w:tr w:rsidR="00827DD1" w:rsidRPr="0074154F" w14:paraId="2F7E8E64" w14:textId="77777777" w:rsidTr="00413455">
        <w:trPr>
          <w:trHeight w:val="283"/>
          <w:jc w:val="center"/>
        </w:trPr>
        <w:tc>
          <w:tcPr>
            <w:tcW w:w="3821" w:type="dxa"/>
            <w:tcBorders>
              <w:top w:val="single" w:sz="4" w:space="0" w:color="auto"/>
            </w:tcBorders>
          </w:tcPr>
          <w:p w14:paraId="322FED1E" w14:textId="4380EE9B" w:rsidR="00827DD1" w:rsidRPr="0074154F" w:rsidRDefault="0024158B" w:rsidP="00413455">
            <w:pPr>
              <w:pStyle w:val="Footer"/>
              <w:ind w:right="-9"/>
              <w:contextualSpacing/>
              <w:mirrorIndents/>
              <w:jc w:val="center"/>
              <w:rPr>
                <w:rFonts w:ascii="Arial" w:hAnsi="Arial" w:cs="Arial"/>
                <w:sz w:val="20"/>
                <w:szCs w:val="20"/>
                <w:lang w:val="en-US"/>
              </w:rPr>
            </w:pPr>
            <w:r w:rsidRPr="0074154F">
              <w:rPr>
                <w:rFonts w:ascii="Arial" w:hAnsi="Arial" w:cs="Arial"/>
                <w:sz w:val="20"/>
                <w:szCs w:val="20"/>
                <w:lang w:val="en-US"/>
              </w:rPr>
              <w:t>Ing</w:t>
            </w:r>
            <w:r w:rsidR="00F231B5" w:rsidRPr="0074154F">
              <w:rPr>
                <w:rFonts w:ascii="Arial" w:hAnsi="Arial" w:cs="Arial"/>
                <w:sz w:val="20"/>
                <w:szCs w:val="20"/>
                <w:lang w:val="en-US"/>
              </w:rPr>
              <w:t xml:space="preserve">. </w:t>
            </w:r>
            <w:r w:rsidRPr="0074154F">
              <w:rPr>
                <w:rFonts w:ascii="Arial" w:hAnsi="Arial" w:cs="Arial"/>
                <w:sz w:val="20"/>
                <w:szCs w:val="20"/>
                <w:lang w:val="en-US"/>
              </w:rPr>
              <w:t>Tomislav Topic</w:t>
            </w:r>
          </w:p>
        </w:tc>
        <w:tc>
          <w:tcPr>
            <w:tcW w:w="1643" w:type="dxa"/>
          </w:tcPr>
          <w:p w14:paraId="73A873C2" w14:textId="77777777" w:rsidR="00827DD1" w:rsidRPr="0074154F" w:rsidRDefault="00827DD1" w:rsidP="00413455">
            <w:pPr>
              <w:pStyle w:val="Footer"/>
              <w:ind w:right="-9"/>
              <w:contextualSpacing/>
              <w:mirrorIndents/>
              <w:jc w:val="center"/>
              <w:rPr>
                <w:rFonts w:ascii="Arial" w:hAnsi="Arial" w:cs="Arial"/>
                <w:sz w:val="20"/>
                <w:szCs w:val="20"/>
                <w:lang w:val="en-US"/>
              </w:rPr>
            </w:pPr>
          </w:p>
        </w:tc>
        <w:tc>
          <w:tcPr>
            <w:tcW w:w="3608" w:type="dxa"/>
            <w:tcBorders>
              <w:top w:val="single" w:sz="4" w:space="0" w:color="auto"/>
            </w:tcBorders>
          </w:tcPr>
          <w:p w14:paraId="206DCDD8" w14:textId="7069ED94" w:rsidR="00827DD1" w:rsidRPr="0074154F" w:rsidRDefault="00267AA5" w:rsidP="00413455">
            <w:pPr>
              <w:pStyle w:val="Footer"/>
              <w:ind w:right="-9"/>
              <w:contextualSpacing/>
              <w:mirrorIndents/>
              <w:jc w:val="center"/>
              <w:rPr>
                <w:rFonts w:ascii="Arial" w:hAnsi="Arial" w:cs="Arial"/>
                <w:sz w:val="20"/>
                <w:szCs w:val="20"/>
              </w:rPr>
            </w:pPr>
            <w:r w:rsidRPr="0074154F">
              <w:rPr>
                <w:rFonts w:ascii="Arial" w:hAnsi="Arial" w:cs="Arial"/>
                <w:sz w:val="20"/>
                <w:szCs w:val="20"/>
              </w:rPr>
              <w:t xml:space="preserve">CPA. </w:t>
            </w:r>
            <w:r w:rsidR="002D5A87" w:rsidRPr="0074154F">
              <w:rPr>
                <w:rFonts w:ascii="Arial" w:hAnsi="Arial" w:cs="Arial"/>
                <w:sz w:val="20"/>
                <w:szCs w:val="20"/>
              </w:rPr>
              <w:t>Félix</w:t>
            </w:r>
            <w:r w:rsidR="0024158B" w:rsidRPr="0074154F">
              <w:rPr>
                <w:rFonts w:ascii="Arial" w:hAnsi="Arial" w:cs="Arial"/>
                <w:sz w:val="20"/>
                <w:szCs w:val="20"/>
              </w:rPr>
              <w:t xml:space="preserve"> Valarezo</w:t>
            </w:r>
          </w:p>
        </w:tc>
      </w:tr>
      <w:tr w:rsidR="00827DD1" w:rsidRPr="0074154F" w14:paraId="08B1CF3F" w14:textId="77777777" w:rsidTr="00413455">
        <w:trPr>
          <w:trHeight w:val="283"/>
          <w:jc w:val="center"/>
        </w:trPr>
        <w:tc>
          <w:tcPr>
            <w:tcW w:w="3821" w:type="dxa"/>
          </w:tcPr>
          <w:p w14:paraId="252971A4" w14:textId="032C3671" w:rsidR="00827DD1" w:rsidRPr="0074154F" w:rsidRDefault="00827DD1" w:rsidP="00413455">
            <w:pPr>
              <w:pStyle w:val="Footer"/>
              <w:ind w:right="-9"/>
              <w:contextualSpacing/>
              <w:mirrorIndents/>
              <w:jc w:val="center"/>
              <w:rPr>
                <w:rFonts w:ascii="Arial" w:hAnsi="Arial" w:cs="Arial"/>
                <w:sz w:val="20"/>
                <w:szCs w:val="20"/>
              </w:rPr>
            </w:pPr>
            <w:r w:rsidRPr="0074154F">
              <w:rPr>
                <w:rFonts w:ascii="Arial" w:hAnsi="Arial" w:cs="Arial"/>
                <w:sz w:val="20"/>
                <w:szCs w:val="20"/>
              </w:rPr>
              <w:t>Gerente General</w:t>
            </w:r>
          </w:p>
        </w:tc>
        <w:tc>
          <w:tcPr>
            <w:tcW w:w="1643" w:type="dxa"/>
          </w:tcPr>
          <w:p w14:paraId="41F955DA" w14:textId="77777777" w:rsidR="00827DD1" w:rsidRPr="0074154F" w:rsidRDefault="00827DD1" w:rsidP="00413455">
            <w:pPr>
              <w:pStyle w:val="Footer"/>
              <w:ind w:right="-36"/>
              <w:contextualSpacing/>
              <w:mirrorIndents/>
              <w:jc w:val="center"/>
              <w:rPr>
                <w:rFonts w:ascii="Arial" w:hAnsi="Arial" w:cs="Arial"/>
                <w:sz w:val="20"/>
                <w:szCs w:val="20"/>
              </w:rPr>
            </w:pPr>
          </w:p>
        </w:tc>
        <w:tc>
          <w:tcPr>
            <w:tcW w:w="3608" w:type="dxa"/>
          </w:tcPr>
          <w:p w14:paraId="155F6BA8" w14:textId="100CDD06" w:rsidR="00827DD1" w:rsidRPr="0074154F" w:rsidRDefault="00827DD1" w:rsidP="00413455">
            <w:pPr>
              <w:pStyle w:val="Footer"/>
              <w:ind w:right="-36"/>
              <w:contextualSpacing/>
              <w:mirrorIndents/>
              <w:jc w:val="center"/>
              <w:rPr>
                <w:rFonts w:ascii="Arial" w:hAnsi="Arial" w:cs="Arial"/>
                <w:sz w:val="20"/>
                <w:szCs w:val="20"/>
              </w:rPr>
            </w:pPr>
            <w:r w:rsidRPr="0074154F">
              <w:rPr>
                <w:rFonts w:ascii="Arial" w:hAnsi="Arial" w:cs="Arial"/>
                <w:sz w:val="20"/>
                <w:szCs w:val="20"/>
              </w:rPr>
              <w:t>Contador</w:t>
            </w:r>
            <w:r w:rsidR="00F231B5" w:rsidRPr="0074154F">
              <w:rPr>
                <w:rFonts w:ascii="Arial" w:hAnsi="Arial" w:cs="Arial"/>
                <w:sz w:val="20"/>
                <w:szCs w:val="20"/>
              </w:rPr>
              <w:t xml:space="preserve"> General</w:t>
            </w:r>
          </w:p>
        </w:tc>
      </w:tr>
    </w:tbl>
    <w:p w14:paraId="286854BE" w14:textId="77777777" w:rsidR="00D82827" w:rsidRPr="0074154F" w:rsidRDefault="00D82827" w:rsidP="00413455">
      <w:pPr>
        <w:tabs>
          <w:tab w:val="center" w:pos="2552"/>
          <w:tab w:val="center" w:pos="6804"/>
        </w:tabs>
        <w:spacing w:after="0" w:line="240" w:lineRule="auto"/>
        <w:ind w:right="-1"/>
        <w:jc w:val="center"/>
        <w:rPr>
          <w:rFonts w:ascii="Arial" w:hAnsi="Arial" w:cs="Arial"/>
          <w:sz w:val="20"/>
          <w:szCs w:val="20"/>
        </w:rPr>
      </w:pPr>
    </w:p>
    <w:p w14:paraId="5D0623A2" w14:textId="3A73A965" w:rsidR="005D1D61" w:rsidRPr="0074154F" w:rsidRDefault="005D1D61" w:rsidP="005D1D61">
      <w:pPr>
        <w:pBdr>
          <w:bottom w:val="single" w:sz="4" w:space="1" w:color="auto"/>
        </w:pBdr>
        <w:spacing w:after="0" w:line="240" w:lineRule="auto"/>
        <w:contextualSpacing/>
        <w:mirrorIndents/>
        <w:rPr>
          <w:rFonts w:ascii="Arial" w:hAnsi="Arial" w:cs="Arial"/>
          <w:sz w:val="20"/>
          <w:szCs w:val="20"/>
        </w:rPr>
      </w:pPr>
      <w:r w:rsidRPr="0074154F">
        <w:rPr>
          <w:rFonts w:ascii="Arial" w:hAnsi="Arial" w:cs="Arial"/>
          <w:sz w:val="20"/>
          <w:szCs w:val="20"/>
        </w:rPr>
        <w:t xml:space="preserve">Ver notas a los estados financieros </w:t>
      </w:r>
      <w:r>
        <w:rPr>
          <w:rFonts w:ascii="Arial" w:hAnsi="Arial" w:cs="Arial"/>
          <w:sz w:val="20"/>
          <w:szCs w:val="20"/>
        </w:rPr>
        <w:t xml:space="preserve">y </w:t>
      </w:r>
      <w:r w:rsidR="007E0B2D">
        <w:rPr>
          <w:rFonts w:ascii="Arial" w:hAnsi="Arial" w:cs="Arial"/>
          <w:sz w:val="20"/>
          <w:szCs w:val="20"/>
        </w:rPr>
        <w:t>compañía relacionada</w:t>
      </w:r>
    </w:p>
    <w:p w14:paraId="28771167" w14:textId="7C222E7A" w:rsidR="00D82827" w:rsidRPr="0074154F" w:rsidRDefault="003B1BCE" w:rsidP="00413455">
      <w:pPr>
        <w:spacing w:after="0" w:line="240" w:lineRule="auto"/>
        <w:ind w:right="-1"/>
        <w:jc w:val="center"/>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893042" w:rsidRPr="0074154F">
        <w:rPr>
          <w:rFonts w:ascii="Arial" w:hAnsi="Arial" w:cs="Arial"/>
          <w:b/>
          <w:sz w:val="20"/>
          <w:szCs w:val="20"/>
          <w:u w:val="single"/>
          <w:lang w:val="es-MX"/>
        </w:rPr>
        <w:t xml:space="preserve"> Y COMPAÑÍA </w:t>
      </w:r>
      <w:r w:rsidR="000A44FF">
        <w:rPr>
          <w:rFonts w:ascii="Arial" w:hAnsi="Arial" w:cs="Arial"/>
          <w:b/>
          <w:sz w:val="20"/>
          <w:szCs w:val="20"/>
          <w:u w:val="single"/>
          <w:lang w:val="es-MX"/>
        </w:rPr>
        <w:t>RELACIONADA</w:t>
      </w:r>
    </w:p>
    <w:p w14:paraId="7AE35D4D" w14:textId="77777777" w:rsidR="00D82827" w:rsidRPr="0074154F" w:rsidRDefault="00D82827" w:rsidP="00413455">
      <w:pPr>
        <w:spacing w:after="0" w:line="240" w:lineRule="auto"/>
        <w:ind w:right="-1"/>
        <w:jc w:val="center"/>
        <w:rPr>
          <w:rFonts w:ascii="Arial" w:hAnsi="Arial" w:cs="Arial"/>
          <w:b/>
          <w:sz w:val="20"/>
          <w:szCs w:val="20"/>
          <w:lang w:val="es-MX"/>
        </w:rPr>
      </w:pPr>
    </w:p>
    <w:p w14:paraId="7F7F5EB6" w14:textId="6EB76DF0" w:rsidR="00D82827" w:rsidRPr="0074154F" w:rsidRDefault="00D82827" w:rsidP="00413455">
      <w:pPr>
        <w:keepNext/>
        <w:spacing w:after="0" w:line="240" w:lineRule="auto"/>
        <w:ind w:right="-1"/>
        <w:contextualSpacing/>
        <w:mirrorIndents/>
        <w:jc w:val="center"/>
        <w:outlineLvl w:val="2"/>
        <w:rPr>
          <w:rFonts w:ascii="Arial" w:hAnsi="Arial" w:cs="Arial"/>
          <w:sz w:val="20"/>
          <w:szCs w:val="20"/>
        </w:rPr>
      </w:pPr>
      <w:r w:rsidRPr="0074154F">
        <w:rPr>
          <w:rFonts w:ascii="Arial" w:hAnsi="Arial" w:cs="Arial"/>
          <w:sz w:val="20"/>
          <w:szCs w:val="20"/>
        </w:rPr>
        <w:t>Estado</w:t>
      </w:r>
      <w:r w:rsidR="00C34297" w:rsidRPr="0074154F">
        <w:rPr>
          <w:rFonts w:ascii="Arial" w:hAnsi="Arial" w:cs="Arial"/>
          <w:sz w:val="20"/>
          <w:szCs w:val="20"/>
        </w:rPr>
        <w:t xml:space="preserve"> </w:t>
      </w:r>
      <w:r w:rsidR="008703DE" w:rsidRPr="0074154F">
        <w:rPr>
          <w:rFonts w:ascii="Arial" w:hAnsi="Arial" w:cs="Arial"/>
          <w:sz w:val="20"/>
          <w:szCs w:val="20"/>
        </w:rPr>
        <w:t>Consolidado</w:t>
      </w:r>
      <w:r w:rsidRPr="0074154F">
        <w:rPr>
          <w:rFonts w:ascii="Arial" w:hAnsi="Arial" w:cs="Arial"/>
          <w:sz w:val="20"/>
          <w:szCs w:val="20"/>
        </w:rPr>
        <w:t xml:space="preserve"> de Situación Financiera</w:t>
      </w:r>
      <w:r w:rsidRPr="0074154F">
        <w:rPr>
          <w:rFonts w:ascii="Arial" w:hAnsi="Arial" w:cs="Arial"/>
          <w:sz w:val="20"/>
          <w:szCs w:val="20"/>
        </w:rPr>
        <w:br/>
        <w:t>Al 31 de diciembre del 20</w:t>
      </w:r>
      <w:r w:rsidR="00EA5975" w:rsidRPr="0074154F">
        <w:rPr>
          <w:rFonts w:ascii="Arial" w:hAnsi="Arial" w:cs="Arial"/>
          <w:sz w:val="20"/>
          <w:szCs w:val="20"/>
        </w:rPr>
        <w:t>20</w:t>
      </w:r>
    </w:p>
    <w:p w14:paraId="5461632D" w14:textId="77777777" w:rsidR="00D82827" w:rsidRPr="0074154F" w:rsidRDefault="00D82827"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ind w:right="-1"/>
        <w:jc w:val="center"/>
        <w:rPr>
          <w:rFonts w:ascii="Arial" w:hAnsi="Arial" w:cs="Arial"/>
          <w:lang w:val="es-EC" w:eastAsia="es-ES"/>
        </w:rPr>
      </w:pPr>
      <w:r w:rsidRPr="0074154F">
        <w:rPr>
          <w:rFonts w:ascii="Arial" w:hAnsi="Arial" w:cs="Arial"/>
          <w:lang w:val="es-EC" w:eastAsia="es-ES"/>
        </w:rPr>
        <w:t xml:space="preserve">(En dólares de los Estados Unidos de América) </w:t>
      </w:r>
    </w:p>
    <w:p w14:paraId="29869D59" w14:textId="77777777" w:rsidR="00D82827" w:rsidRPr="0074154F" w:rsidRDefault="00D82827" w:rsidP="00413455">
      <w:pPr>
        <w:spacing w:after="0" w:line="240" w:lineRule="auto"/>
        <w:rPr>
          <w:rFonts w:ascii="Arial" w:hAnsi="Arial" w:cs="Arial"/>
          <w:sz w:val="20"/>
          <w:szCs w:val="20"/>
        </w:rPr>
      </w:pPr>
    </w:p>
    <w:tbl>
      <w:tblPr>
        <w:tblW w:w="9070" w:type="dxa"/>
        <w:jc w:val="right"/>
        <w:tblCellMar>
          <w:left w:w="70" w:type="dxa"/>
          <w:right w:w="70" w:type="dxa"/>
        </w:tblCellMar>
        <w:tblLook w:val="04A0" w:firstRow="1" w:lastRow="0" w:firstColumn="1" w:lastColumn="0" w:noHBand="0" w:noVBand="1"/>
      </w:tblPr>
      <w:tblGrid>
        <w:gridCol w:w="3514"/>
        <w:gridCol w:w="846"/>
        <w:gridCol w:w="160"/>
        <w:gridCol w:w="2195"/>
        <w:gridCol w:w="160"/>
        <w:gridCol w:w="2195"/>
      </w:tblGrid>
      <w:tr w:rsidR="00BE445A" w:rsidRPr="0074154F" w14:paraId="1B5D2948" w14:textId="77777777" w:rsidTr="00CA606A">
        <w:trPr>
          <w:trHeight w:val="283"/>
          <w:jc w:val="right"/>
        </w:trPr>
        <w:tc>
          <w:tcPr>
            <w:tcW w:w="4876" w:type="dxa"/>
            <w:tcBorders>
              <w:top w:val="nil"/>
              <w:left w:val="nil"/>
              <w:bottom w:val="nil"/>
              <w:right w:val="nil"/>
            </w:tcBorders>
            <w:shd w:val="clear" w:color="auto" w:fill="auto"/>
            <w:vAlign w:val="bottom"/>
          </w:tcPr>
          <w:p w14:paraId="3E151E32" w14:textId="77777777" w:rsidR="00BE445A" w:rsidRPr="0074154F" w:rsidRDefault="00BE445A" w:rsidP="00413455">
            <w:pPr>
              <w:spacing w:after="0" w:line="240" w:lineRule="auto"/>
              <w:ind w:left="-75"/>
              <w:rPr>
                <w:rFonts w:ascii="Arial" w:eastAsia="Times New Roman" w:hAnsi="Arial" w:cs="Arial"/>
                <w:b/>
                <w:color w:val="000000"/>
                <w:sz w:val="20"/>
                <w:szCs w:val="20"/>
                <w:u w:val="single"/>
                <w:lang w:eastAsia="es-MX"/>
              </w:rPr>
            </w:pPr>
            <w:bookmarkStart w:id="5" w:name="_Hlk74573511"/>
            <w:r w:rsidRPr="0074154F">
              <w:rPr>
                <w:rFonts w:ascii="Arial" w:eastAsia="Times New Roman" w:hAnsi="Arial" w:cs="Arial"/>
                <w:b/>
                <w:color w:val="000000"/>
                <w:sz w:val="20"/>
                <w:szCs w:val="20"/>
                <w:u w:val="single"/>
                <w:lang w:eastAsia="es-MX"/>
              </w:rPr>
              <w:t>PASIVOS Y PATRIMONIO</w:t>
            </w:r>
          </w:p>
        </w:tc>
        <w:tc>
          <w:tcPr>
            <w:tcW w:w="850" w:type="dxa"/>
            <w:tcBorders>
              <w:top w:val="nil"/>
              <w:left w:val="nil"/>
              <w:bottom w:val="single" w:sz="8" w:space="0" w:color="auto"/>
              <w:right w:val="nil"/>
            </w:tcBorders>
            <w:shd w:val="clear" w:color="auto" w:fill="auto"/>
            <w:vAlign w:val="bottom"/>
          </w:tcPr>
          <w:p w14:paraId="2E721B94" w14:textId="4F73B785" w:rsidR="00BE445A" w:rsidRPr="0074154F" w:rsidRDefault="00BE445A"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b/>
                <w:bCs/>
                <w:color w:val="000000"/>
                <w:sz w:val="20"/>
                <w:szCs w:val="20"/>
                <w:lang w:eastAsia="es-MX"/>
              </w:rPr>
              <w:t>NOTAS</w:t>
            </w:r>
          </w:p>
        </w:tc>
        <w:tc>
          <w:tcPr>
            <w:tcW w:w="170" w:type="dxa"/>
            <w:tcBorders>
              <w:top w:val="nil"/>
              <w:left w:val="nil"/>
              <w:bottom w:val="nil"/>
              <w:right w:val="nil"/>
            </w:tcBorders>
            <w:shd w:val="clear" w:color="auto" w:fill="auto"/>
            <w:vAlign w:val="bottom"/>
          </w:tcPr>
          <w:p w14:paraId="6A98D494"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502" w:type="dxa"/>
            <w:tcBorders>
              <w:top w:val="nil"/>
              <w:left w:val="nil"/>
              <w:bottom w:val="single" w:sz="8" w:space="0" w:color="auto"/>
              <w:right w:val="nil"/>
            </w:tcBorders>
            <w:shd w:val="clear" w:color="auto" w:fill="auto"/>
            <w:vAlign w:val="bottom"/>
          </w:tcPr>
          <w:p w14:paraId="04202D7A" w14:textId="7CC9A216" w:rsidR="00BE445A" w:rsidRPr="0074154F" w:rsidRDefault="00BE445A" w:rsidP="00413455">
            <w:pPr>
              <w:spacing w:after="0" w:line="240" w:lineRule="auto"/>
              <w:ind w:right="98"/>
              <w:jc w:val="right"/>
              <w:rPr>
                <w:rFonts w:ascii="Arial" w:eastAsia="Times New Roman" w:hAnsi="Arial" w:cs="Arial"/>
                <w:sz w:val="20"/>
                <w:szCs w:val="20"/>
                <w:lang w:val="es-MX" w:eastAsia="es-MX"/>
              </w:rPr>
            </w:pPr>
            <w:r w:rsidRPr="0074154F">
              <w:rPr>
                <w:rFonts w:ascii="Arial" w:eastAsia="Times New Roman" w:hAnsi="Arial" w:cs="Arial"/>
                <w:b/>
                <w:bCs/>
                <w:color w:val="000000"/>
                <w:sz w:val="20"/>
                <w:szCs w:val="20"/>
                <w:lang w:eastAsia="es-MX"/>
              </w:rPr>
              <w:t>31/12/20</w:t>
            </w:r>
            <w:r w:rsidR="00EA5975" w:rsidRPr="0074154F">
              <w:rPr>
                <w:rFonts w:ascii="Arial" w:eastAsia="Times New Roman" w:hAnsi="Arial" w:cs="Arial"/>
                <w:b/>
                <w:bCs/>
                <w:color w:val="000000"/>
                <w:sz w:val="20"/>
                <w:szCs w:val="20"/>
                <w:lang w:eastAsia="es-MX"/>
              </w:rPr>
              <w:t>20</w:t>
            </w:r>
          </w:p>
        </w:tc>
        <w:tc>
          <w:tcPr>
            <w:tcW w:w="170" w:type="dxa"/>
            <w:tcBorders>
              <w:top w:val="nil"/>
              <w:left w:val="nil"/>
              <w:bottom w:val="nil"/>
              <w:right w:val="nil"/>
            </w:tcBorders>
            <w:shd w:val="clear" w:color="auto" w:fill="auto"/>
            <w:vAlign w:val="bottom"/>
          </w:tcPr>
          <w:p w14:paraId="617D5086" w14:textId="77777777" w:rsidR="00BE445A" w:rsidRPr="0074154F" w:rsidRDefault="00BE445A" w:rsidP="00413455">
            <w:pPr>
              <w:spacing w:after="0" w:line="240" w:lineRule="auto"/>
              <w:ind w:right="98"/>
              <w:jc w:val="right"/>
              <w:rPr>
                <w:rFonts w:ascii="Arial" w:eastAsia="Times New Roman" w:hAnsi="Arial" w:cs="Arial"/>
                <w:sz w:val="20"/>
                <w:szCs w:val="20"/>
                <w:lang w:val="es-MX" w:eastAsia="es-MX"/>
              </w:rPr>
            </w:pPr>
          </w:p>
        </w:tc>
        <w:tc>
          <w:tcPr>
            <w:tcW w:w="1502" w:type="dxa"/>
            <w:tcBorders>
              <w:top w:val="nil"/>
              <w:left w:val="nil"/>
              <w:bottom w:val="single" w:sz="8" w:space="0" w:color="auto"/>
              <w:right w:val="nil"/>
            </w:tcBorders>
            <w:shd w:val="clear" w:color="auto" w:fill="auto"/>
            <w:vAlign w:val="bottom"/>
          </w:tcPr>
          <w:p w14:paraId="1F870F28" w14:textId="05AAB9AF" w:rsidR="00BE445A" w:rsidRPr="0074154F" w:rsidRDefault="00BE445A" w:rsidP="00413455">
            <w:pPr>
              <w:spacing w:after="0" w:line="240" w:lineRule="auto"/>
              <w:ind w:right="98"/>
              <w:jc w:val="right"/>
              <w:rPr>
                <w:rFonts w:ascii="Arial" w:eastAsia="Times New Roman" w:hAnsi="Arial" w:cs="Arial"/>
                <w:sz w:val="20"/>
                <w:szCs w:val="20"/>
                <w:lang w:val="es-MX" w:eastAsia="es-MX"/>
              </w:rPr>
            </w:pPr>
            <w:r w:rsidRPr="0074154F">
              <w:rPr>
                <w:rFonts w:ascii="Arial" w:eastAsia="Times New Roman" w:hAnsi="Arial" w:cs="Arial"/>
                <w:b/>
                <w:bCs/>
                <w:color w:val="000000"/>
                <w:sz w:val="20"/>
                <w:szCs w:val="20"/>
                <w:lang w:eastAsia="es-MX"/>
              </w:rPr>
              <w:t>31/12/201</w:t>
            </w:r>
            <w:r w:rsidR="00EA5975" w:rsidRPr="0074154F">
              <w:rPr>
                <w:rFonts w:ascii="Arial" w:eastAsia="Times New Roman" w:hAnsi="Arial" w:cs="Arial"/>
                <w:b/>
                <w:bCs/>
                <w:color w:val="000000"/>
                <w:sz w:val="20"/>
                <w:szCs w:val="20"/>
                <w:lang w:eastAsia="es-MX"/>
              </w:rPr>
              <w:t>9</w:t>
            </w:r>
          </w:p>
        </w:tc>
      </w:tr>
      <w:tr w:rsidR="00BE445A" w:rsidRPr="0074154F" w14:paraId="4339E529" w14:textId="77777777" w:rsidTr="00DE7401">
        <w:trPr>
          <w:trHeight w:val="125"/>
          <w:jc w:val="right"/>
        </w:trPr>
        <w:tc>
          <w:tcPr>
            <w:tcW w:w="4876" w:type="dxa"/>
            <w:tcBorders>
              <w:top w:val="nil"/>
              <w:left w:val="nil"/>
              <w:bottom w:val="nil"/>
              <w:right w:val="nil"/>
            </w:tcBorders>
            <w:shd w:val="clear" w:color="auto" w:fill="auto"/>
            <w:vAlign w:val="bottom"/>
          </w:tcPr>
          <w:p w14:paraId="60056806" w14:textId="77777777" w:rsidR="00BE445A" w:rsidRPr="0074154F" w:rsidRDefault="00BE445A" w:rsidP="00413455">
            <w:pPr>
              <w:spacing w:after="0" w:line="240" w:lineRule="auto"/>
              <w:ind w:left="-75"/>
              <w:rPr>
                <w:rFonts w:ascii="Arial" w:eastAsia="Times New Roman" w:hAnsi="Arial" w:cs="Arial"/>
                <w:color w:val="000000"/>
                <w:sz w:val="20"/>
                <w:szCs w:val="20"/>
                <w:lang w:eastAsia="es-MX"/>
              </w:rPr>
            </w:pPr>
          </w:p>
        </w:tc>
        <w:tc>
          <w:tcPr>
            <w:tcW w:w="850" w:type="dxa"/>
            <w:tcBorders>
              <w:top w:val="single" w:sz="8" w:space="0" w:color="auto"/>
              <w:left w:val="nil"/>
              <w:bottom w:val="nil"/>
              <w:right w:val="nil"/>
            </w:tcBorders>
            <w:shd w:val="clear" w:color="auto" w:fill="auto"/>
            <w:vAlign w:val="bottom"/>
          </w:tcPr>
          <w:p w14:paraId="788C6032" w14:textId="77777777" w:rsidR="00BE445A" w:rsidRPr="0074154F" w:rsidRDefault="00BE445A" w:rsidP="00413455">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3C53475D"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bottom w:val="nil"/>
              <w:right w:val="nil"/>
            </w:tcBorders>
            <w:shd w:val="clear" w:color="auto" w:fill="auto"/>
            <w:vAlign w:val="bottom"/>
          </w:tcPr>
          <w:p w14:paraId="61E59586"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3FA60E3F"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502" w:type="dxa"/>
            <w:tcBorders>
              <w:top w:val="single" w:sz="8" w:space="0" w:color="auto"/>
              <w:left w:val="nil"/>
              <w:bottom w:val="nil"/>
              <w:right w:val="nil"/>
            </w:tcBorders>
            <w:shd w:val="clear" w:color="auto" w:fill="auto"/>
            <w:vAlign w:val="bottom"/>
          </w:tcPr>
          <w:p w14:paraId="607D552F" w14:textId="77777777" w:rsidR="00BE445A" w:rsidRPr="0074154F" w:rsidRDefault="00BE445A" w:rsidP="00413455">
            <w:pPr>
              <w:spacing w:after="0" w:line="240" w:lineRule="auto"/>
              <w:rPr>
                <w:rFonts w:ascii="Arial" w:eastAsia="Times New Roman" w:hAnsi="Arial" w:cs="Arial"/>
                <w:sz w:val="20"/>
                <w:szCs w:val="20"/>
                <w:lang w:val="es-MX" w:eastAsia="es-MX"/>
              </w:rPr>
            </w:pPr>
          </w:p>
        </w:tc>
      </w:tr>
      <w:tr w:rsidR="00BE445A" w:rsidRPr="0074154F" w14:paraId="4809FE5C" w14:textId="77777777" w:rsidTr="00DE7401">
        <w:trPr>
          <w:trHeight w:val="191"/>
          <w:jc w:val="right"/>
        </w:trPr>
        <w:tc>
          <w:tcPr>
            <w:tcW w:w="4876" w:type="dxa"/>
            <w:tcBorders>
              <w:top w:val="nil"/>
              <w:left w:val="nil"/>
              <w:bottom w:val="nil"/>
              <w:right w:val="nil"/>
            </w:tcBorders>
            <w:shd w:val="clear" w:color="auto" w:fill="auto"/>
            <w:vAlign w:val="bottom"/>
          </w:tcPr>
          <w:p w14:paraId="1F191DC1" w14:textId="36E3DF1A" w:rsidR="00BE445A" w:rsidRPr="0074154F" w:rsidRDefault="00BE445A" w:rsidP="00413455">
            <w:pPr>
              <w:spacing w:after="0" w:line="240" w:lineRule="auto"/>
              <w:ind w:left="-75"/>
              <w:rPr>
                <w:rFonts w:ascii="Arial" w:eastAsia="Times New Roman" w:hAnsi="Arial" w:cs="Arial"/>
                <w:b/>
                <w:color w:val="000000"/>
                <w:sz w:val="20"/>
                <w:szCs w:val="20"/>
                <w:lang w:val="es-MX" w:eastAsia="es-MX"/>
              </w:rPr>
            </w:pPr>
            <w:r w:rsidRPr="0074154F">
              <w:rPr>
                <w:rFonts w:ascii="Arial" w:eastAsia="Times New Roman" w:hAnsi="Arial" w:cs="Arial"/>
                <w:b/>
                <w:color w:val="000000"/>
                <w:sz w:val="20"/>
                <w:szCs w:val="20"/>
                <w:lang w:eastAsia="es-MX"/>
              </w:rPr>
              <w:t>PASIVOS CORRIENTES</w:t>
            </w:r>
            <w:r w:rsidR="00491FCB" w:rsidRPr="0074154F">
              <w:rPr>
                <w:rFonts w:ascii="Arial" w:eastAsia="Times New Roman" w:hAnsi="Arial" w:cs="Arial"/>
                <w:b/>
                <w:color w:val="000000"/>
                <w:sz w:val="20"/>
                <w:szCs w:val="20"/>
                <w:lang w:eastAsia="es-MX"/>
              </w:rPr>
              <w:t>:</w:t>
            </w:r>
          </w:p>
        </w:tc>
        <w:tc>
          <w:tcPr>
            <w:tcW w:w="850" w:type="dxa"/>
            <w:tcBorders>
              <w:top w:val="nil"/>
              <w:left w:val="nil"/>
              <w:bottom w:val="nil"/>
              <w:right w:val="nil"/>
            </w:tcBorders>
            <w:shd w:val="clear" w:color="auto" w:fill="auto"/>
            <w:vAlign w:val="bottom"/>
          </w:tcPr>
          <w:p w14:paraId="40198DB9" w14:textId="77777777" w:rsidR="00BE445A" w:rsidRPr="0074154F" w:rsidRDefault="00BE445A" w:rsidP="00413455">
            <w:pPr>
              <w:spacing w:after="0" w:line="240" w:lineRule="auto"/>
              <w:jc w:val="center"/>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2F5ED99C"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tcPr>
          <w:p w14:paraId="64CF029F"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70" w:type="dxa"/>
            <w:tcBorders>
              <w:top w:val="nil"/>
              <w:left w:val="nil"/>
              <w:bottom w:val="nil"/>
              <w:right w:val="nil"/>
            </w:tcBorders>
            <w:shd w:val="clear" w:color="auto" w:fill="auto"/>
            <w:vAlign w:val="bottom"/>
          </w:tcPr>
          <w:p w14:paraId="74A47C81"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502" w:type="dxa"/>
            <w:tcBorders>
              <w:top w:val="nil"/>
              <w:left w:val="nil"/>
              <w:bottom w:val="nil"/>
              <w:right w:val="nil"/>
            </w:tcBorders>
            <w:shd w:val="clear" w:color="auto" w:fill="auto"/>
            <w:vAlign w:val="bottom"/>
          </w:tcPr>
          <w:p w14:paraId="65494C89" w14:textId="77777777" w:rsidR="00BE445A" w:rsidRPr="0074154F" w:rsidRDefault="00BE445A" w:rsidP="00413455">
            <w:pPr>
              <w:spacing w:after="0" w:line="240" w:lineRule="auto"/>
              <w:rPr>
                <w:rFonts w:ascii="Arial" w:eastAsia="Times New Roman" w:hAnsi="Arial" w:cs="Arial"/>
                <w:sz w:val="20"/>
                <w:szCs w:val="20"/>
                <w:lang w:val="es-MX" w:eastAsia="es-MX"/>
              </w:rPr>
            </w:pPr>
          </w:p>
        </w:tc>
      </w:tr>
      <w:tr w:rsidR="001E6456" w:rsidRPr="0074154F" w14:paraId="09D6FAAC" w14:textId="77777777" w:rsidTr="00BE445A">
        <w:trPr>
          <w:trHeight w:val="283"/>
          <w:jc w:val="right"/>
        </w:trPr>
        <w:tc>
          <w:tcPr>
            <w:tcW w:w="4876" w:type="dxa"/>
            <w:tcBorders>
              <w:top w:val="nil"/>
              <w:left w:val="nil"/>
              <w:bottom w:val="nil"/>
              <w:right w:val="nil"/>
            </w:tcBorders>
            <w:shd w:val="clear" w:color="auto" w:fill="auto"/>
            <w:vAlign w:val="bottom"/>
          </w:tcPr>
          <w:p w14:paraId="1FA2A479" w14:textId="3BAD332D" w:rsidR="001E6456" w:rsidRPr="0074154F" w:rsidRDefault="006D3909"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Documentos y c</w:t>
            </w:r>
            <w:r w:rsidR="001E6456" w:rsidRPr="0074154F">
              <w:rPr>
                <w:rFonts w:ascii="Arial" w:hAnsi="Arial" w:cs="Arial"/>
                <w:color w:val="000000"/>
                <w:sz w:val="20"/>
                <w:szCs w:val="20"/>
              </w:rPr>
              <w:t>uentas por pagar</w:t>
            </w:r>
            <w:r w:rsidR="00A36298" w:rsidRPr="0074154F">
              <w:rPr>
                <w:rFonts w:ascii="Arial" w:hAnsi="Arial" w:cs="Arial"/>
                <w:color w:val="000000"/>
                <w:sz w:val="20"/>
                <w:szCs w:val="20"/>
              </w:rPr>
              <w:t xml:space="preserve"> </w:t>
            </w:r>
          </w:p>
        </w:tc>
        <w:tc>
          <w:tcPr>
            <w:tcW w:w="850" w:type="dxa"/>
            <w:tcBorders>
              <w:top w:val="nil"/>
              <w:left w:val="nil"/>
              <w:bottom w:val="nil"/>
              <w:right w:val="nil"/>
            </w:tcBorders>
            <w:shd w:val="clear" w:color="auto" w:fill="auto"/>
            <w:vAlign w:val="bottom"/>
          </w:tcPr>
          <w:p w14:paraId="3D8C671C" w14:textId="39520D1C"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3</w:t>
            </w:r>
          </w:p>
        </w:tc>
        <w:tc>
          <w:tcPr>
            <w:tcW w:w="170" w:type="dxa"/>
            <w:tcBorders>
              <w:top w:val="nil"/>
              <w:left w:val="nil"/>
              <w:bottom w:val="nil"/>
              <w:right w:val="nil"/>
            </w:tcBorders>
            <w:shd w:val="clear" w:color="auto" w:fill="auto"/>
            <w:vAlign w:val="bottom"/>
          </w:tcPr>
          <w:p w14:paraId="4E5C7D01"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4D34756A" w14:textId="08A046DF"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35,844,252</w:t>
            </w:r>
          </w:p>
        </w:tc>
        <w:tc>
          <w:tcPr>
            <w:tcW w:w="170" w:type="dxa"/>
            <w:tcBorders>
              <w:top w:val="nil"/>
              <w:left w:val="nil"/>
              <w:right w:val="nil"/>
            </w:tcBorders>
            <w:shd w:val="clear" w:color="auto" w:fill="auto"/>
            <w:vAlign w:val="bottom"/>
          </w:tcPr>
          <w:p w14:paraId="70894C7B"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5E47F6E1" w14:textId="69174072" w:rsidR="001E6456" w:rsidRPr="0074154F" w:rsidRDefault="00CC29BD"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29,244,842</w:t>
            </w:r>
          </w:p>
        </w:tc>
      </w:tr>
      <w:tr w:rsidR="001E6456" w:rsidRPr="0074154F" w14:paraId="2D2BDD83" w14:textId="77777777" w:rsidTr="00BE445A">
        <w:trPr>
          <w:trHeight w:val="283"/>
          <w:jc w:val="right"/>
        </w:trPr>
        <w:tc>
          <w:tcPr>
            <w:tcW w:w="4876" w:type="dxa"/>
            <w:tcBorders>
              <w:top w:val="nil"/>
              <w:left w:val="nil"/>
              <w:bottom w:val="nil"/>
              <w:right w:val="nil"/>
            </w:tcBorders>
            <w:shd w:val="clear" w:color="auto" w:fill="auto"/>
            <w:vAlign w:val="bottom"/>
          </w:tcPr>
          <w:p w14:paraId="426FDA0D" w14:textId="362D992C"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Impuestos</w:t>
            </w:r>
          </w:p>
        </w:tc>
        <w:tc>
          <w:tcPr>
            <w:tcW w:w="850" w:type="dxa"/>
            <w:tcBorders>
              <w:top w:val="nil"/>
              <w:left w:val="nil"/>
              <w:bottom w:val="nil"/>
              <w:right w:val="nil"/>
            </w:tcBorders>
            <w:shd w:val="clear" w:color="auto" w:fill="auto"/>
            <w:vAlign w:val="bottom"/>
          </w:tcPr>
          <w:p w14:paraId="051031AE" w14:textId="0E5A07BA"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19</w:t>
            </w:r>
          </w:p>
        </w:tc>
        <w:tc>
          <w:tcPr>
            <w:tcW w:w="170" w:type="dxa"/>
            <w:tcBorders>
              <w:top w:val="nil"/>
              <w:left w:val="nil"/>
              <w:bottom w:val="nil"/>
              <w:right w:val="nil"/>
            </w:tcBorders>
            <w:shd w:val="clear" w:color="auto" w:fill="auto"/>
            <w:vAlign w:val="bottom"/>
          </w:tcPr>
          <w:p w14:paraId="594E88BF"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34E0EB7E" w14:textId="6C79DC22"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9,704,631</w:t>
            </w:r>
          </w:p>
        </w:tc>
        <w:tc>
          <w:tcPr>
            <w:tcW w:w="170" w:type="dxa"/>
            <w:tcBorders>
              <w:top w:val="nil"/>
              <w:left w:val="nil"/>
              <w:right w:val="nil"/>
            </w:tcBorders>
            <w:shd w:val="clear" w:color="auto" w:fill="auto"/>
            <w:vAlign w:val="bottom"/>
          </w:tcPr>
          <w:p w14:paraId="33B70E07"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10A1E070" w14:textId="7895BB90" w:rsidR="001E6456" w:rsidRPr="0074154F" w:rsidRDefault="002D2748"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8,921,24</w:t>
            </w:r>
            <w:r w:rsidR="00FD7380">
              <w:rPr>
                <w:rFonts w:ascii="Arial" w:hAnsi="Arial" w:cs="Arial"/>
                <w:color w:val="000000"/>
                <w:sz w:val="20"/>
                <w:szCs w:val="20"/>
              </w:rPr>
              <w:t>5</w:t>
            </w:r>
          </w:p>
        </w:tc>
      </w:tr>
      <w:tr w:rsidR="001E6456" w:rsidRPr="0074154F" w14:paraId="4C866B09" w14:textId="77777777" w:rsidTr="00BE445A">
        <w:trPr>
          <w:trHeight w:val="283"/>
          <w:jc w:val="right"/>
        </w:trPr>
        <w:tc>
          <w:tcPr>
            <w:tcW w:w="4876" w:type="dxa"/>
            <w:tcBorders>
              <w:top w:val="nil"/>
              <w:left w:val="nil"/>
              <w:bottom w:val="nil"/>
              <w:right w:val="nil"/>
            </w:tcBorders>
            <w:shd w:val="clear" w:color="auto" w:fill="auto"/>
            <w:vAlign w:val="bottom"/>
          </w:tcPr>
          <w:p w14:paraId="3D5827D0" w14:textId="2F921540"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 xml:space="preserve">Pasivos por arrendamientos </w:t>
            </w:r>
          </w:p>
        </w:tc>
        <w:tc>
          <w:tcPr>
            <w:tcW w:w="850" w:type="dxa"/>
            <w:tcBorders>
              <w:top w:val="nil"/>
              <w:left w:val="nil"/>
              <w:bottom w:val="nil"/>
              <w:right w:val="nil"/>
            </w:tcBorders>
            <w:shd w:val="clear" w:color="auto" w:fill="auto"/>
            <w:vAlign w:val="bottom"/>
          </w:tcPr>
          <w:p w14:paraId="79FC3B30" w14:textId="3E6828A5"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4</w:t>
            </w:r>
          </w:p>
        </w:tc>
        <w:tc>
          <w:tcPr>
            <w:tcW w:w="170" w:type="dxa"/>
            <w:tcBorders>
              <w:top w:val="nil"/>
              <w:left w:val="nil"/>
              <w:bottom w:val="nil"/>
              <w:right w:val="nil"/>
            </w:tcBorders>
            <w:shd w:val="clear" w:color="auto" w:fill="auto"/>
            <w:vAlign w:val="bottom"/>
          </w:tcPr>
          <w:p w14:paraId="5C779E77"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74072926" w14:textId="22B173A1"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2,486,092</w:t>
            </w:r>
          </w:p>
        </w:tc>
        <w:tc>
          <w:tcPr>
            <w:tcW w:w="170" w:type="dxa"/>
            <w:tcBorders>
              <w:top w:val="nil"/>
              <w:left w:val="nil"/>
              <w:right w:val="nil"/>
            </w:tcBorders>
            <w:shd w:val="clear" w:color="auto" w:fill="auto"/>
            <w:vAlign w:val="bottom"/>
          </w:tcPr>
          <w:p w14:paraId="51C2828D"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2E173CDB" w14:textId="3C7868F5" w:rsidR="001E6456" w:rsidRPr="0074154F" w:rsidRDefault="002D2748"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2,219,</w:t>
            </w:r>
            <w:r w:rsidR="002F72AA">
              <w:rPr>
                <w:rFonts w:ascii="Arial" w:hAnsi="Arial" w:cs="Arial"/>
                <w:color w:val="000000"/>
                <w:sz w:val="20"/>
                <w:szCs w:val="20"/>
              </w:rPr>
              <w:t>217</w:t>
            </w:r>
          </w:p>
        </w:tc>
      </w:tr>
      <w:tr w:rsidR="001E6456" w:rsidRPr="0074154F" w14:paraId="2F85D333" w14:textId="77777777" w:rsidTr="00BE445A">
        <w:trPr>
          <w:trHeight w:val="283"/>
          <w:jc w:val="right"/>
        </w:trPr>
        <w:tc>
          <w:tcPr>
            <w:tcW w:w="4876" w:type="dxa"/>
            <w:tcBorders>
              <w:top w:val="nil"/>
              <w:left w:val="nil"/>
              <w:bottom w:val="nil"/>
              <w:right w:val="nil"/>
            </w:tcBorders>
            <w:shd w:val="clear" w:color="auto" w:fill="auto"/>
            <w:vAlign w:val="bottom"/>
          </w:tcPr>
          <w:p w14:paraId="06DDC69B" w14:textId="30FDF0C8"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Préstamos</w:t>
            </w:r>
            <w:r w:rsidR="00A36298" w:rsidRPr="0074154F">
              <w:rPr>
                <w:rFonts w:ascii="Arial" w:hAnsi="Arial" w:cs="Arial"/>
                <w:color w:val="000000"/>
                <w:sz w:val="20"/>
                <w:szCs w:val="20"/>
              </w:rPr>
              <w:t xml:space="preserve"> </w:t>
            </w:r>
          </w:p>
        </w:tc>
        <w:tc>
          <w:tcPr>
            <w:tcW w:w="850" w:type="dxa"/>
            <w:tcBorders>
              <w:top w:val="nil"/>
              <w:left w:val="nil"/>
              <w:bottom w:val="nil"/>
              <w:right w:val="nil"/>
            </w:tcBorders>
            <w:shd w:val="clear" w:color="auto" w:fill="auto"/>
            <w:vAlign w:val="bottom"/>
          </w:tcPr>
          <w:p w14:paraId="2604FC12" w14:textId="470FAF0E"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5</w:t>
            </w:r>
          </w:p>
        </w:tc>
        <w:tc>
          <w:tcPr>
            <w:tcW w:w="170" w:type="dxa"/>
            <w:tcBorders>
              <w:top w:val="nil"/>
              <w:left w:val="nil"/>
              <w:bottom w:val="nil"/>
              <w:right w:val="nil"/>
            </w:tcBorders>
            <w:shd w:val="clear" w:color="auto" w:fill="auto"/>
            <w:vAlign w:val="bottom"/>
          </w:tcPr>
          <w:p w14:paraId="284717A1"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4A625434" w14:textId="0CAAFE22"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5,559,832</w:t>
            </w:r>
          </w:p>
        </w:tc>
        <w:tc>
          <w:tcPr>
            <w:tcW w:w="170" w:type="dxa"/>
            <w:tcBorders>
              <w:top w:val="nil"/>
              <w:left w:val="nil"/>
              <w:right w:val="nil"/>
            </w:tcBorders>
            <w:shd w:val="clear" w:color="auto" w:fill="auto"/>
            <w:vAlign w:val="bottom"/>
          </w:tcPr>
          <w:p w14:paraId="39452B21"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2D945B78" w14:textId="76389CA1" w:rsidR="001E6456" w:rsidRPr="0074154F" w:rsidRDefault="00FD7380"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6,303,077</w:t>
            </w:r>
          </w:p>
        </w:tc>
      </w:tr>
      <w:tr w:rsidR="001E6456" w:rsidRPr="0074154F" w14:paraId="27A0A460" w14:textId="77777777" w:rsidTr="00D56A84">
        <w:trPr>
          <w:trHeight w:val="283"/>
          <w:jc w:val="right"/>
        </w:trPr>
        <w:tc>
          <w:tcPr>
            <w:tcW w:w="4876" w:type="dxa"/>
            <w:tcBorders>
              <w:top w:val="nil"/>
              <w:left w:val="nil"/>
              <w:bottom w:val="nil"/>
              <w:right w:val="nil"/>
            </w:tcBorders>
            <w:shd w:val="clear" w:color="auto" w:fill="auto"/>
            <w:vAlign w:val="bottom"/>
          </w:tcPr>
          <w:p w14:paraId="4F7864F1" w14:textId="010D8837"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themeColor="text1"/>
                <w:sz w:val="20"/>
                <w:szCs w:val="20"/>
              </w:rPr>
              <w:t>Otros pasivos financieros</w:t>
            </w:r>
          </w:p>
        </w:tc>
        <w:tc>
          <w:tcPr>
            <w:tcW w:w="850" w:type="dxa"/>
            <w:tcBorders>
              <w:top w:val="nil"/>
              <w:left w:val="nil"/>
              <w:bottom w:val="nil"/>
              <w:right w:val="nil"/>
            </w:tcBorders>
            <w:shd w:val="clear" w:color="auto" w:fill="auto"/>
            <w:vAlign w:val="bottom"/>
          </w:tcPr>
          <w:p w14:paraId="58C55B93" w14:textId="18416472"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6</w:t>
            </w:r>
          </w:p>
        </w:tc>
        <w:tc>
          <w:tcPr>
            <w:tcW w:w="170" w:type="dxa"/>
            <w:tcBorders>
              <w:top w:val="nil"/>
              <w:left w:val="nil"/>
              <w:bottom w:val="nil"/>
              <w:right w:val="nil"/>
            </w:tcBorders>
            <w:shd w:val="clear" w:color="auto" w:fill="auto"/>
            <w:vAlign w:val="bottom"/>
          </w:tcPr>
          <w:p w14:paraId="2656F111"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706AEAC5" w14:textId="72130330"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6,939,886</w:t>
            </w:r>
          </w:p>
        </w:tc>
        <w:tc>
          <w:tcPr>
            <w:tcW w:w="170" w:type="dxa"/>
            <w:tcBorders>
              <w:top w:val="nil"/>
              <w:left w:val="nil"/>
              <w:right w:val="nil"/>
            </w:tcBorders>
            <w:shd w:val="clear" w:color="auto" w:fill="auto"/>
            <w:vAlign w:val="bottom"/>
          </w:tcPr>
          <w:p w14:paraId="50BD805A"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10F1CF0B" w14:textId="143A3133"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2,484,731</w:t>
            </w:r>
          </w:p>
        </w:tc>
      </w:tr>
      <w:tr w:rsidR="007D1085" w:rsidRPr="0074154F" w14:paraId="5DD530AD" w14:textId="77777777" w:rsidTr="005157F5">
        <w:trPr>
          <w:trHeight w:val="283"/>
          <w:jc w:val="right"/>
        </w:trPr>
        <w:tc>
          <w:tcPr>
            <w:tcW w:w="4876" w:type="dxa"/>
            <w:tcBorders>
              <w:top w:val="nil"/>
              <w:left w:val="nil"/>
              <w:bottom w:val="nil"/>
              <w:right w:val="nil"/>
            </w:tcBorders>
            <w:shd w:val="clear" w:color="auto" w:fill="auto"/>
            <w:vAlign w:val="bottom"/>
          </w:tcPr>
          <w:p w14:paraId="7F0DEAD1" w14:textId="15D05C44" w:rsidR="007D1085" w:rsidRPr="0074154F" w:rsidRDefault="007D1085"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 xml:space="preserve">Pasivos </w:t>
            </w:r>
            <w:r w:rsidR="005157F5" w:rsidRPr="0074154F">
              <w:rPr>
                <w:rFonts w:ascii="Arial" w:hAnsi="Arial" w:cs="Arial"/>
                <w:color w:val="000000"/>
                <w:sz w:val="20"/>
                <w:szCs w:val="20"/>
              </w:rPr>
              <w:t>de contratos</w:t>
            </w:r>
          </w:p>
        </w:tc>
        <w:tc>
          <w:tcPr>
            <w:tcW w:w="850" w:type="dxa"/>
            <w:tcBorders>
              <w:top w:val="nil"/>
              <w:left w:val="nil"/>
              <w:bottom w:val="nil"/>
              <w:right w:val="nil"/>
            </w:tcBorders>
            <w:shd w:val="clear" w:color="auto" w:fill="auto"/>
            <w:vAlign w:val="bottom"/>
          </w:tcPr>
          <w:p w14:paraId="53F655ED" w14:textId="156B1A5B" w:rsidR="007D1085" w:rsidRPr="0074154F" w:rsidRDefault="00532B8A"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20</w:t>
            </w:r>
          </w:p>
        </w:tc>
        <w:tc>
          <w:tcPr>
            <w:tcW w:w="170" w:type="dxa"/>
            <w:tcBorders>
              <w:top w:val="nil"/>
              <w:left w:val="nil"/>
              <w:bottom w:val="nil"/>
              <w:right w:val="nil"/>
            </w:tcBorders>
            <w:shd w:val="clear" w:color="auto" w:fill="auto"/>
            <w:vAlign w:val="bottom"/>
          </w:tcPr>
          <w:p w14:paraId="2C4B44A2" w14:textId="77777777" w:rsidR="007D1085" w:rsidRPr="0074154F" w:rsidRDefault="007D1085"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5E94C507" w14:textId="65F36038" w:rsidR="007D1085"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3,156,285</w:t>
            </w:r>
          </w:p>
        </w:tc>
        <w:tc>
          <w:tcPr>
            <w:tcW w:w="170" w:type="dxa"/>
            <w:tcBorders>
              <w:top w:val="nil"/>
              <w:left w:val="nil"/>
              <w:right w:val="nil"/>
            </w:tcBorders>
            <w:shd w:val="clear" w:color="auto" w:fill="auto"/>
            <w:vAlign w:val="bottom"/>
          </w:tcPr>
          <w:p w14:paraId="0C579701" w14:textId="77777777" w:rsidR="007D1085" w:rsidRPr="0074154F" w:rsidRDefault="007D1085" w:rsidP="001E6456">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1748C5B3" w14:textId="73137309" w:rsidR="007D1085" w:rsidRPr="0074154F" w:rsidRDefault="00CC29BD"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3,141,435</w:t>
            </w:r>
          </w:p>
        </w:tc>
      </w:tr>
      <w:tr w:rsidR="001E6456" w:rsidRPr="0074154F" w14:paraId="421DA0BC" w14:textId="77777777" w:rsidTr="005157F5">
        <w:trPr>
          <w:trHeight w:val="283"/>
          <w:jc w:val="right"/>
        </w:trPr>
        <w:tc>
          <w:tcPr>
            <w:tcW w:w="4876" w:type="dxa"/>
            <w:tcBorders>
              <w:top w:val="nil"/>
              <w:left w:val="nil"/>
              <w:bottom w:val="nil"/>
              <w:right w:val="nil"/>
            </w:tcBorders>
            <w:shd w:val="clear" w:color="auto" w:fill="auto"/>
            <w:vAlign w:val="bottom"/>
          </w:tcPr>
          <w:p w14:paraId="3C0425BE" w14:textId="6F2B8450"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 xml:space="preserve">Obligaciones acumuladas </w:t>
            </w:r>
          </w:p>
        </w:tc>
        <w:tc>
          <w:tcPr>
            <w:tcW w:w="850" w:type="dxa"/>
            <w:tcBorders>
              <w:top w:val="nil"/>
              <w:left w:val="nil"/>
              <w:bottom w:val="nil"/>
              <w:right w:val="nil"/>
            </w:tcBorders>
            <w:shd w:val="clear" w:color="auto" w:fill="auto"/>
            <w:vAlign w:val="bottom"/>
          </w:tcPr>
          <w:p w14:paraId="632E5B21" w14:textId="4F2CA4E1"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7</w:t>
            </w:r>
          </w:p>
        </w:tc>
        <w:tc>
          <w:tcPr>
            <w:tcW w:w="170" w:type="dxa"/>
            <w:tcBorders>
              <w:top w:val="nil"/>
              <w:left w:val="nil"/>
              <w:bottom w:val="nil"/>
              <w:right w:val="nil"/>
            </w:tcBorders>
            <w:shd w:val="clear" w:color="auto" w:fill="auto"/>
            <w:vAlign w:val="bottom"/>
          </w:tcPr>
          <w:p w14:paraId="046AF774"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bottom w:val="single" w:sz="4" w:space="0" w:color="auto"/>
              <w:right w:val="nil"/>
            </w:tcBorders>
            <w:shd w:val="clear" w:color="auto" w:fill="auto"/>
            <w:vAlign w:val="bottom"/>
          </w:tcPr>
          <w:p w14:paraId="16A3D74A" w14:textId="26BDD1B5"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15,368,781</w:t>
            </w:r>
          </w:p>
        </w:tc>
        <w:tc>
          <w:tcPr>
            <w:tcW w:w="170" w:type="dxa"/>
            <w:tcBorders>
              <w:top w:val="nil"/>
              <w:left w:val="nil"/>
              <w:right w:val="nil"/>
            </w:tcBorders>
            <w:shd w:val="clear" w:color="auto" w:fill="auto"/>
            <w:vAlign w:val="bottom"/>
          </w:tcPr>
          <w:p w14:paraId="2686E390"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nil"/>
              <w:left w:val="nil"/>
              <w:bottom w:val="single" w:sz="4" w:space="0" w:color="auto"/>
              <w:right w:val="nil"/>
            </w:tcBorders>
            <w:shd w:val="clear" w:color="auto" w:fill="auto"/>
            <w:vAlign w:val="bottom"/>
          </w:tcPr>
          <w:p w14:paraId="1FD4CF33" w14:textId="177CDF76" w:rsidR="001E6456" w:rsidRPr="0074154F" w:rsidRDefault="002D2748"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9,753,517</w:t>
            </w:r>
          </w:p>
        </w:tc>
      </w:tr>
      <w:tr w:rsidR="001E6456" w:rsidRPr="0074154F" w14:paraId="5BB0E5B5" w14:textId="77777777" w:rsidTr="00BC2129">
        <w:trPr>
          <w:trHeight w:val="283"/>
          <w:jc w:val="right"/>
        </w:trPr>
        <w:tc>
          <w:tcPr>
            <w:tcW w:w="4876" w:type="dxa"/>
            <w:tcBorders>
              <w:top w:val="nil"/>
              <w:left w:val="nil"/>
              <w:bottom w:val="nil"/>
              <w:right w:val="nil"/>
            </w:tcBorders>
            <w:shd w:val="clear" w:color="auto" w:fill="auto"/>
            <w:vAlign w:val="bottom"/>
          </w:tcPr>
          <w:p w14:paraId="5F14BE16" w14:textId="014E9737" w:rsidR="001E6456" w:rsidRPr="0074154F" w:rsidRDefault="001E6456" w:rsidP="001E6456">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1427C1BA" w14:textId="0A873D7D" w:rsidR="001E6456" w:rsidRPr="0074154F" w:rsidRDefault="001E6456" w:rsidP="001E6456">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543FC4CD"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2D6DCA36" w14:textId="3DA42E68" w:rsidR="001E6456" w:rsidRPr="0074154F" w:rsidRDefault="001E6456" w:rsidP="001E6456">
            <w:pPr>
              <w:tabs>
                <w:tab w:val="decimal" w:pos="1276"/>
              </w:tabs>
              <w:spacing w:after="0" w:line="240" w:lineRule="auto"/>
              <w:rPr>
                <w:rFonts w:ascii="Arial" w:hAnsi="Arial" w:cs="Arial"/>
                <w:color w:val="000000"/>
                <w:sz w:val="20"/>
                <w:szCs w:val="20"/>
              </w:rPr>
            </w:pPr>
          </w:p>
        </w:tc>
        <w:tc>
          <w:tcPr>
            <w:tcW w:w="170" w:type="dxa"/>
            <w:tcBorders>
              <w:left w:val="nil"/>
              <w:right w:val="nil"/>
            </w:tcBorders>
            <w:shd w:val="clear" w:color="auto" w:fill="auto"/>
            <w:vAlign w:val="bottom"/>
          </w:tcPr>
          <w:p w14:paraId="67F33602"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786BD3FF" w14:textId="36DC7CA8" w:rsidR="001E6456" w:rsidRPr="0074154F" w:rsidRDefault="001E6456" w:rsidP="001E6456">
            <w:pPr>
              <w:tabs>
                <w:tab w:val="decimal" w:pos="1276"/>
              </w:tabs>
              <w:spacing w:after="0" w:line="240" w:lineRule="auto"/>
              <w:rPr>
                <w:rFonts w:ascii="Arial" w:hAnsi="Arial" w:cs="Arial"/>
                <w:color w:val="000000"/>
                <w:sz w:val="20"/>
                <w:szCs w:val="20"/>
              </w:rPr>
            </w:pPr>
          </w:p>
        </w:tc>
      </w:tr>
      <w:tr w:rsidR="001E6456" w:rsidRPr="0074154F" w14:paraId="6F96A295" w14:textId="77777777" w:rsidTr="00BC2129">
        <w:trPr>
          <w:trHeight w:val="129"/>
          <w:jc w:val="right"/>
        </w:trPr>
        <w:tc>
          <w:tcPr>
            <w:tcW w:w="4876" w:type="dxa"/>
            <w:tcBorders>
              <w:top w:val="nil"/>
              <w:left w:val="nil"/>
              <w:bottom w:val="nil"/>
              <w:right w:val="nil"/>
            </w:tcBorders>
            <w:shd w:val="clear" w:color="auto" w:fill="auto"/>
            <w:vAlign w:val="bottom"/>
          </w:tcPr>
          <w:p w14:paraId="12DC6E09" w14:textId="77777777" w:rsidR="001E6456" w:rsidRPr="0074154F" w:rsidRDefault="001E6456" w:rsidP="001E6456">
            <w:pPr>
              <w:spacing w:after="0" w:line="240" w:lineRule="auto"/>
              <w:ind w:left="-75"/>
              <w:rPr>
                <w:rFonts w:ascii="Arial" w:hAnsi="Arial" w:cs="Arial"/>
                <w:color w:val="000000"/>
                <w:sz w:val="20"/>
                <w:szCs w:val="20"/>
              </w:rPr>
            </w:pPr>
            <w:proofErr w:type="gramStart"/>
            <w:r w:rsidRPr="0074154F">
              <w:rPr>
                <w:rFonts w:ascii="Arial" w:hAnsi="Arial" w:cs="Arial"/>
                <w:color w:val="000000"/>
                <w:sz w:val="20"/>
                <w:szCs w:val="20"/>
              </w:rPr>
              <w:t>Total</w:t>
            </w:r>
            <w:proofErr w:type="gramEnd"/>
            <w:r w:rsidRPr="0074154F">
              <w:rPr>
                <w:rFonts w:ascii="Arial" w:hAnsi="Arial" w:cs="Arial"/>
                <w:color w:val="000000"/>
                <w:sz w:val="20"/>
                <w:szCs w:val="20"/>
              </w:rPr>
              <w:t xml:space="preserve"> pasivos corrientes</w:t>
            </w:r>
          </w:p>
        </w:tc>
        <w:tc>
          <w:tcPr>
            <w:tcW w:w="850" w:type="dxa"/>
            <w:tcBorders>
              <w:top w:val="nil"/>
              <w:left w:val="nil"/>
              <w:bottom w:val="nil"/>
              <w:right w:val="nil"/>
            </w:tcBorders>
            <w:shd w:val="clear" w:color="auto" w:fill="auto"/>
            <w:vAlign w:val="bottom"/>
          </w:tcPr>
          <w:p w14:paraId="26118B81" w14:textId="77777777" w:rsidR="001E6456" w:rsidRPr="0074154F" w:rsidRDefault="001E6456" w:rsidP="001E6456">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0A21A52A"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single" w:sz="6" w:space="0" w:color="auto"/>
              <w:right w:val="nil"/>
            </w:tcBorders>
            <w:shd w:val="clear" w:color="auto" w:fill="auto"/>
            <w:vAlign w:val="bottom"/>
          </w:tcPr>
          <w:p w14:paraId="47C9F2CE" w14:textId="0C175689" w:rsidR="001E6456" w:rsidRPr="0074154F" w:rsidRDefault="000A44FF"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79,059,759</w:t>
            </w:r>
          </w:p>
        </w:tc>
        <w:tc>
          <w:tcPr>
            <w:tcW w:w="170" w:type="dxa"/>
            <w:tcBorders>
              <w:left w:val="nil"/>
              <w:right w:val="nil"/>
            </w:tcBorders>
            <w:shd w:val="clear" w:color="auto" w:fill="auto"/>
            <w:vAlign w:val="bottom"/>
          </w:tcPr>
          <w:p w14:paraId="2974ABAB"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single" w:sz="6" w:space="0" w:color="auto"/>
              <w:right w:val="nil"/>
            </w:tcBorders>
            <w:shd w:val="clear" w:color="auto" w:fill="auto"/>
            <w:vAlign w:val="bottom"/>
          </w:tcPr>
          <w:p w14:paraId="7BEA88FF" w14:textId="4FEA9369" w:rsidR="001E6456" w:rsidRPr="0074154F" w:rsidRDefault="002D2748"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62,068,064</w:t>
            </w:r>
          </w:p>
        </w:tc>
      </w:tr>
      <w:tr w:rsidR="001E6456" w:rsidRPr="0074154F" w14:paraId="603981F4" w14:textId="77777777" w:rsidTr="00BC2129">
        <w:trPr>
          <w:trHeight w:val="283"/>
          <w:jc w:val="right"/>
        </w:trPr>
        <w:tc>
          <w:tcPr>
            <w:tcW w:w="4876" w:type="dxa"/>
            <w:tcBorders>
              <w:top w:val="nil"/>
              <w:left w:val="nil"/>
              <w:bottom w:val="nil"/>
              <w:right w:val="nil"/>
            </w:tcBorders>
            <w:shd w:val="clear" w:color="auto" w:fill="auto"/>
            <w:vAlign w:val="bottom"/>
          </w:tcPr>
          <w:p w14:paraId="00E82964" w14:textId="77777777" w:rsidR="001E6456" w:rsidRPr="0074154F" w:rsidRDefault="001E6456" w:rsidP="001E6456">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429C41B3" w14:textId="77777777" w:rsidR="001E6456" w:rsidRPr="0074154F" w:rsidRDefault="001E6456" w:rsidP="001E6456">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7F91533B"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single" w:sz="6" w:space="0" w:color="auto"/>
              <w:left w:val="nil"/>
              <w:right w:val="nil"/>
            </w:tcBorders>
            <w:shd w:val="clear" w:color="auto" w:fill="auto"/>
            <w:vAlign w:val="bottom"/>
          </w:tcPr>
          <w:p w14:paraId="0532EB29" w14:textId="77777777" w:rsidR="001E6456" w:rsidRPr="0074154F" w:rsidRDefault="001E6456" w:rsidP="001E6456">
            <w:pPr>
              <w:tabs>
                <w:tab w:val="decimal" w:pos="1276"/>
              </w:tabs>
              <w:spacing w:after="0" w:line="240" w:lineRule="auto"/>
              <w:rPr>
                <w:rFonts w:ascii="Arial" w:hAnsi="Arial" w:cs="Arial"/>
                <w:color w:val="000000"/>
                <w:sz w:val="20"/>
                <w:szCs w:val="20"/>
              </w:rPr>
            </w:pPr>
          </w:p>
        </w:tc>
        <w:tc>
          <w:tcPr>
            <w:tcW w:w="170" w:type="dxa"/>
            <w:tcBorders>
              <w:left w:val="nil"/>
              <w:bottom w:val="nil"/>
              <w:right w:val="nil"/>
            </w:tcBorders>
            <w:shd w:val="clear" w:color="auto" w:fill="auto"/>
            <w:vAlign w:val="bottom"/>
          </w:tcPr>
          <w:p w14:paraId="0D742697"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top w:val="single" w:sz="6" w:space="0" w:color="auto"/>
              <w:left w:val="nil"/>
              <w:right w:val="nil"/>
            </w:tcBorders>
            <w:shd w:val="clear" w:color="auto" w:fill="auto"/>
            <w:vAlign w:val="bottom"/>
          </w:tcPr>
          <w:p w14:paraId="3BF92627" w14:textId="77777777" w:rsidR="001E6456" w:rsidRPr="0074154F" w:rsidRDefault="001E6456" w:rsidP="001E6456">
            <w:pPr>
              <w:tabs>
                <w:tab w:val="decimal" w:pos="1276"/>
              </w:tabs>
              <w:spacing w:after="0" w:line="240" w:lineRule="auto"/>
              <w:rPr>
                <w:rFonts w:ascii="Arial" w:hAnsi="Arial" w:cs="Arial"/>
                <w:color w:val="000000"/>
                <w:sz w:val="20"/>
                <w:szCs w:val="20"/>
              </w:rPr>
            </w:pPr>
          </w:p>
        </w:tc>
      </w:tr>
      <w:tr w:rsidR="001E6456" w:rsidRPr="0074154F" w14:paraId="2E574C6D" w14:textId="77777777" w:rsidTr="00BE445A">
        <w:trPr>
          <w:trHeight w:val="283"/>
          <w:jc w:val="right"/>
        </w:trPr>
        <w:tc>
          <w:tcPr>
            <w:tcW w:w="4876" w:type="dxa"/>
            <w:tcBorders>
              <w:top w:val="nil"/>
              <w:left w:val="nil"/>
              <w:bottom w:val="nil"/>
              <w:right w:val="nil"/>
            </w:tcBorders>
            <w:shd w:val="clear" w:color="auto" w:fill="auto"/>
            <w:vAlign w:val="bottom"/>
          </w:tcPr>
          <w:p w14:paraId="193B5B0A" w14:textId="5EF2B120" w:rsidR="001E6456" w:rsidRPr="0074154F" w:rsidRDefault="001E6456" w:rsidP="001E6456">
            <w:pPr>
              <w:spacing w:after="0" w:line="240" w:lineRule="auto"/>
              <w:ind w:left="-75"/>
              <w:rPr>
                <w:rFonts w:ascii="Arial" w:hAnsi="Arial" w:cs="Arial"/>
                <w:b/>
                <w:bCs/>
                <w:color w:val="000000"/>
                <w:sz w:val="20"/>
                <w:szCs w:val="20"/>
              </w:rPr>
            </w:pPr>
            <w:r w:rsidRPr="0074154F">
              <w:rPr>
                <w:rFonts w:ascii="Arial" w:hAnsi="Arial" w:cs="Arial"/>
                <w:b/>
                <w:bCs/>
                <w:color w:val="000000"/>
                <w:sz w:val="20"/>
                <w:szCs w:val="20"/>
              </w:rPr>
              <w:t>PASIVOS NO CORRIENTES:</w:t>
            </w:r>
          </w:p>
        </w:tc>
        <w:tc>
          <w:tcPr>
            <w:tcW w:w="850" w:type="dxa"/>
            <w:tcBorders>
              <w:top w:val="nil"/>
              <w:left w:val="nil"/>
              <w:bottom w:val="nil"/>
              <w:right w:val="nil"/>
            </w:tcBorders>
            <w:shd w:val="clear" w:color="auto" w:fill="auto"/>
            <w:vAlign w:val="bottom"/>
          </w:tcPr>
          <w:p w14:paraId="12B470EA" w14:textId="77777777" w:rsidR="001E6456" w:rsidRPr="0074154F" w:rsidRDefault="001E6456" w:rsidP="001E6456">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2F5C7DED"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0A57BA6D" w14:textId="77777777" w:rsidR="001E6456" w:rsidRPr="0074154F" w:rsidRDefault="001E6456" w:rsidP="001E6456">
            <w:pPr>
              <w:tabs>
                <w:tab w:val="decimal" w:pos="1276"/>
              </w:tabs>
              <w:spacing w:after="0" w:line="240" w:lineRule="auto"/>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6297AC74"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6FBFDB91" w14:textId="77777777" w:rsidR="001E6456" w:rsidRPr="0074154F" w:rsidRDefault="001E6456" w:rsidP="001E6456">
            <w:pPr>
              <w:tabs>
                <w:tab w:val="decimal" w:pos="1276"/>
              </w:tabs>
              <w:spacing w:after="0" w:line="240" w:lineRule="auto"/>
              <w:rPr>
                <w:rFonts w:ascii="Arial" w:hAnsi="Arial" w:cs="Arial"/>
                <w:color w:val="000000"/>
                <w:sz w:val="20"/>
                <w:szCs w:val="20"/>
              </w:rPr>
            </w:pPr>
          </w:p>
        </w:tc>
      </w:tr>
      <w:tr w:rsidR="001E6456" w:rsidRPr="0074154F" w14:paraId="4C41454A" w14:textId="77777777" w:rsidTr="00BE445A">
        <w:trPr>
          <w:trHeight w:val="283"/>
          <w:jc w:val="right"/>
        </w:trPr>
        <w:tc>
          <w:tcPr>
            <w:tcW w:w="4876" w:type="dxa"/>
            <w:tcBorders>
              <w:top w:val="nil"/>
              <w:left w:val="nil"/>
              <w:bottom w:val="nil"/>
              <w:right w:val="nil"/>
            </w:tcBorders>
            <w:shd w:val="clear" w:color="auto" w:fill="auto"/>
            <w:vAlign w:val="bottom"/>
          </w:tcPr>
          <w:p w14:paraId="3F24D23D" w14:textId="53FD7F13" w:rsidR="001E6456" w:rsidRPr="0074154F" w:rsidRDefault="001E6456" w:rsidP="001E6456">
            <w:pPr>
              <w:spacing w:after="0" w:line="240" w:lineRule="auto"/>
              <w:ind w:left="-75"/>
              <w:rPr>
                <w:rFonts w:ascii="Arial" w:hAnsi="Arial" w:cs="Arial"/>
                <w:color w:val="000000"/>
                <w:sz w:val="20"/>
                <w:szCs w:val="20"/>
              </w:rPr>
            </w:pPr>
            <w:r w:rsidRPr="0074154F">
              <w:rPr>
                <w:rFonts w:ascii="Arial" w:hAnsi="Arial" w:cs="Arial"/>
                <w:color w:val="000000"/>
                <w:sz w:val="20"/>
                <w:szCs w:val="20"/>
              </w:rPr>
              <w:t>Préstamos</w:t>
            </w:r>
          </w:p>
        </w:tc>
        <w:tc>
          <w:tcPr>
            <w:tcW w:w="850" w:type="dxa"/>
            <w:tcBorders>
              <w:top w:val="nil"/>
              <w:left w:val="nil"/>
              <w:bottom w:val="nil"/>
              <w:right w:val="nil"/>
            </w:tcBorders>
            <w:shd w:val="clear" w:color="auto" w:fill="auto"/>
            <w:vAlign w:val="bottom"/>
          </w:tcPr>
          <w:p w14:paraId="272F73FC" w14:textId="577E0512" w:rsidR="001E6456" w:rsidRPr="0074154F" w:rsidRDefault="001E6456" w:rsidP="001E6456">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5</w:t>
            </w:r>
          </w:p>
        </w:tc>
        <w:tc>
          <w:tcPr>
            <w:tcW w:w="170" w:type="dxa"/>
            <w:tcBorders>
              <w:top w:val="nil"/>
              <w:left w:val="nil"/>
              <w:bottom w:val="nil"/>
              <w:right w:val="nil"/>
            </w:tcBorders>
            <w:shd w:val="clear" w:color="auto" w:fill="auto"/>
            <w:vAlign w:val="bottom"/>
          </w:tcPr>
          <w:p w14:paraId="62814810"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14B68387" w14:textId="00A00F5D" w:rsidR="001E6456" w:rsidRPr="0074154F" w:rsidRDefault="00C43490"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2,731,687</w:t>
            </w:r>
          </w:p>
        </w:tc>
        <w:tc>
          <w:tcPr>
            <w:tcW w:w="170" w:type="dxa"/>
            <w:tcBorders>
              <w:top w:val="nil"/>
              <w:left w:val="nil"/>
              <w:bottom w:val="nil"/>
              <w:right w:val="nil"/>
            </w:tcBorders>
            <w:shd w:val="clear" w:color="auto" w:fill="auto"/>
            <w:vAlign w:val="bottom"/>
          </w:tcPr>
          <w:p w14:paraId="38E0933B" w14:textId="77777777" w:rsidR="001E6456" w:rsidRPr="0074154F" w:rsidRDefault="001E6456" w:rsidP="001E6456">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1A7D1953" w14:textId="0D280C67" w:rsidR="001E6456" w:rsidRPr="0074154F" w:rsidRDefault="00A6539E" w:rsidP="001E6456">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3,649,361</w:t>
            </w:r>
          </w:p>
        </w:tc>
      </w:tr>
      <w:tr w:rsidR="00BF734A" w:rsidRPr="0074154F" w14:paraId="5B6F5B6F" w14:textId="77777777" w:rsidTr="00BE445A">
        <w:trPr>
          <w:trHeight w:val="283"/>
          <w:jc w:val="right"/>
        </w:trPr>
        <w:tc>
          <w:tcPr>
            <w:tcW w:w="4876" w:type="dxa"/>
            <w:tcBorders>
              <w:top w:val="nil"/>
              <w:left w:val="nil"/>
              <w:bottom w:val="nil"/>
              <w:right w:val="nil"/>
            </w:tcBorders>
            <w:shd w:val="clear" w:color="auto" w:fill="auto"/>
            <w:vAlign w:val="bottom"/>
          </w:tcPr>
          <w:p w14:paraId="627F125A" w14:textId="0EDAB7BF" w:rsidR="00BF734A" w:rsidRPr="0074154F" w:rsidRDefault="00BF734A" w:rsidP="00BF734A">
            <w:pPr>
              <w:spacing w:after="0" w:line="240" w:lineRule="auto"/>
              <w:ind w:left="-75"/>
              <w:rPr>
                <w:rFonts w:ascii="Arial" w:hAnsi="Arial" w:cs="Arial"/>
                <w:color w:val="000000" w:themeColor="text1"/>
                <w:sz w:val="20"/>
                <w:szCs w:val="20"/>
              </w:rPr>
            </w:pPr>
            <w:r w:rsidRPr="0074154F">
              <w:rPr>
                <w:rFonts w:ascii="Arial" w:hAnsi="Arial" w:cs="Arial"/>
                <w:color w:val="000000" w:themeColor="text1"/>
                <w:sz w:val="20"/>
                <w:szCs w:val="20"/>
              </w:rPr>
              <w:t>Otros pasivos financieros</w:t>
            </w:r>
          </w:p>
        </w:tc>
        <w:tc>
          <w:tcPr>
            <w:tcW w:w="850" w:type="dxa"/>
            <w:tcBorders>
              <w:top w:val="nil"/>
              <w:left w:val="nil"/>
              <w:bottom w:val="nil"/>
              <w:right w:val="nil"/>
            </w:tcBorders>
            <w:shd w:val="clear" w:color="auto" w:fill="auto"/>
            <w:vAlign w:val="bottom"/>
          </w:tcPr>
          <w:p w14:paraId="3FEFE1A9" w14:textId="37D84522" w:rsidR="00BF734A" w:rsidRPr="0074154F" w:rsidRDefault="00BF734A" w:rsidP="00BF734A">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6</w:t>
            </w:r>
          </w:p>
        </w:tc>
        <w:tc>
          <w:tcPr>
            <w:tcW w:w="170" w:type="dxa"/>
            <w:tcBorders>
              <w:top w:val="nil"/>
              <w:left w:val="nil"/>
              <w:bottom w:val="nil"/>
              <w:right w:val="nil"/>
            </w:tcBorders>
            <w:shd w:val="clear" w:color="auto" w:fill="auto"/>
            <w:vAlign w:val="bottom"/>
          </w:tcPr>
          <w:p w14:paraId="70B0D780" w14:textId="77777777" w:rsidR="00BF734A" w:rsidRPr="0074154F" w:rsidRDefault="00BF734A" w:rsidP="00BF734A">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4B4831CD" w14:textId="259CFF30" w:rsidR="00BF734A" w:rsidRPr="0074154F" w:rsidRDefault="00C43490" w:rsidP="00BF734A">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6,657,895</w:t>
            </w:r>
          </w:p>
        </w:tc>
        <w:tc>
          <w:tcPr>
            <w:tcW w:w="170" w:type="dxa"/>
            <w:tcBorders>
              <w:top w:val="nil"/>
              <w:left w:val="nil"/>
              <w:bottom w:val="nil"/>
              <w:right w:val="nil"/>
            </w:tcBorders>
            <w:shd w:val="clear" w:color="auto" w:fill="auto"/>
            <w:vAlign w:val="bottom"/>
          </w:tcPr>
          <w:p w14:paraId="2BAB5952" w14:textId="77777777" w:rsidR="00BF734A" w:rsidRPr="0074154F" w:rsidRDefault="00BF734A" w:rsidP="00BF734A">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678E5C14" w14:textId="1408F9EA" w:rsidR="00BF734A" w:rsidRPr="0074154F" w:rsidRDefault="000D1002" w:rsidP="00BF734A">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w:t>
            </w:r>
          </w:p>
        </w:tc>
      </w:tr>
      <w:tr w:rsidR="00BF734A" w:rsidRPr="0074154F" w14:paraId="1591C449" w14:textId="77777777" w:rsidTr="00BE445A">
        <w:trPr>
          <w:trHeight w:val="283"/>
          <w:jc w:val="right"/>
        </w:trPr>
        <w:tc>
          <w:tcPr>
            <w:tcW w:w="4876" w:type="dxa"/>
            <w:tcBorders>
              <w:top w:val="nil"/>
              <w:left w:val="nil"/>
              <w:bottom w:val="nil"/>
              <w:right w:val="nil"/>
            </w:tcBorders>
            <w:shd w:val="clear" w:color="auto" w:fill="auto"/>
            <w:vAlign w:val="bottom"/>
          </w:tcPr>
          <w:p w14:paraId="0B577E82" w14:textId="5645CFC0" w:rsidR="00BF734A" w:rsidRPr="0074154F" w:rsidRDefault="00BF734A" w:rsidP="00BF734A">
            <w:pPr>
              <w:spacing w:after="0" w:line="240" w:lineRule="auto"/>
              <w:ind w:left="-75"/>
              <w:rPr>
                <w:rFonts w:ascii="Arial" w:hAnsi="Arial" w:cs="Arial"/>
                <w:color w:val="000000"/>
                <w:sz w:val="20"/>
                <w:szCs w:val="20"/>
              </w:rPr>
            </w:pPr>
            <w:r w:rsidRPr="0074154F">
              <w:rPr>
                <w:rFonts w:ascii="Arial" w:hAnsi="Arial" w:cs="Arial"/>
                <w:color w:val="000000"/>
                <w:sz w:val="20"/>
                <w:szCs w:val="20"/>
              </w:rPr>
              <w:t>Beneficios definidos</w:t>
            </w:r>
          </w:p>
        </w:tc>
        <w:tc>
          <w:tcPr>
            <w:tcW w:w="850" w:type="dxa"/>
            <w:tcBorders>
              <w:top w:val="nil"/>
              <w:left w:val="nil"/>
              <w:bottom w:val="nil"/>
              <w:right w:val="nil"/>
            </w:tcBorders>
            <w:shd w:val="clear" w:color="auto" w:fill="auto"/>
            <w:vAlign w:val="bottom"/>
          </w:tcPr>
          <w:p w14:paraId="369CECFC" w14:textId="383C9748" w:rsidR="00BF734A" w:rsidRPr="0074154F" w:rsidRDefault="00BF734A" w:rsidP="00BF734A">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8</w:t>
            </w:r>
          </w:p>
        </w:tc>
        <w:tc>
          <w:tcPr>
            <w:tcW w:w="170" w:type="dxa"/>
            <w:tcBorders>
              <w:top w:val="nil"/>
              <w:left w:val="nil"/>
              <w:bottom w:val="nil"/>
              <w:right w:val="nil"/>
            </w:tcBorders>
            <w:shd w:val="clear" w:color="auto" w:fill="auto"/>
            <w:vAlign w:val="bottom"/>
          </w:tcPr>
          <w:p w14:paraId="3D3C5C62" w14:textId="77777777" w:rsidR="00BF734A" w:rsidRPr="0074154F" w:rsidRDefault="00BF734A" w:rsidP="00BF734A">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4FB0F777" w14:textId="2C8C03DC" w:rsidR="00BF734A" w:rsidRPr="0074154F" w:rsidRDefault="00C43490" w:rsidP="00BF734A">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9,330,028</w:t>
            </w:r>
          </w:p>
        </w:tc>
        <w:tc>
          <w:tcPr>
            <w:tcW w:w="170" w:type="dxa"/>
            <w:tcBorders>
              <w:top w:val="nil"/>
              <w:left w:val="nil"/>
              <w:bottom w:val="nil"/>
              <w:right w:val="nil"/>
            </w:tcBorders>
            <w:shd w:val="clear" w:color="auto" w:fill="auto"/>
            <w:vAlign w:val="bottom"/>
          </w:tcPr>
          <w:p w14:paraId="53125E3B" w14:textId="77777777" w:rsidR="00BF734A" w:rsidRPr="0074154F" w:rsidRDefault="00BF734A" w:rsidP="00BF734A">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02B5DAA6" w14:textId="02497BAB" w:rsidR="00BF734A" w:rsidRPr="0074154F" w:rsidRDefault="00A6539E" w:rsidP="00BF734A">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9,761,491</w:t>
            </w:r>
          </w:p>
        </w:tc>
      </w:tr>
      <w:tr w:rsidR="00874719" w:rsidRPr="0074154F" w14:paraId="7F89583F" w14:textId="77777777" w:rsidTr="00BE445A">
        <w:trPr>
          <w:trHeight w:val="283"/>
          <w:jc w:val="right"/>
        </w:trPr>
        <w:tc>
          <w:tcPr>
            <w:tcW w:w="4876" w:type="dxa"/>
            <w:tcBorders>
              <w:top w:val="nil"/>
              <w:left w:val="nil"/>
              <w:bottom w:val="nil"/>
              <w:right w:val="nil"/>
            </w:tcBorders>
            <w:shd w:val="clear" w:color="auto" w:fill="auto"/>
            <w:vAlign w:val="bottom"/>
          </w:tcPr>
          <w:p w14:paraId="04B7C8A2" w14:textId="5957F966" w:rsidR="00874719" w:rsidRPr="0074154F" w:rsidRDefault="005157F5" w:rsidP="00874719">
            <w:pPr>
              <w:spacing w:after="0" w:line="240" w:lineRule="auto"/>
              <w:ind w:left="-75"/>
              <w:rPr>
                <w:rFonts w:ascii="Arial" w:hAnsi="Arial" w:cs="Arial"/>
                <w:color w:val="000000"/>
                <w:sz w:val="20"/>
                <w:szCs w:val="20"/>
              </w:rPr>
            </w:pPr>
            <w:r w:rsidRPr="0074154F">
              <w:rPr>
                <w:rFonts w:ascii="Arial" w:hAnsi="Arial" w:cs="Arial"/>
                <w:color w:val="000000"/>
                <w:sz w:val="20"/>
                <w:szCs w:val="20"/>
              </w:rPr>
              <w:t>Pasivos de contratos</w:t>
            </w:r>
          </w:p>
        </w:tc>
        <w:tc>
          <w:tcPr>
            <w:tcW w:w="850" w:type="dxa"/>
            <w:tcBorders>
              <w:top w:val="nil"/>
              <w:left w:val="nil"/>
              <w:bottom w:val="nil"/>
              <w:right w:val="nil"/>
            </w:tcBorders>
            <w:shd w:val="clear" w:color="auto" w:fill="auto"/>
            <w:vAlign w:val="bottom"/>
          </w:tcPr>
          <w:p w14:paraId="1998A6C0" w14:textId="49B44EEA" w:rsidR="00874719" w:rsidRPr="0074154F" w:rsidRDefault="000825BD" w:rsidP="00874719">
            <w:pPr>
              <w:spacing w:after="0" w:line="240" w:lineRule="auto"/>
              <w:jc w:val="center"/>
              <w:rPr>
                <w:rFonts w:ascii="Arial" w:hAnsi="Arial" w:cs="Arial"/>
                <w:color w:val="000000"/>
                <w:sz w:val="20"/>
                <w:szCs w:val="20"/>
              </w:rPr>
            </w:pPr>
            <w:r w:rsidRPr="0074154F">
              <w:rPr>
                <w:rFonts w:ascii="Arial" w:hAnsi="Arial" w:cs="Arial"/>
                <w:color w:val="000000"/>
                <w:sz w:val="20"/>
                <w:szCs w:val="20"/>
              </w:rPr>
              <w:t>20</w:t>
            </w:r>
          </w:p>
        </w:tc>
        <w:tc>
          <w:tcPr>
            <w:tcW w:w="170" w:type="dxa"/>
            <w:tcBorders>
              <w:top w:val="nil"/>
              <w:left w:val="nil"/>
              <w:bottom w:val="nil"/>
              <w:right w:val="nil"/>
            </w:tcBorders>
            <w:shd w:val="clear" w:color="auto" w:fill="auto"/>
            <w:vAlign w:val="bottom"/>
          </w:tcPr>
          <w:p w14:paraId="1041DA8F" w14:textId="77777777" w:rsidR="00874719" w:rsidRPr="0074154F" w:rsidRDefault="00874719" w:rsidP="00874719">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496A6C60" w14:textId="6976FF68" w:rsidR="00874719" w:rsidRPr="0074154F" w:rsidRDefault="00C43490" w:rsidP="00874719">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16,083,778</w:t>
            </w:r>
          </w:p>
        </w:tc>
        <w:tc>
          <w:tcPr>
            <w:tcW w:w="170" w:type="dxa"/>
            <w:tcBorders>
              <w:top w:val="nil"/>
              <w:left w:val="nil"/>
              <w:bottom w:val="nil"/>
              <w:right w:val="nil"/>
            </w:tcBorders>
            <w:shd w:val="clear" w:color="auto" w:fill="auto"/>
            <w:vAlign w:val="bottom"/>
          </w:tcPr>
          <w:p w14:paraId="12CC8335" w14:textId="77777777" w:rsidR="00874719" w:rsidRPr="0074154F" w:rsidRDefault="00874719" w:rsidP="00874719">
            <w:pPr>
              <w:spacing w:after="0" w:line="240" w:lineRule="auto"/>
              <w:rPr>
                <w:rFonts w:ascii="Arial" w:hAnsi="Arial" w:cs="Arial"/>
                <w:color w:val="000000"/>
                <w:sz w:val="20"/>
                <w:szCs w:val="20"/>
              </w:rPr>
            </w:pPr>
          </w:p>
        </w:tc>
        <w:tc>
          <w:tcPr>
            <w:tcW w:w="1502" w:type="dxa"/>
            <w:tcBorders>
              <w:left w:val="nil"/>
              <w:bottom w:val="nil"/>
              <w:right w:val="nil"/>
            </w:tcBorders>
            <w:shd w:val="clear" w:color="auto" w:fill="auto"/>
            <w:vAlign w:val="bottom"/>
          </w:tcPr>
          <w:p w14:paraId="4AD2440C" w14:textId="37F1921E" w:rsidR="00874719" w:rsidRPr="0074154F" w:rsidRDefault="00A6539E" w:rsidP="00874719">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18,563,321</w:t>
            </w:r>
          </w:p>
        </w:tc>
      </w:tr>
      <w:tr w:rsidR="00874719" w:rsidRPr="0074154F" w14:paraId="7C59B87F" w14:textId="77777777" w:rsidTr="00425057">
        <w:trPr>
          <w:trHeight w:val="283"/>
          <w:jc w:val="right"/>
        </w:trPr>
        <w:tc>
          <w:tcPr>
            <w:tcW w:w="4876" w:type="dxa"/>
            <w:tcBorders>
              <w:top w:val="nil"/>
              <w:left w:val="nil"/>
              <w:bottom w:val="nil"/>
              <w:right w:val="nil"/>
            </w:tcBorders>
            <w:shd w:val="clear" w:color="auto" w:fill="auto"/>
            <w:vAlign w:val="bottom"/>
          </w:tcPr>
          <w:p w14:paraId="1423DDEC" w14:textId="4CE0AD1C" w:rsidR="00874719" w:rsidRPr="0074154F" w:rsidRDefault="00874719" w:rsidP="00874719">
            <w:pPr>
              <w:spacing w:after="0" w:line="240" w:lineRule="auto"/>
              <w:ind w:left="-75"/>
              <w:rPr>
                <w:rFonts w:ascii="Arial" w:hAnsi="Arial" w:cs="Arial"/>
                <w:color w:val="000000"/>
                <w:sz w:val="20"/>
                <w:szCs w:val="20"/>
              </w:rPr>
            </w:pPr>
            <w:r w:rsidRPr="0074154F">
              <w:rPr>
                <w:rFonts w:ascii="Arial" w:hAnsi="Arial" w:cs="Arial"/>
                <w:color w:val="000000"/>
                <w:sz w:val="20"/>
                <w:szCs w:val="20"/>
              </w:rPr>
              <w:t>Pasivos por arrendamiento</w:t>
            </w:r>
          </w:p>
        </w:tc>
        <w:tc>
          <w:tcPr>
            <w:tcW w:w="850" w:type="dxa"/>
            <w:tcBorders>
              <w:top w:val="nil"/>
              <w:left w:val="nil"/>
              <w:bottom w:val="nil"/>
              <w:right w:val="nil"/>
            </w:tcBorders>
            <w:shd w:val="clear" w:color="auto" w:fill="auto"/>
            <w:vAlign w:val="bottom"/>
          </w:tcPr>
          <w:p w14:paraId="3F055018" w14:textId="6A0ACA43" w:rsidR="00874719" w:rsidRPr="0074154F" w:rsidRDefault="00874719" w:rsidP="00874719">
            <w:pPr>
              <w:spacing w:after="0" w:line="240" w:lineRule="auto"/>
              <w:jc w:val="center"/>
              <w:rPr>
                <w:rFonts w:ascii="Arial" w:hAnsi="Arial" w:cs="Arial"/>
                <w:color w:val="000000"/>
                <w:sz w:val="20"/>
                <w:szCs w:val="20"/>
              </w:rPr>
            </w:pPr>
            <w:r w:rsidRPr="0074154F">
              <w:rPr>
                <w:rFonts w:ascii="Arial" w:hAnsi="Arial" w:cs="Arial"/>
                <w:color w:val="000000"/>
                <w:sz w:val="20"/>
                <w:szCs w:val="20"/>
              </w:rPr>
              <w:t>1</w:t>
            </w:r>
            <w:r w:rsidR="000825BD" w:rsidRPr="0074154F">
              <w:rPr>
                <w:rFonts w:ascii="Arial" w:hAnsi="Arial" w:cs="Arial"/>
                <w:color w:val="000000"/>
                <w:sz w:val="20"/>
                <w:szCs w:val="20"/>
              </w:rPr>
              <w:t>4</w:t>
            </w:r>
          </w:p>
        </w:tc>
        <w:tc>
          <w:tcPr>
            <w:tcW w:w="170" w:type="dxa"/>
            <w:tcBorders>
              <w:top w:val="nil"/>
              <w:left w:val="nil"/>
              <w:bottom w:val="nil"/>
              <w:right w:val="nil"/>
            </w:tcBorders>
            <w:shd w:val="clear" w:color="auto" w:fill="auto"/>
            <w:vAlign w:val="bottom"/>
          </w:tcPr>
          <w:p w14:paraId="49DE8CBF" w14:textId="77777777" w:rsidR="00874719" w:rsidRPr="0074154F" w:rsidRDefault="00874719" w:rsidP="00874719">
            <w:pPr>
              <w:spacing w:after="0" w:line="240" w:lineRule="auto"/>
              <w:rPr>
                <w:rFonts w:ascii="Arial" w:hAnsi="Arial" w:cs="Arial"/>
                <w:color w:val="000000"/>
                <w:sz w:val="20"/>
                <w:szCs w:val="20"/>
              </w:rPr>
            </w:pPr>
          </w:p>
        </w:tc>
        <w:tc>
          <w:tcPr>
            <w:tcW w:w="1502" w:type="dxa"/>
            <w:tcBorders>
              <w:left w:val="nil"/>
              <w:right w:val="nil"/>
            </w:tcBorders>
            <w:shd w:val="clear" w:color="auto" w:fill="auto"/>
            <w:vAlign w:val="bottom"/>
          </w:tcPr>
          <w:p w14:paraId="79CA6808" w14:textId="6A926AC1" w:rsidR="00874719" w:rsidRPr="0074154F" w:rsidRDefault="00C43490" w:rsidP="00874719">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3,687,846</w:t>
            </w:r>
          </w:p>
        </w:tc>
        <w:tc>
          <w:tcPr>
            <w:tcW w:w="170" w:type="dxa"/>
            <w:tcBorders>
              <w:top w:val="nil"/>
              <w:left w:val="nil"/>
              <w:right w:val="nil"/>
            </w:tcBorders>
            <w:shd w:val="clear" w:color="auto" w:fill="auto"/>
            <w:vAlign w:val="bottom"/>
          </w:tcPr>
          <w:p w14:paraId="6505E348" w14:textId="77777777" w:rsidR="00874719" w:rsidRPr="0074154F" w:rsidRDefault="00874719" w:rsidP="00874719">
            <w:pPr>
              <w:spacing w:after="0" w:line="240" w:lineRule="auto"/>
              <w:rPr>
                <w:rFonts w:ascii="Arial" w:hAnsi="Arial" w:cs="Arial"/>
                <w:color w:val="000000"/>
                <w:sz w:val="20"/>
                <w:szCs w:val="20"/>
              </w:rPr>
            </w:pPr>
          </w:p>
        </w:tc>
        <w:tc>
          <w:tcPr>
            <w:tcW w:w="1502" w:type="dxa"/>
            <w:tcBorders>
              <w:left w:val="nil"/>
              <w:right w:val="nil"/>
            </w:tcBorders>
            <w:shd w:val="clear" w:color="auto" w:fill="auto"/>
            <w:vAlign w:val="bottom"/>
          </w:tcPr>
          <w:p w14:paraId="2DED1C0C" w14:textId="679719B1" w:rsidR="00874719" w:rsidRPr="0074154F" w:rsidRDefault="00A6539E" w:rsidP="00874719">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3,724,199</w:t>
            </w:r>
          </w:p>
        </w:tc>
      </w:tr>
      <w:tr w:rsidR="00425057" w:rsidRPr="0074154F" w14:paraId="526F4F2F" w14:textId="77777777" w:rsidTr="00425057">
        <w:trPr>
          <w:trHeight w:val="283"/>
          <w:jc w:val="right"/>
        </w:trPr>
        <w:tc>
          <w:tcPr>
            <w:tcW w:w="4876" w:type="dxa"/>
            <w:tcBorders>
              <w:top w:val="nil"/>
              <w:left w:val="nil"/>
              <w:bottom w:val="nil"/>
              <w:right w:val="nil"/>
            </w:tcBorders>
            <w:shd w:val="clear" w:color="auto" w:fill="auto"/>
            <w:vAlign w:val="bottom"/>
          </w:tcPr>
          <w:p w14:paraId="412DFE4E" w14:textId="29A16D62" w:rsidR="00425057" w:rsidRPr="0074154F" w:rsidRDefault="00425057" w:rsidP="00425057">
            <w:pPr>
              <w:spacing w:after="0" w:line="240" w:lineRule="auto"/>
              <w:ind w:left="-75"/>
              <w:rPr>
                <w:rFonts w:ascii="Arial" w:hAnsi="Arial" w:cs="Arial"/>
                <w:color w:val="000000" w:themeColor="text1"/>
                <w:sz w:val="20"/>
                <w:szCs w:val="20"/>
              </w:rPr>
            </w:pPr>
            <w:r w:rsidRPr="0074154F">
              <w:rPr>
                <w:rFonts w:ascii="Arial" w:hAnsi="Arial" w:cs="Arial"/>
                <w:color w:val="000000" w:themeColor="text1"/>
                <w:sz w:val="20"/>
                <w:szCs w:val="20"/>
              </w:rPr>
              <w:t>Pasivo contingente</w:t>
            </w:r>
          </w:p>
        </w:tc>
        <w:tc>
          <w:tcPr>
            <w:tcW w:w="850" w:type="dxa"/>
            <w:tcBorders>
              <w:top w:val="nil"/>
              <w:left w:val="nil"/>
              <w:bottom w:val="nil"/>
              <w:right w:val="nil"/>
            </w:tcBorders>
            <w:shd w:val="clear" w:color="auto" w:fill="auto"/>
            <w:vAlign w:val="bottom"/>
          </w:tcPr>
          <w:p w14:paraId="1C81CBC2" w14:textId="426F5E48" w:rsidR="00425057" w:rsidRPr="0074154F" w:rsidRDefault="00C258F7" w:rsidP="00425057">
            <w:pPr>
              <w:spacing w:after="0" w:line="240" w:lineRule="auto"/>
              <w:jc w:val="center"/>
              <w:rPr>
                <w:rFonts w:ascii="Arial" w:hAnsi="Arial" w:cs="Arial"/>
                <w:color w:val="FF0000"/>
                <w:sz w:val="20"/>
                <w:szCs w:val="20"/>
              </w:rPr>
            </w:pPr>
            <w:r w:rsidRPr="0074154F">
              <w:rPr>
                <w:rFonts w:ascii="Arial" w:hAnsi="Arial" w:cs="Arial"/>
                <w:color w:val="000000" w:themeColor="text1"/>
                <w:sz w:val="20"/>
                <w:szCs w:val="20"/>
              </w:rPr>
              <w:t>21</w:t>
            </w:r>
          </w:p>
        </w:tc>
        <w:tc>
          <w:tcPr>
            <w:tcW w:w="170" w:type="dxa"/>
            <w:tcBorders>
              <w:top w:val="nil"/>
              <w:left w:val="nil"/>
              <w:bottom w:val="nil"/>
              <w:right w:val="nil"/>
            </w:tcBorders>
            <w:shd w:val="clear" w:color="auto" w:fill="auto"/>
            <w:vAlign w:val="bottom"/>
          </w:tcPr>
          <w:p w14:paraId="3A7287A6"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right w:val="nil"/>
            </w:tcBorders>
            <w:shd w:val="clear" w:color="auto" w:fill="auto"/>
            <w:vAlign w:val="bottom"/>
          </w:tcPr>
          <w:p w14:paraId="56CAD1A8" w14:textId="2EE76548" w:rsidR="00425057" w:rsidRPr="0074154F" w:rsidRDefault="00C43490"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2,580,000</w:t>
            </w:r>
          </w:p>
        </w:tc>
        <w:tc>
          <w:tcPr>
            <w:tcW w:w="170" w:type="dxa"/>
            <w:tcBorders>
              <w:left w:val="nil"/>
              <w:right w:val="nil"/>
            </w:tcBorders>
            <w:shd w:val="clear" w:color="auto" w:fill="auto"/>
            <w:vAlign w:val="bottom"/>
          </w:tcPr>
          <w:p w14:paraId="3DD9F884"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right w:val="nil"/>
            </w:tcBorders>
            <w:shd w:val="clear" w:color="auto" w:fill="auto"/>
            <w:vAlign w:val="bottom"/>
          </w:tcPr>
          <w:p w14:paraId="6E1FBBAA" w14:textId="2D373A16" w:rsidR="00425057" w:rsidRPr="0074154F" w:rsidRDefault="000D1002"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2,580,000</w:t>
            </w:r>
          </w:p>
        </w:tc>
      </w:tr>
      <w:tr w:rsidR="00425057" w:rsidRPr="0074154F" w14:paraId="269BC347" w14:textId="77777777" w:rsidTr="00425057">
        <w:trPr>
          <w:trHeight w:val="283"/>
          <w:jc w:val="right"/>
        </w:trPr>
        <w:tc>
          <w:tcPr>
            <w:tcW w:w="4876" w:type="dxa"/>
            <w:tcBorders>
              <w:top w:val="nil"/>
              <w:left w:val="nil"/>
              <w:bottom w:val="nil"/>
              <w:right w:val="nil"/>
            </w:tcBorders>
            <w:shd w:val="clear" w:color="auto" w:fill="auto"/>
            <w:vAlign w:val="bottom"/>
          </w:tcPr>
          <w:p w14:paraId="12E645ED" w14:textId="55543B38" w:rsidR="00425057" w:rsidRPr="0074154F" w:rsidRDefault="00425057" w:rsidP="00425057">
            <w:pPr>
              <w:spacing w:after="0" w:line="240" w:lineRule="auto"/>
              <w:ind w:left="-75"/>
              <w:rPr>
                <w:rFonts w:ascii="Arial" w:hAnsi="Arial" w:cs="Arial"/>
                <w:color w:val="000000"/>
                <w:sz w:val="20"/>
                <w:szCs w:val="20"/>
              </w:rPr>
            </w:pPr>
            <w:r w:rsidRPr="0074154F">
              <w:rPr>
                <w:rFonts w:ascii="Arial" w:hAnsi="Arial" w:cs="Arial"/>
                <w:color w:val="000000"/>
                <w:sz w:val="20"/>
                <w:szCs w:val="20"/>
              </w:rPr>
              <w:t>Otros pasivos</w:t>
            </w:r>
          </w:p>
        </w:tc>
        <w:tc>
          <w:tcPr>
            <w:tcW w:w="850" w:type="dxa"/>
            <w:tcBorders>
              <w:top w:val="nil"/>
              <w:left w:val="nil"/>
              <w:bottom w:val="nil"/>
              <w:right w:val="nil"/>
            </w:tcBorders>
            <w:shd w:val="clear" w:color="auto" w:fill="auto"/>
            <w:vAlign w:val="bottom"/>
          </w:tcPr>
          <w:p w14:paraId="27154055" w14:textId="1E7383BC" w:rsidR="00425057" w:rsidRPr="0074154F" w:rsidRDefault="000F5329" w:rsidP="00425057">
            <w:pPr>
              <w:spacing w:after="0" w:line="240" w:lineRule="auto"/>
              <w:jc w:val="center"/>
              <w:rPr>
                <w:rFonts w:ascii="Arial" w:hAnsi="Arial" w:cs="Arial"/>
                <w:color w:val="FF0000"/>
                <w:sz w:val="20"/>
                <w:szCs w:val="20"/>
              </w:rPr>
            </w:pPr>
            <w:r w:rsidRPr="0074154F">
              <w:rPr>
                <w:rFonts w:ascii="Arial" w:hAnsi="Arial" w:cs="Arial"/>
                <w:color w:val="000000" w:themeColor="text1"/>
                <w:sz w:val="20"/>
                <w:szCs w:val="20"/>
              </w:rPr>
              <w:t>22</w:t>
            </w:r>
          </w:p>
        </w:tc>
        <w:tc>
          <w:tcPr>
            <w:tcW w:w="170" w:type="dxa"/>
            <w:tcBorders>
              <w:top w:val="nil"/>
              <w:left w:val="nil"/>
              <w:bottom w:val="nil"/>
              <w:right w:val="nil"/>
            </w:tcBorders>
            <w:shd w:val="clear" w:color="auto" w:fill="auto"/>
            <w:vAlign w:val="bottom"/>
          </w:tcPr>
          <w:p w14:paraId="7551CF4C"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single" w:sz="4" w:space="0" w:color="auto"/>
              <w:right w:val="nil"/>
            </w:tcBorders>
            <w:shd w:val="clear" w:color="auto" w:fill="auto"/>
            <w:vAlign w:val="bottom"/>
          </w:tcPr>
          <w:p w14:paraId="5E8A8F51" w14:textId="394AD985" w:rsidR="00425057" w:rsidRPr="0074154F" w:rsidRDefault="00C43490"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4,608,085</w:t>
            </w:r>
          </w:p>
        </w:tc>
        <w:tc>
          <w:tcPr>
            <w:tcW w:w="170" w:type="dxa"/>
            <w:tcBorders>
              <w:left w:val="nil"/>
              <w:bottom w:val="nil"/>
              <w:right w:val="nil"/>
            </w:tcBorders>
            <w:shd w:val="clear" w:color="auto" w:fill="auto"/>
            <w:vAlign w:val="bottom"/>
          </w:tcPr>
          <w:p w14:paraId="04A9083F"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single" w:sz="4" w:space="0" w:color="auto"/>
              <w:right w:val="nil"/>
            </w:tcBorders>
            <w:shd w:val="clear" w:color="auto" w:fill="auto"/>
            <w:vAlign w:val="bottom"/>
          </w:tcPr>
          <w:p w14:paraId="63AE08FD" w14:textId="659EB169" w:rsidR="00425057" w:rsidRPr="0074154F" w:rsidRDefault="000D1002"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12,329,117</w:t>
            </w:r>
          </w:p>
        </w:tc>
      </w:tr>
      <w:tr w:rsidR="00425057" w:rsidRPr="0074154F" w14:paraId="7DBABFD1" w14:textId="77777777" w:rsidTr="00BC2129">
        <w:trPr>
          <w:trHeight w:val="283"/>
          <w:jc w:val="right"/>
        </w:trPr>
        <w:tc>
          <w:tcPr>
            <w:tcW w:w="4876" w:type="dxa"/>
            <w:tcBorders>
              <w:top w:val="nil"/>
              <w:left w:val="nil"/>
              <w:bottom w:val="nil"/>
              <w:right w:val="nil"/>
            </w:tcBorders>
            <w:shd w:val="clear" w:color="auto" w:fill="auto"/>
            <w:vAlign w:val="bottom"/>
          </w:tcPr>
          <w:p w14:paraId="3613549F" w14:textId="77777777" w:rsidR="00425057" w:rsidRPr="0074154F" w:rsidRDefault="00425057" w:rsidP="00425057">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4F4D1301"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5ADEF31D"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36219300" w14:textId="55D02AC4" w:rsidR="00425057" w:rsidRPr="0074154F" w:rsidRDefault="00425057" w:rsidP="00425057">
            <w:pPr>
              <w:tabs>
                <w:tab w:val="decimal" w:pos="1276"/>
              </w:tabs>
              <w:spacing w:after="0" w:line="240" w:lineRule="auto"/>
              <w:rPr>
                <w:rFonts w:ascii="Arial" w:hAnsi="Arial" w:cs="Arial"/>
                <w:color w:val="000000"/>
                <w:sz w:val="20"/>
                <w:szCs w:val="20"/>
              </w:rPr>
            </w:pPr>
          </w:p>
        </w:tc>
        <w:tc>
          <w:tcPr>
            <w:tcW w:w="170" w:type="dxa"/>
            <w:tcBorders>
              <w:top w:val="nil"/>
              <w:left w:val="nil"/>
              <w:right w:val="nil"/>
            </w:tcBorders>
            <w:shd w:val="clear" w:color="auto" w:fill="auto"/>
            <w:vAlign w:val="bottom"/>
          </w:tcPr>
          <w:p w14:paraId="41113D51"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4D6A2FDB" w14:textId="6A4D1639" w:rsidR="00425057" w:rsidRPr="0074154F" w:rsidRDefault="00425057" w:rsidP="00425057">
            <w:pPr>
              <w:tabs>
                <w:tab w:val="decimal" w:pos="1276"/>
              </w:tabs>
              <w:spacing w:after="0" w:line="240" w:lineRule="auto"/>
              <w:rPr>
                <w:rFonts w:ascii="Arial" w:hAnsi="Arial" w:cs="Arial"/>
                <w:color w:val="000000"/>
                <w:sz w:val="20"/>
                <w:szCs w:val="20"/>
              </w:rPr>
            </w:pPr>
          </w:p>
        </w:tc>
      </w:tr>
      <w:tr w:rsidR="00425057" w:rsidRPr="0074154F" w14:paraId="6D402BDD" w14:textId="77777777" w:rsidTr="00BC2129">
        <w:trPr>
          <w:trHeight w:val="93"/>
          <w:jc w:val="right"/>
        </w:trPr>
        <w:tc>
          <w:tcPr>
            <w:tcW w:w="4876" w:type="dxa"/>
            <w:tcBorders>
              <w:top w:val="nil"/>
              <w:left w:val="nil"/>
              <w:bottom w:val="nil"/>
              <w:right w:val="nil"/>
            </w:tcBorders>
            <w:shd w:val="clear" w:color="auto" w:fill="auto"/>
            <w:vAlign w:val="bottom"/>
          </w:tcPr>
          <w:p w14:paraId="3BA5F1CC" w14:textId="77777777" w:rsidR="00425057" w:rsidRPr="0074154F" w:rsidRDefault="00425057" w:rsidP="00425057">
            <w:pPr>
              <w:spacing w:after="0" w:line="240" w:lineRule="auto"/>
              <w:ind w:left="-75"/>
              <w:rPr>
                <w:rFonts w:ascii="Arial" w:hAnsi="Arial" w:cs="Arial"/>
                <w:color w:val="000000"/>
                <w:sz w:val="20"/>
                <w:szCs w:val="20"/>
              </w:rPr>
            </w:pPr>
            <w:proofErr w:type="gramStart"/>
            <w:r w:rsidRPr="0074154F">
              <w:rPr>
                <w:rFonts w:ascii="Arial" w:hAnsi="Arial" w:cs="Arial"/>
                <w:color w:val="000000"/>
                <w:sz w:val="20"/>
                <w:szCs w:val="20"/>
              </w:rPr>
              <w:t>Total</w:t>
            </w:r>
            <w:proofErr w:type="gramEnd"/>
            <w:r w:rsidRPr="0074154F">
              <w:rPr>
                <w:rFonts w:ascii="Arial" w:hAnsi="Arial" w:cs="Arial"/>
                <w:color w:val="000000"/>
                <w:sz w:val="20"/>
                <w:szCs w:val="20"/>
              </w:rPr>
              <w:t xml:space="preserve"> pasivos no corrientes</w:t>
            </w:r>
          </w:p>
        </w:tc>
        <w:tc>
          <w:tcPr>
            <w:tcW w:w="850" w:type="dxa"/>
            <w:tcBorders>
              <w:top w:val="nil"/>
              <w:left w:val="nil"/>
              <w:bottom w:val="nil"/>
              <w:right w:val="nil"/>
            </w:tcBorders>
            <w:shd w:val="clear" w:color="auto" w:fill="auto"/>
            <w:vAlign w:val="bottom"/>
          </w:tcPr>
          <w:p w14:paraId="11052B7D"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0E622292"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single" w:sz="6" w:space="0" w:color="auto"/>
              <w:right w:val="nil"/>
            </w:tcBorders>
            <w:shd w:val="clear" w:color="auto" w:fill="auto"/>
            <w:vAlign w:val="bottom"/>
          </w:tcPr>
          <w:p w14:paraId="65D4EB71" w14:textId="74F1BD60" w:rsidR="00425057" w:rsidRPr="0074154F" w:rsidRDefault="00C43490"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45,679,319</w:t>
            </w:r>
          </w:p>
        </w:tc>
        <w:tc>
          <w:tcPr>
            <w:tcW w:w="170" w:type="dxa"/>
            <w:tcBorders>
              <w:left w:val="nil"/>
              <w:right w:val="nil"/>
            </w:tcBorders>
            <w:shd w:val="clear" w:color="auto" w:fill="auto"/>
            <w:vAlign w:val="bottom"/>
          </w:tcPr>
          <w:p w14:paraId="345934EE"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single" w:sz="6" w:space="0" w:color="auto"/>
              <w:right w:val="nil"/>
            </w:tcBorders>
            <w:shd w:val="clear" w:color="auto" w:fill="auto"/>
            <w:vAlign w:val="bottom"/>
          </w:tcPr>
          <w:p w14:paraId="5D5050FF" w14:textId="32BB8372" w:rsidR="00425057" w:rsidRPr="0074154F" w:rsidRDefault="00317D36"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50,607,489</w:t>
            </w:r>
          </w:p>
        </w:tc>
      </w:tr>
      <w:tr w:rsidR="00425057" w:rsidRPr="0074154F" w14:paraId="3C8212BB" w14:textId="77777777" w:rsidTr="00BC2129">
        <w:trPr>
          <w:trHeight w:val="220"/>
          <w:jc w:val="right"/>
        </w:trPr>
        <w:tc>
          <w:tcPr>
            <w:tcW w:w="4876" w:type="dxa"/>
            <w:tcBorders>
              <w:top w:val="nil"/>
              <w:left w:val="nil"/>
              <w:bottom w:val="nil"/>
              <w:right w:val="nil"/>
            </w:tcBorders>
            <w:shd w:val="clear" w:color="auto" w:fill="auto"/>
            <w:vAlign w:val="bottom"/>
          </w:tcPr>
          <w:p w14:paraId="51DFA655" w14:textId="77777777" w:rsidR="00425057" w:rsidRPr="0074154F" w:rsidRDefault="00425057" w:rsidP="00425057">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03B08C8C"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270C9C2B"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6" w:space="0" w:color="auto"/>
              <w:left w:val="nil"/>
              <w:bottom w:val="nil"/>
              <w:right w:val="nil"/>
            </w:tcBorders>
            <w:shd w:val="clear" w:color="auto" w:fill="auto"/>
            <w:vAlign w:val="bottom"/>
          </w:tcPr>
          <w:p w14:paraId="29CFF823" w14:textId="77777777" w:rsidR="00425057" w:rsidRPr="0074154F" w:rsidRDefault="00425057" w:rsidP="00425057">
            <w:pPr>
              <w:tabs>
                <w:tab w:val="decimal" w:pos="1276"/>
              </w:tabs>
              <w:spacing w:after="0" w:line="240" w:lineRule="auto"/>
              <w:rPr>
                <w:rFonts w:ascii="Arial" w:hAnsi="Arial" w:cs="Arial"/>
                <w:color w:val="000000"/>
                <w:sz w:val="20"/>
                <w:szCs w:val="20"/>
              </w:rPr>
            </w:pPr>
          </w:p>
        </w:tc>
        <w:tc>
          <w:tcPr>
            <w:tcW w:w="170" w:type="dxa"/>
            <w:tcBorders>
              <w:left w:val="nil"/>
              <w:bottom w:val="nil"/>
              <w:right w:val="nil"/>
            </w:tcBorders>
            <w:shd w:val="clear" w:color="auto" w:fill="auto"/>
            <w:vAlign w:val="bottom"/>
          </w:tcPr>
          <w:p w14:paraId="2A6F1A60"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6" w:space="0" w:color="auto"/>
              <w:left w:val="nil"/>
              <w:bottom w:val="nil"/>
              <w:right w:val="nil"/>
            </w:tcBorders>
            <w:shd w:val="clear" w:color="auto" w:fill="auto"/>
            <w:vAlign w:val="bottom"/>
          </w:tcPr>
          <w:p w14:paraId="0353AF8B" w14:textId="77777777" w:rsidR="00425057" w:rsidRPr="0074154F" w:rsidRDefault="00425057" w:rsidP="00425057">
            <w:pPr>
              <w:tabs>
                <w:tab w:val="decimal" w:pos="1276"/>
              </w:tabs>
              <w:spacing w:after="0" w:line="240" w:lineRule="auto"/>
              <w:rPr>
                <w:rFonts w:ascii="Arial" w:hAnsi="Arial" w:cs="Arial"/>
                <w:color w:val="000000"/>
                <w:sz w:val="20"/>
                <w:szCs w:val="20"/>
              </w:rPr>
            </w:pPr>
          </w:p>
        </w:tc>
      </w:tr>
      <w:tr w:rsidR="00425057" w:rsidRPr="0074154F" w14:paraId="4BD43AA4" w14:textId="77777777" w:rsidTr="00BE445A">
        <w:trPr>
          <w:trHeight w:val="283"/>
          <w:jc w:val="right"/>
        </w:trPr>
        <w:tc>
          <w:tcPr>
            <w:tcW w:w="4876" w:type="dxa"/>
            <w:tcBorders>
              <w:top w:val="nil"/>
              <w:left w:val="nil"/>
              <w:bottom w:val="nil"/>
              <w:right w:val="nil"/>
            </w:tcBorders>
            <w:shd w:val="clear" w:color="auto" w:fill="auto"/>
            <w:vAlign w:val="bottom"/>
          </w:tcPr>
          <w:p w14:paraId="6515625B" w14:textId="77777777" w:rsidR="00425057" w:rsidRPr="0074154F" w:rsidRDefault="00425057" w:rsidP="00425057">
            <w:pPr>
              <w:spacing w:after="0" w:line="240" w:lineRule="auto"/>
              <w:ind w:left="-75"/>
              <w:rPr>
                <w:rFonts w:ascii="Arial" w:hAnsi="Arial" w:cs="Arial"/>
                <w:b/>
                <w:bCs/>
                <w:color w:val="000000"/>
                <w:sz w:val="20"/>
                <w:szCs w:val="20"/>
              </w:rPr>
            </w:pPr>
            <w:proofErr w:type="gramStart"/>
            <w:r w:rsidRPr="0074154F">
              <w:rPr>
                <w:rFonts w:ascii="Arial" w:hAnsi="Arial" w:cs="Arial"/>
                <w:b/>
                <w:bCs/>
                <w:color w:val="000000"/>
                <w:sz w:val="20"/>
                <w:szCs w:val="20"/>
              </w:rPr>
              <w:t>TOTAL</w:t>
            </w:r>
            <w:proofErr w:type="gramEnd"/>
            <w:r w:rsidRPr="0074154F">
              <w:rPr>
                <w:rFonts w:ascii="Arial" w:hAnsi="Arial" w:cs="Arial"/>
                <w:b/>
                <w:bCs/>
                <w:color w:val="000000"/>
                <w:sz w:val="20"/>
                <w:szCs w:val="20"/>
              </w:rPr>
              <w:t xml:space="preserve"> PASIVOS</w:t>
            </w:r>
          </w:p>
        </w:tc>
        <w:tc>
          <w:tcPr>
            <w:tcW w:w="850" w:type="dxa"/>
            <w:tcBorders>
              <w:top w:val="nil"/>
              <w:left w:val="nil"/>
              <w:bottom w:val="nil"/>
              <w:right w:val="nil"/>
            </w:tcBorders>
            <w:shd w:val="clear" w:color="auto" w:fill="auto"/>
            <w:vAlign w:val="bottom"/>
          </w:tcPr>
          <w:p w14:paraId="29AD4C75"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785AF4D3"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double" w:sz="4" w:space="0" w:color="auto"/>
              <w:right w:val="nil"/>
            </w:tcBorders>
            <w:shd w:val="clear" w:color="auto" w:fill="auto"/>
            <w:vAlign w:val="bottom"/>
          </w:tcPr>
          <w:p w14:paraId="546F4391" w14:textId="585EC342" w:rsidR="00425057" w:rsidRPr="0074154F" w:rsidRDefault="00317D36"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124,739,078</w:t>
            </w:r>
          </w:p>
        </w:tc>
        <w:tc>
          <w:tcPr>
            <w:tcW w:w="170" w:type="dxa"/>
            <w:tcBorders>
              <w:top w:val="nil"/>
              <w:left w:val="nil"/>
              <w:bottom w:val="nil"/>
              <w:right w:val="nil"/>
            </w:tcBorders>
            <w:shd w:val="clear" w:color="auto" w:fill="auto"/>
            <w:vAlign w:val="bottom"/>
          </w:tcPr>
          <w:p w14:paraId="4B7FEC1D"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left w:val="nil"/>
              <w:bottom w:val="double" w:sz="4" w:space="0" w:color="auto"/>
              <w:right w:val="nil"/>
            </w:tcBorders>
            <w:shd w:val="clear" w:color="auto" w:fill="auto"/>
            <w:vAlign w:val="bottom"/>
          </w:tcPr>
          <w:p w14:paraId="0591F798" w14:textId="5D6FB5B8" w:rsidR="00425057" w:rsidRPr="0074154F" w:rsidRDefault="00317D36"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112,675,553</w:t>
            </w:r>
          </w:p>
        </w:tc>
      </w:tr>
      <w:tr w:rsidR="00425057" w:rsidRPr="0074154F" w14:paraId="2128265A" w14:textId="77777777" w:rsidTr="00DE7401">
        <w:trPr>
          <w:trHeight w:val="246"/>
          <w:jc w:val="right"/>
        </w:trPr>
        <w:tc>
          <w:tcPr>
            <w:tcW w:w="4876" w:type="dxa"/>
            <w:tcBorders>
              <w:top w:val="nil"/>
              <w:left w:val="nil"/>
              <w:bottom w:val="nil"/>
              <w:right w:val="nil"/>
            </w:tcBorders>
            <w:shd w:val="clear" w:color="auto" w:fill="auto"/>
            <w:vAlign w:val="bottom"/>
          </w:tcPr>
          <w:p w14:paraId="27DA76CD" w14:textId="77777777" w:rsidR="00425057" w:rsidRPr="0074154F" w:rsidRDefault="00425057" w:rsidP="00425057">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0EA80576"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5EE6495F"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double" w:sz="4" w:space="0" w:color="auto"/>
              <w:left w:val="nil"/>
              <w:bottom w:val="nil"/>
              <w:right w:val="nil"/>
            </w:tcBorders>
            <w:shd w:val="clear" w:color="auto" w:fill="auto"/>
            <w:vAlign w:val="bottom"/>
          </w:tcPr>
          <w:p w14:paraId="4399B99F" w14:textId="77777777" w:rsidR="00425057" w:rsidRPr="0074154F" w:rsidRDefault="00425057" w:rsidP="00425057">
            <w:pPr>
              <w:tabs>
                <w:tab w:val="decimal" w:pos="1276"/>
              </w:tabs>
              <w:spacing w:after="0" w:line="240" w:lineRule="auto"/>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7B72E91E"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double" w:sz="4" w:space="0" w:color="auto"/>
              <w:left w:val="nil"/>
              <w:bottom w:val="nil"/>
              <w:right w:val="nil"/>
            </w:tcBorders>
            <w:shd w:val="clear" w:color="auto" w:fill="auto"/>
            <w:vAlign w:val="bottom"/>
          </w:tcPr>
          <w:p w14:paraId="0266145F" w14:textId="77777777" w:rsidR="00425057" w:rsidRPr="0074154F" w:rsidRDefault="00425057" w:rsidP="00425057">
            <w:pPr>
              <w:tabs>
                <w:tab w:val="decimal" w:pos="1276"/>
              </w:tabs>
              <w:spacing w:after="0" w:line="240" w:lineRule="auto"/>
              <w:rPr>
                <w:rFonts w:ascii="Arial" w:hAnsi="Arial" w:cs="Arial"/>
                <w:color w:val="000000"/>
                <w:sz w:val="20"/>
                <w:szCs w:val="20"/>
              </w:rPr>
            </w:pPr>
          </w:p>
        </w:tc>
      </w:tr>
      <w:tr w:rsidR="00425057" w:rsidRPr="0074154F" w14:paraId="31FCFEC1" w14:textId="77777777" w:rsidTr="00DE7401">
        <w:trPr>
          <w:trHeight w:val="206"/>
          <w:jc w:val="right"/>
        </w:trPr>
        <w:tc>
          <w:tcPr>
            <w:tcW w:w="4876" w:type="dxa"/>
            <w:tcBorders>
              <w:top w:val="nil"/>
              <w:left w:val="nil"/>
              <w:bottom w:val="nil"/>
              <w:right w:val="nil"/>
            </w:tcBorders>
            <w:shd w:val="clear" w:color="auto" w:fill="auto"/>
            <w:vAlign w:val="bottom"/>
          </w:tcPr>
          <w:p w14:paraId="1C541A20" w14:textId="2269211C" w:rsidR="00425057" w:rsidRPr="0074154F" w:rsidRDefault="00425057" w:rsidP="00425057">
            <w:pPr>
              <w:spacing w:after="0" w:line="240" w:lineRule="auto"/>
              <w:ind w:left="-75"/>
              <w:rPr>
                <w:rFonts w:ascii="Arial" w:hAnsi="Arial" w:cs="Arial"/>
                <w:b/>
                <w:color w:val="000000"/>
                <w:sz w:val="20"/>
                <w:szCs w:val="20"/>
              </w:rPr>
            </w:pPr>
            <w:r w:rsidRPr="0074154F">
              <w:rPr>
                <w:rFonts w:ascii="Arial" w:hAnsi="Arial" w:cs="Arial"/>
                <w:b/>
                <w:color w:val="000000"/>
                <w:sz w:val="20"/>
                <w:szCs w:val="20"/>
              </w:rPr>
              <w:t>PATRIMONIO:</w:t>
            </w:r>
          </w:p>
        </w:tc>
        <w:tc>
          <w:tcPr>
            <w:tcW w:w="850" w:type="dxa"/>
            <w:tcBorders>
              <w:top w:val="nil"/>
              <w:left w:val="nil"/>
              <w:bottom w:val="nil"/>
              <w:right w:val="nil"/>
            </w:tcBorders>
            <w:shd w:val="clear" w:color="auto" w:fill="auto"/>
            <w:vAlign w:val="bottom"/>
          </w:tcPr>
          <w:p w14:paraId="454C5AEF" w14:textId="5DE0A71A" w:rsidR="00425057" w:rsidRPr="0074154F" w:rsidRDefault="00425057" w:rsidP="00425057">
            <w:pPr>
              <w:spacing w:after="0" w:line="240" w:lineRule="auto"/>
              <w:jc w:val="center"/>
              <w:rPr>
                <w:rFonts w:ascii="Arial" w:hAnsi="Arial" w:cs="Arial"/>
                <w:color w:val="000000"/>
                <w:sz w:val="20"/>
                <w:szCs w:val="20"/>
              </w:rPr>
            </w:pPr>
            <w:r w:rsidRPr="0074154F">
              <w:rPr>
                <w:rFonts w:ascii="Arial" w:hAnsi="Arial" w:cs="Arial"/>
                <w:color w:val="000000"/>
                <w:sz w:val="20"/>
                <w:szCs w:val="20"/>
              </w:rPr>
              <w:t>2</w:t>
            </w:r>
            <w:r w:rsidR="0075082C" w:rsidRPr="0074154F">
              <w:rPr>
                <w:rFonts w:ascii="Arial" w:hAnsi="Arial" w:cs="Arial"/>
                <w:color w:val="000000"/>
                <w:sz w:val="20"/>
                <w:szCs w:val="20"/>
              </w:rPr>
              <w:t>5</w:t>
            </w:r>
          </w:p>
        </w:tc>
        <w:tc>
          <w:tcPr>
            <w:tcW w:w="170" w:type="dxa"/>
            <w:tcBorders>
              <w:top w:val="nil"/>
              <w:left w:val="nil"/>
              <w:bottom w:val="nil"/>
              <w:right w:val="nil"/>
            </w:tcBorders>
            <w:shd w:val="clear" w:color="auto" w:fill="auto"/>
            <w:vAlign w:val="bottom"/>
          </w:tcPr>
          <w:p w14:paraId="1D496A87"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24887F82" w14:textId="77777777" w:rsidR="00425057" w:rsidRPr="0074154F" w:rsidRDefault="00425057" w:rsidP="00425057">
            <w:pPr>
              <w:tabs>
                <w:tab w:val="decimal" w:pos="1276"/>
              </w:tabs>
              <w:spacing w:after="0" w:line="240" w:lineRule="auto"/>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23905620"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7344D06E" w14:textId="2A4B7B76" w:rsidR="00425057" w:rsidRPr="0074154F" w:rsidRDefault="00425057" w:rsidP="00425057">
            <w:pPr>
              <w:tabs>
                <w:tab w:val="decimal" w:pos="1276"/>
              </w:tabs>
              <w:spacing w:after="0" w:line="240" w:lineRule="auto"/>
              <w:rPr>
                <w:rFonts w:ascii="Arial" w:hAnsi="Arial" w:cs="Arial"/>
                <w:color w:val="000000"/>
                <w:sz w:val="20"/>
                <w:szCs w:val="20"/>
              </w:rPr>
            </w:pPr>
          </w:p>
        </w:tc>
      </w:tr>
      <w:tr w:rsidR="00425057" w:rsidRPr="0074154F" w14:paraId="28182D07" w14:textId="77777777" w:rsidTr="00DE7401">
        <w:trPr>
          <w:trHeight w:val="141"/>
          <w:jc w:val="right"/>
        </w:trPr>
        <w:tc>
          <w:tcPr>
            <w:tcW w:w="4876" w:type="dxa"/>
            <w:tcBorders>
              <w:top w:val="nil"/>
              <w:left w:val="nil"/>
              <w:bottom w:val="nil"/>
              <w:right w:val="nil"/>
            </w:tcBorders>
            <w:shd w:val="clear" w:color="auto" w:fill="auto"/>
            <w:vAlign w:val="bottom"/>
          </w:tcPr>
          <w:p w14:paraId="51C5F014" w14:textId="77777777" w:rsidR="00425057" w:rsidRPr="0074154F" w:rsidRDefault="00425057" w:rsidP="00425057">
            <w:pPr>
              <w:spacing w:after="0" w:line="240" w:lineRule="auto"/>
              <w:ind w:left="-75"/>
              <w:rPr>
                <w:rFonts w:ascii="Arial" w:hAnsi="Arial" w:cs="Arial"/>
                <w:color w:val="000000"/>
                <w:sz w:val="20"/>
                <w:szCs w:val="20"/>
              </w:rPr>
            </w:pPr>
            <w:r w:rsidRPr="0074154F">
              <w:rPr>
                <w:rFonts w:ascii="Arial" w:hAnsi="Arial" w:cs="Arial"/>
                <w:color w:val="000000"/>
                <w:sz w:val="20"/>
                <w:szCs w:val="20"/>
              </w:rPr>
              <w:t>Capital social</w:t>
            </w:r>
          </w:p>
        </w:tc>
        <w:tc>
          <w:tcPr>
            <w:tcW w:w="850" w:type="dxa"/>
            <w:tcBorders>
              <w:top w:val="nil"/>
              <w:left w:val="nil"/>
              <w:bottom w:val="nil"/>
              <w:right w:val="nil"/>
            </w:tcBorders>
            <w:shd w:val="clear" w:color="auto" w:fill="auto"/>
            <w:vAlign w:val="bottom"/>
          </w:tcPr>
          <w:p w14:paraId="31E13420"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27998BF0"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489A47A2" w14:textId="1856B3FB"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40,193,339</w:t>
            </w:r>
          </w:p>
        </w:tc>
        <w:tc>
          <w:tcPr>
            <w:tcW w:w="170" w:type="dxa"/>
            <w:tcBorders>
              <w:top w:val="nil"/>
              <w:left w:val="nil"/>
              <w:bottom w:val="nil"/>
              <w:right w:val="nil"/>
            </w:tcBorders>
            <w:shd w:val="clear" w:color="auto" w:fill="auto"/>
            <w:vAlign w:val="bottom"/>
          </w:tcPr>
          <w:p w14:paraId="61BAFCB3"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5D7D399D" w14:textId="027F9D77"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50,302,664</w:t>
            </w:r>
          </w:p>
        </w:tc>
      </w:tr>
      <w:tr w:rsidR="00425057" w:rsidRPr="0074154F" w14:paraId="0D2470FA" w14:textId="77777777" w:rsidTr="00DE7401">
        <w:trPr>
          <w:trHeight w:val="201"/>
          <w:jc w:val="right"/>
        </w:trPr>
        <w:tc>
          <w:tcPr>
            <w:tcW w:w="4876" w:type="dxa"/>
            <w:tcBorders>
              <w:top w:val="nil"/>
              <w:left w:val="nil"/>
              <w:bottom w:val="nil"/>
              <w:right w:val="nil"/>
            </w:tcBorders>
            <w:shd w:val="clear" w:color="auto" w:fill="auto"/>
            <w:vAlign w:val="bottom"/>
          </w:tcPr>
          <w:p w14:paraId="374552D2" w14:textId="43926415" w:rsidR="00425057" w:rsidRPr="0074154F" w:rsidRDefault="00425057" w:rsidP="00425057">
            <w:pPr>
              <w:spacing w:after="0" w:line="240" w:lineRule="auto"/>
              <w:ind w:left="-75"/>
              <w:rPr>
                <w:rFonts w:ascii="Arial" w:hAnsi="Arial" w:cs="Arial"/>
                <w:color w:val="000000"/>
                <w:sz w:val="20"/>
                <w:szCs w:val="20"/>
              </w:rPr>
            </w:pPr>
            <w:r w:rsidRPr="0074154F">
              <w:rPr>
                <w:rFonts w:ascii="Arial" w:hAnsi="Arial" w:cs="Arial"/>
                <w:color w:val="000000"/>
                <w:sz w:val="20"/>
                <w:szCs w:val="20"/>
              </w:rPr>
              <w:t>Aportes para futuras capitalizaciones</w:t>
            </w:r>
          </w:p>
        </w:tc>
        <w:tc>
          <w:tcPr>
            <w:tcW w:w="850" w:type="dxa"/>
            <w:tcBorders>
              <w:top w:val="nil"/>
              <w:left w:val="nil"/>
              <w:bottom w:val="nil"/>
              <w:right w:val="nil"/>
            </w:tcBorders>
            <w:shd w:val="clear" w:color="auto" w:fill="auto"/>
            <w:vAlign w:val="bottom"/>
          </w:tcPr>
          <w:p w14:paraId="7987260E"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50CBCE7C"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35BD5E5D" w14:textId="1B68F261"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920</w:t>
            </w:r>
          </w:p>
        </w:tc>
        <w:tc>
          <w:tcPr>
            <w:tcW w:w="170" w:type="dxa"/>
            <w:tcBorders>
              <w:top w:val="nil"/>
              <w:left w:val="nil"/>
              <w:bottom w:val="nil"/>
              <w:right w:val="nil"/>
            </w:tcBorders>
            <w:shd w:val="clear" w:color="auto" w:fill="auto"/>
            <w:vAlign w:val="bottom"/>
          </w:tcPr>
          <w:p w14:paraId="3CD9DE2B"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nil"/>
              <w:right w:val="nil"/>
            </w:tcBorders>
            <w:shd w:val="clear" w:color="auto" w:fill="auto"/>
            <w:vAlign w:val="bottom"/>
          </w:tcPr>
          <w:p w14:paraId="0D2CDCEF" w14:textId="31190A48"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6,115,920</w:t>
            </w:r>
          </w:p>
        </w:tc>
      </w:tr>
      <w:tr w:rsidR="00425057" w:rsidRPr="0074154F" w14:paraId="1AA6E5D5" w14:textId="77777777" w:rsidTr="00DE7401">
        <w:trPr>
          <w:trHeight w:val="247"/>
          <w:jc w:val="right"/>
        </w:trPr>
        <w:tc>
          <w:tcPr>
            <w:tcW w:w="4876" w:type="dxa"/>
            <w:tcBorders>
              <w:top w:val="nil"/>
              <w:left w:val="nil"/>
              <w:bottom w:val="nil"/>
              <w:right w:val="nil"/>
            </w:tcBorders>
            <w:shd w:val="clear" w:color="auto" w:fill="auto"/>
            <w:vAlign w:val="bottom"/>
          </w:tcPr>
          <w:p w14:paraId="42843C16" w14:textId="5CBE7BEF" w:rsidR="00425057" w:rsidRPr="0074154F" w:rsidRDefault="00425057" w:rsidP="00425057">
            <w:pPr>
              <w:spacing w:after="0" w:line="240" w:lineRule="auto"/>
              <w:ind w:left="-75"/>
              <w:rPr>
                <w:rFonts w:ascii="Arial" w:hAnsi="Arial" w:cs="Arial"/>
                <w:color w:val="000000"/>
                <w:sz w:val="20"/>
                <w:szCs w:val="20"/>
              </w:rPr>
            </w:pPr>
            <w:r w:rsidRPr="0074154F">
              <w:rPr>
                <w:rFonts w:ascii="Arial" w:hAnsi="Arial" w:cs="Arial"/>
                <w:color w:val="000000"/>
                <w:sz w:val="20"/>
                <w:szCs w:val="20"/>
              </w:rPr>
              <w:t>Reserva</w:t>
            </w:r>
            <w:r w:rsidR="00F132A1" w:rsidRPr="0074154F">
              <w:rPr>
                <w:rFonts w:ascii="Arial" w:hAnsi="Arial" w:cs="Arial"/>
                <w:color w:val="000000"/>
                <w:sz w:val="20"/>
                <w:szCs w:val="20"/>
              </w:rPr>
              <w:t>s</w:t>
            </w:r>
          </w:p>
        </w:tc>
        <w:tc>
          <w:tcPr>
            <w:tcW w:w="850" w:type="dxa"/>
            <w:tcBorders>
              <w:top w:val="nil"/>
              <w:left w:val="nil"/>
              <w:bottom w:val="nil"/>
              <w:right w:val="nil"/>
            </w:tcBorders>
            <w:shd w:val="clear" w:color="auto" w:fill="auto"/>
            <w:vAlign w:val="bottom"/>
          </w:tcPr>
          <w:p w14:paraId="727977A1"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38EF3F98"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4D677778" w14:textId="5BAA7FD1"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8,820,280</w:t>
            </w:r>
          </w:p>
        </w:tc>
        <w:tc>
          <w:tcPr>
            <w:tcW w:w="170" w:type="dxa"/>
            <w:tcBorders>
              <w:top w:val="nil"/>
              <w:left w:val="nil"/>
              <w:bottom w:val="nil"/>
              <w:right w:val="nil"/>
            </w:tcBorders>
            <w:shd w:val="clear" w:color="auto" w:fill="auto"/>
            <w:vAlign w:val="bottom"/>
          </w:tcPr>
          <w:p w14:paraId="155F1ADA"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right w:val="nil"/>
            </w:tcBorders>
            <w:shd w:val="clear" w:color="auto" w:fill="auto"/>
            <w:vAlign w:val="bottom"/>
          </w:tcPr>
          <w:p w14:paraId="7C95D204" w14:textId="6FC635F2"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8,1</w:t>
            </w:r>
            <w:r w:rsidR="00BF7C5F">
              <w:rPr>
                <w:rFonts w:ascii="Arial" w:hAnsi="Arial" w:cs="Arial"/>
                <w:color w:val="000000"/>
                <w:sz w:val="20"/>
                <w:szCs w:val="20"/>
              </w:rPr>
              <w:t>11,016</w:t>
            </w:r>
          </w:p>
        </w:tc>
      </w:tr>
      <w:tr w:rsidR="00425057" w:rsidRPr="0074154F" w14:paraId="4103B94B" w14:textId="77777777" w:rsidTr="00DE7401">
        <w:trPr>
          <w:trHeight w:val="137"/>
          <w:jc w:val="right"/>
        </w:trPr>
        <w:tc>
          <w:tcPr>
            <w:tcW w:w="4876" w:type="dxa"/>
            <w:tcBorders>
              <w:top w:val="nil"/>
              <w:left w:val="nil"/>
              <w:bottom w:val="nil"/>
              <w:right w:val="nil"/>
            </w:tcBorders>
            <w:shd w:val="clear" w:color="auto" w:fill="auto"/>
            <w:vAlign w:val="bottom"/>
          </w:tcPr>
          <w:p w14:paraId="0FCBD1F5" w14:textId="77777777" w:rsidR="00425057" w:rsidRPr="0074154F" w:rsidRDefault="00425057" w:rsidP="00425057">
            <w:pPr>
              <w:spacing w:after="0" w:line="240" w:lineRule="auto"/>
              <w:ind w:left="-75"/>
              <w:rPr>
                <w:rFonts w:ascii="Arial" w:hAnsi="Arial" w:cs="Arial"/>
                <w:color w:val="000000"/>
                <w:sz w:val="20"/>
                <w:szCs w:val="20"/>
              </w:rPr>
            </w:pPr>
            <w:r w:rsidRPr="0074154F">
              <w:rPr>
                <w:rFonts w:ascii="Arial" w:hAnsi="Arial" w:cs="Arial"/>
                <w:color w:val="000000"/>
                <w:sz w:val="20"/>
                <w:szCs w:val="20"/>
              </w:rPr>
              <w:t>Resultados acumulados</w:t>
            </w:r>
          </w:p>
        </w:tc>
        <w:tc>
          <w:tcPr>
            <w:tcW w:w="850" w:type="dxa"/>
            <w:tcBorders>
              <w:top w:val="nil"/>
              <w:left w:val="nil"/>
              <w:bottom w:val="nil"/>
              <w:right w:val="nil"/>
            </w:tcBorders>
            <w:shd w:val="clear" w:color="auto" w:fill="auto"/>
            <w:vAlign w:val="bottom"/>
          </w:tcPr>
          <w:p w14:paraId="206803C4"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5165288E"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single" w:sz="4" w:space="0" w:color="auto"/>
              <w:right w:val="nil"/>
            </w:tcBorders>
            <w:shd w:val="clear" w:color="auto" w:fill="auto"/>
            <w:vAlign w:val="bottom"/>
          </w:tcPr>
          <w:p w14:paraId="30D1ABD3" w14:textId="4653237C"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70,359,472</w:t>
            </w:r>
          </w:p>
        </w:tc>
        <w:tc>
          <w:tcPr>
            <w:tcW w:w="170" w:type="dxa"/>
            <w:tcBorders>
              <w:top w:val="nil"/>
              <w:left w:val="nil"/>
              <w:bottom w:val="nil"/>
              <w:right w:val="nil"/>
            </w:tcBorders>
            <w:shd w:val="clear" w:color="auto" w:fill="auto"/>
            <w:vAlign w:val="bottom"/>
          </w:tcPr>
          <w:p w14:paraId="76B98821"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nil"/>
              <w:left w:val="nil"/>
              <w:bottom w:val="single" w:sz="4" w:space="0" w:color="auto"/>
              <w:right w:val="nil"/>
            </w:tcBorders>
            <w:shd w:val="clear" w:color="auto" w:fill="auto"/>
            <w:vAlign w:val="bottom"/>
          </w:tcPr>
          <w:p w14:paraId="46A848F5" w14:textId="2C369D43" w:rsidR="00425057" w:rsidRPr="0074154F" w:rsidRDefault="00902D8C" w:rsidP="00425057">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34,</w:t>
            </w:r>
            <w:r w:rsidR="00BF7C5F">
              <w:rPr>
                <w:rFonts w:ascii="Arial" w:hAnsi="Arial" w:cs="Arial"/>
                <w:color w:val="000000"/>
                <w:sz w:val="20"/>
                <w:szCs w:val="20"/>
              </w:rPr>
              <w:t>974,006</w:t>
            </w:r>
          </w:p>
        </w:tc>
      </w:tr>
      <w:tr w:rsidR="00425057" w:rsidRPr="0074154F" w14:paraId="5091C02E" w14:textId="77777777" w:rsidTr="00BC45BB">
        <w:trPr>
          <w:trHeight w:val="283"/>
          <w:jc w:val="right"/>
        </w:trPr>
        <w:tc>
          <w:tcPr>
            <w:tcW w:w="4876" w:type="dxa"/>
            <w:tcBorders>
              <w:top w:val="nil"/>
              <w:left w:val="nil"/>
              <w:bottom w:val="nil"/>
              <w:right w:val="nil"/>
            </w:tcBorders>
            <w:shd w:val="clear" w:color="auto" w:fill="auto"/>
            <w:vAlign w:val="bottom"/>
          </w:tcPr>
          <w:p w14:paraId="2506C614" w14:textId="77777777" w:rsidR="00425057" w:rsidRPr="0074154F" w:rsidRDefault="00425057" w:rsidP="00425057">
            <w:pPr>
              <w:spacing w:after="0" w:line="240" w:lineRule="auto"/>
              <w:ind w:left="-75"/>
              <w:rPr>
                <w:rFonts w:ascii="Arial" w:hAnsi="Arial" w:cs="Arial"/>
                <w:color w:val="000000"/>
                <w:sz w:val="20"/>
                <w:szCs w:val="20"/>
              </w:rPr>
            </w:pPr>
          </w:p>
        </w:tc>
        <w:tc>
          <w:tcPr>
            <w:tcW w:w="850" w:type="dxa"/>
            <w:tcBorders>
              <w:top w:val="nil"/>
              <w:left w:val="nil"/>
              <w:bottom w:val="nil"/>
              <w:right w:val="nil"/>
            </w:tcBorders>
            <w:shd w:val="clear" w:color="auto" w:fill="auto"/>
            <w:vAlign w:val="bottom"/>
          </w:tcPr>
          <w:p w14:paraId="13800B67" w14:textId="77777777" w:rsidR="00425057" w:rsidRPr="0074154F" w:rsidRDefault="00425057" w:rsidP="00425057">
            <w:pPr>
              <w:spacing w:after="0" w:line="240" w:lineRule="auto"/>
              <w:jc w:val="center"/>
              <w:rPr>
                <w:rFonts w:ascii="Arial" w:hAnsi="Arial" w:cs="Arial"/>
                <w:color w:val="000000"/>
                <w:sz w:val="20"/>
                <w:szCs w:val="20"/>
              </w:rPr>
            </w:pPr>
          </w:p>
        </w:tc>
        <w:tc>
          <w:tcPr>
            <w:tcW w:w="170" w:type="dxa"/>
            <w:tcBorders>
              <w:top w:val="nil"/>
              <w:left w:val="nil"/>
              <w:bottom w:val="nil"/>
              <w:right w:val="nil"/>
            </w:tcBorders>
            <w:shd w:val="clear" w:color="auto" w:fill="auto"/>
            <w:vAlign w:val="bottom"/>
          </w:tcPr>
          <w:p w14:paraId="32422198"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2E0FA062" w14:textId="207178FB" w:rsidR="00425057" w:rsidRPr="0074154F" w:rsidRDefault="00425057" w:rsidP="00425057">
            <w:pPr>
              <w:tabs>
                <w:tab w:val="decimal" w:pos="1276"/>
              </w:tabs>
              <w:spacing w:after="0" w:line="240" w:lineRule="auto"/>
              <w:rPr>
                <w:rFonts w:ascii="Arial" w:hAnsi="Arial" w:cs="Arial"/>
                <w:color w:val="000000"/>
                <w:sz w:val="20"/>
                <w:szCs w:val="20"/>
              </w:rPr>
            </w:pPr>
          </w:p>
        </w:tc>
        <w:tc>
          <w:tcPr>
            <w:tcW w:w="170" w:type="dxa"/>
            <w:tcBorders>
              <w:top w:val="nil"/>
              <w:left w:val="nil"/>
              <w:right w:val="nil"/>
            </w:tcBorders>
            <w:shd w:val="clear" w:color="auto" w:fill="auto"/>
            <w:vAlign w:val="bottom"/>
          </w:tcPr>
          <w:p w14:paraId="2888931D" w14:textId="77777777" w:rsidR="00425057" w:rsidRPr="0074154F" w:rsidRDefault="00425057" w:rsidP="00425057">
            <w:pPr>
              <w:spacing w:after="0" w:line="240" w:lineRule="auto"/>
              <w:rPr>
                <w:rFonts w:ascii="Arial" w:hAnsi="Arial" w:cs="Arial"/>
                <w:color w:val="000000"/>
                <w:sz w:val="20"/>
                <w:szCs w:val="20"/>
              </w:rPr>
            </w:pPr>
          </w:p>
        </w:tc>
        <w:tc>
          <w:tcPr>
            <w:tcW w:w="1502" w:type="dxa"/>
            <w:tcBorders>
              <w:top w:val="single" w:sz="4" w:space="0" w:color="auto"/>
              <w:left w:val="nil"/>
              <w:right w:val="nil"/>
            </w:tcBorders>
            <w:shd w:val="clear" w:color="auto" w:fill="auto"/>
            <w:vAlign w:val="bottom"/>
          </w:tcPr>
          <w:p w14:paraId="1A808C44" w14:textId="158A96E9" w:rsidR="00425057" w:rsidRPr="0074154F" w:rsidRDefault="00425057" w:rsidP="00425057">
            <w:pPr>
              <w:tabs>
                <w:tab w:val="decimal" w:pos="1276"/>
              </w:tabs>
              <w:spacing w:after="0" w:line="240" w:lineRule="auto"/>
              <w:rPr>
                <w:rFonts w:ascii="Arial" w:hAnsi="Arial" w:cs="Arial"/>
                <w:color w:val="000000"/>
                <w:sz w:val="20"/>
                <w:szCs w:val="20"/>
              </w:rPr>
            </w:pPr>
          </w:p>
        </w:tc>
      </w:tr>
      <w:tr w:rsidR="00113BE5" w:rsidRPr="0074154F" w14:paraId="4C4A7CC5" w14:textId="77777777" w:rsidTr="00BC45BB">
        <w:trPr>
          <w:trHeight w:val="122"/>
          <w:jc w:val="right"/>
        </w:trPr>
        <w:tc>
          <w:tcPr>
            <w:tcW w:w="4876" w:type="dxa"/>
            <w:tcBorders>
              <w:left w:val="nil"/>
              <w:right w:val="nil"/>
            </w:tcBorders>
            <w:shd w:val="clear" w:color="auto" w:fill="auto"/>
            <w:vAlign w:val="bottom"/>
          </w:tcPr>
          <w:p w14:paraId="7E299BFA" w14:textId="05A97FD3" w:rsidR="00113BE5" w:rsidRPr="0074154F" w:rsidRDefault="00113BE5" w:rsidP="00113BE5">
            <w:pPr>
              <w:spacing w:after="0" w:line="240" w:lineRule="auto"/>
              <w:ind w:left="-75"/>
              <w:rPr>
                <w:rFonts w:ascii="Arial" w:hAnsi="Arial" w:cs="Arial"/>
                <w:color w:val="000000"/>
                <w:sz w:val="20"/>
                <w:szCs w:val="20"/>
              </w:rPr>
            </w:pPr>
            <w:proofErr w:type="gramStart"/>
            <w:r w:rsidRPr="0074154F">
              <w:rPr>
                <w:rFonts w:ascii="Arial" w:eastAsia="Times New Roman" w:hAnsi="Arial" w:cs="Arial"/>
                <w:b/>
                <w:bCs/>
                <w:color w:val="000000"/>
                <w:sz w:val="20"/>
                <w:szCs w:val="20"/>
                <w:lang w:eastAsia="es-EC"/>
              </w:rPr>
              <w:t>Total</w:t>
            </w:r>
            <w:proofErr w:type="gramEnd"/>
            <w:r w:rsidRPr="0074154F">
              <w:rPr>
                <w:rFonts w:ascii="Arial" w:eastAsia="Times New Roman" w:hAnsi="Arial" w:cs="Arial"/>
                <w:b/>
                <w:bCs/>
                <w:color w:val="000000"/>
                <w:sz w:val="20"/>
                <w:szCs w:val="20"/>
                <w:lang w:eastAsia="es-EC"/>
              </w:rPr>
              <w:t xml:space="preserve"> patrimonio</w:t>
            </w:r>
          </w:p>
        </w:tc>
        <w:tc>
          <w:tcPr>
            <w:tcW w:w="850" w:type="dxa"/>
            <w:tcBorders>
              <w:left w:val="nil"/>
              <w:right w:val="nil"/>
            </w:tcBorders>
            <w:shd w:val="clear" w:color="auto" w:fill="auto"/>
            <w:vAlign w:val="bottom"/>
          </w:tcPr>
          <w:p w14:paraId="1D51B88A" w14:textId="77777777" w:rsidR="00113BE5" w:rsidRPr="0074154F" w:rsidRDefault="00113BE5" w:rsidP="00113BE5">
            <w:pPr>
              <w:spacing w:after="0" w:line="240" w:lineRule="auto"/>
              <w:jc w:val="center"/>
              <w:rPr>
                <w:rFonts w:ascii="Arial" w:hAnsi="Arial" w:cs="Arial"/>
                <w:color w:val="000000"/>
                <w:sz w:val="20"/>
                <w:szCs w:val="20"/>
              </w:rPr>
            </w:pPr>
          </w:p>
        </w:tc>
        <w:tc>
          <w:tcPr>
            <w:tcW w:w="170" w:type="dxa"/>
            <w:tcBorders>
              <w:left w:val="nil"/>
              <w:right w:val="nil"/>
            </w:tcBorders>
            <w:shd w:val="clear" w:color="auto" w:fill="auto"/>
            <w:vAlign w:val="bottom"/>
          </w:tcPr>
          <w:p w14:paraId="63213D34" w14:textId="77777777" w:rsidR="00113BE5" w:rsidRPr="0074154F" w:rsidRDefault="00113BE5" w:rsidP="00113BE5">
            <w:pPr>
              <w:spacing w:after="0" w:line="240" w:lineRule="auto"/>
              <w:rPr>
                <w:rFonts w:ascii="Arial" w:hAnsi="Arial" w:cs="Arial"/>
                <w:color w:val="000000"/>
                <w:sz w:val="20"/>
                <w:szCs w:val="20"/>
              </w:rPr>
            </w:pPr>
          </w:p>
        </w:tc>
        <w:tc>
          <w:tcPr>
            <w:tcW w:w="1502" w:type="dxa"/>
            <w:tcBorders>
              <w:left w:val="nil"/>
              <w:bottom w:val="single" w:sz="8" w:space="0" w:color="auto"/>
              <w:right w:val="nil"/>
            </w:tcBorders>
            <w:shd w:val="clear" w:color="auto" w:fill="auto"/>
            <w:vAlign w:val="bottom"/>
          </w:tcPr>
          <w:p w14:paraId="0D35E124" w14:textId="3F5098E9" w:rsidR="00113BE5" w:rsidRPr="0074154F" w:rsidRDefault="00902D8C" w:rsidP="00113BE5">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119,374,011</w:t>
            </w:r>
          </w:p>
        </w:tc>
        <w:tc>
          <w:tcPr>
            <w:tcW w:w="170" w:type="dxa"/>
            <w:tcBorders>
              <w:left w:val="nil"/>
              <w:right w:val="nil"/>
            </w:tcBorders>
            <w:shd w:val="clear" w:color="auto" w:fill="auto"/>
            <w:vAlign w:val="bottom"/>
          </w:tcPr>
          <w:p w14:paraId="670ACF1C" w14:textId="77777777" w:rsidR="00113BE5" w:rsidRPr="0074154F" w:rsidRDefault="00113BE5" w:rsidP="00113BE5">
            <w:pPr>
              <w:spacing w:after="0" w:line="240" w:lineRule="auto"/>
              <w:rPr>
                <w:rFonts w:ascii="Arial" w:hAnsi="Arial" w:cs="Arial"/>
                <w:color w:val="000000"/>
                <w:sz w:val="20"/>
                <w:szCs w:val="20"/>
              </w:rPr>
            </w:pPr>
          </w:p>
        </w:tc>
        <w:tc>
          <w:tcPr>
            <w:tcW w:w="1502" w:type="dxa"/>
            <w:tcBorders>
              <w:left w:val="nil"/>
              <w:bottom w:val="single" w:sz="8" w:space="0" w:color="auto"/>
              <w:right w:val="nil"/>
            </w:tcBorders>
            <w:shd w:val="clear" w:color="auto" w:fill="auto"/>
            <w:vAlign w:val="bottom"/>
          </w:tcPr>
          <w:p w14:paraId="24B84562" w14:textId="2B3CCA55" w:rsidR="00113BE5" w:rsidRPr="0074154F" w:rsidRDefault="00902D8C" w:rsidP="00113BE5">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99,503,606</w:t>
            </w:r>
          </w:p>
        </w:tc>
      </w:tr>
      <w:tr w:rsidR="00113BE5" w:rsidRPr="0074154F" w14:paraId="46F85BFF" w14:textId="77777777" w:rsidTr="00BC45BB">
        <w:trPr>
          <w:trHeight w:val="237"/>
          <w:jc w:val="right"/>
        </w:trPr>
        <w:tc>
          <w:tcPr>
            <w:tcW w:w="4876" w:type="dxa"/>
            <w:tcBorders>
              <w:left w:val="nil"/>
              <w:right w:val="nil"/>
            </w:tcBorders>
            <w:shd w:val="clear" w:color="auto" w:fill="auto"/>
            <w:vAlign w:val="bottom"/>
          </w:tcPr>
          <w:p w14:paraId="0CF00194" w14:textId="77777777" w:rsidR="00113BE5" w:rsidRPr="0074154F" w:rsidRDefault="00113BE5" w:rsidP="00113BE5">
            <w:pPr>
              <w:spacing w:after="0" w:line="240" w:lineRule="auto"/>
              <w:ind w:left="-75"/>
              <w:rPr>
                <w:rFonts w:ascii="Arial" w:hAnsi="Arial" w:cs="Arial"/>
                <w:color w:val="000000"/>
                <w:sz w:val="20"/>
                <w:szCs w:val="20"/>
              </w:rPr>
            </w:pPr>
          </w:p>
        </w:tc>
        <w:tc>
          <w:tcPr>
            <w:tcW w:w="850" w:type="dxa"/>
            <w:tcBorders>
              <w:left w:val="nil"/>
              <w:right w:val="nil"/>
            </w:tcBorders>
            <w:shd w:val="clear" w:color="auto" w:fill="auto"/>
            <w:vAlign w:val="bottom"/>
          </w:tcPr>
          <w:p w14:paraId="6E7949C7" w14:textId="77777777" w:rsidR="00113BE5" w:rsidRPr="0074154F" w:rsidRDefault="00113BE5" w:rsidP="00113BE5">
            <w:pPr>
              <w:spacing w:after="0" w:line="240" w:lineRule="auto"/>
              <w:jc w:val="center"/>
              <w:rPr>
                <w:rFonts w:ascii="Arial" w:hAnsi="Arial" w:cs="Arial"/>
                <w:color w:val="000000"/>
                <w:sz w:val="20"/>
                <w:szCs w:val="20"/>
              </w:rPr>
            </w:pPr>
          </w:p>
        </w:tc>
        <w:tc>
          <w:tcPr>
            <w:tcW w:w="170" w:type="dxa"/>
            <w:tcBorders>
              <w:left w:val="nil"/>
              <w:right w:val="nil"/>
            </w:tcBorders>
            <w:shd w:val="clear" w:color="auto" w:fill="auto"/>
            <w:vAlign w:val="bottom"/>
          </w:tcPr>
          <w:p w14:paraId="3E104E48" w14:textId="77777777" w:rsidR="00113BE5" w:rsidRPr="0074154F" w:rsidRDefault="00113BE5" w:rsidP="00113BE5">
            <w:pPr>
              <w:spacing w:after="0" w:line="240" w:lineRule="auto"/>
              <w:rPr>
                <w:rFonts w:ascii="Arial" w:hAnsi="Arial" w:cs="Arial"/>
                <w:color w:val="000000"/>
                <w:sz w:val="20"/>
                <w:szCs w:val="20"/>
              </w:rPr>
            </w:pPr>
          </w:p>
        </w:tc>
        <w:tc>
          <w:tcPr>
            <w:tcW w:w="1502" w:type="dxa"/>
            <w:tcBorders>
              <w:top w:val="single" w:sz="8" w:space="0" w:color="auto"/>
              <w:left w:val="nil"/>
              <w:right w:val="nil"/>
            </w:tcBorders>
            <w:shd w:val="clear" w:color="auto" w:fill="auto"/>
            <w:vAlign w:val="bottom"/>
          </w:tcPr>
          <w:p w14:paraId="1297E4B8" w14:textId="25038394" w:rsidR="00113BE5" w:rsidRPr="0074154F" w:rsidRDefault="00113BE5" w:rsidP="00113BE5">
            <w:pPr>
              <w:tabs>
                <w:tab w:val="decimal" w:pos="1276"/>
              </w:tabs>
              <w:spacing w:after="0" w:line="240" w:lineRule="auto"/>
              <w:rPr>
                <w:rFonts w:ascii="Arial" w:hAnsi="Arial" w:cs="Arial"/>
                <w:color w:val="000000"/>
                <w:sz w:val="20"/>
                <w:szCs w:val="20"/>
              </w:rPr>
            </w:pPr>
          </w:p>
        </w:tc>
        <w:tc>
          <w:tcPr>
            <w:tcW w:w="170" w:type="dxa"/>
            <w:tcBorders>
              <w:left w:val="nil"/>
              <w:right w:val="nil"/>
            </w:tcBorders>
            <w:shd w:val="clear" w:color="auto" w:fill="auto"/>
            <w:vAlign w:val="bottom"/>
          </w:tcPr>
          <w:p w14:paraId="682E2209" w14:textId="77777777" w:rsidR="00113BE5" w:rsidRPr="0074154F" w:rsidRDefault="00113BE5" w:rsidP="00113BE5">
            <w:pPr>
              <w:spacing w:after="0" w:line="240" w:lineRule="auto"/>
              <w:rPr>
                <w:rFonts w:ascii="Arial" w:hAnsi="Arial" w:cs="Arial"/>
                <w:color w:val="000000"/>
                <w:sz w:val="20"/>
                <w:szCs w:val="20"/>
              </w:rPr>
            </w:pPr>
          </w:p>
        </w:tc>
        <w:tc>
          <w:tcPr>
            <w:tcW w:w="1502" w:type="dxa"/>
            <w:tcBorders>
              <w:top w:val="single" w:sz="8" w:space="0" w:color="auto"/>
              <w:left w:val="nil"/>
              <w:right w:val="nil"/>
            </w:tcBorders>
            <w:shd w:val="clear" w:color="auto" w:fill="auto"/>
            <w:vAlign w:val="bottom"/>
          </w:tcPr>
          <w:p w14:paraId="4CDCA024" w14:textId="0D5C3254" w:rsidR="00113BE5" w:rsidRPr="0074154F" w:rsidRDefault="00113BE5" w:rsidP="00113BE5">
            <w:pPr>
              <w:tabs>
                <w:tab w:val="decimal" w:pos="1276"/>
              </w:tabs>
              <w:spacing w:after="0" w:line="240" w:lineRule="auto"/>
              <w:rPr>
                <w:rFonts w:ascii="Arial" w:hAnsi="Arial" w:cs="Arial"/>
                <w:color w:val="000000"/>
                <w:sz w:val="20"/>
                <w:szCs w:val="20"/>
              </w:rPr>
            </w:pPr>
          </w:p>
        </w:tc>
      </w:tr>
      <w:tr w:rsidR="00260821" w:rsidRPr="0074154F" w14:paraId="5AF99232" w14:textId="77777777" w:rsidTr="00DE7401">
        <w:trPr>
          <w:trHeight w:val="145"/>
          <w:jc w:val="right"/>
        </w:trPr>
        <w:tc>
          <w:tcPr>
            <w:tcW w:w="4876" w:type="dxa"/>
            <w:tcBorders>
              <w:top w:val="nil"/>
              <w:left w:val="nil"/>
              <w:right w:val="nil"/>
            </w:tcBorders>
            <w:shd w:val="clear" w:color="auto" w:fill="auto"/>
            <w:vAlign w:val="bottom"/>
          </w:tcPr>
          <w:p w14:paraId="15AD8286" w14:textId="77777777" w:rsidR="00260821" w:rsidRPr="0074154F" w:rsidRDefault="00260821" w:rsidP="00260821">
            <w:pPr>
              <w:spacing w:after="0" w:line="240" w:lineRule="auto"/>
              <w:ind w:left="-75"/>
              <w:rPr>
                <w:rFonts w:ascii="Arial" w:hAnsi="Arial" w:cs="Arial"/>
                <w:b/>
                <w:color w:val="000000"/>
                <w:sz w:val="20"/>
                <w:szCs w:val="20"/>
              </w:rPr>
            </w:pPr>
            <w:r w:rsidRPr="0074154F">
              <w:rPr>
                <w:rFonts w:ascii="Arial" w:hAnsi="Arial" w:cs="Arial"/>
                <w:b/>
                <w:color w:val="000000"/>
                <w:sz w:val="20"/>
                <w:szCs w:val="20"/>
              </w:rPr>
              <w:t>TOTAL</w:t>
            </w:r>
          </w:p>
        </w:tc>
        <w:tc>
          <w:tcPr>
            <w:tcW w:w="850" w:type="dxa"/>
            <w:tcBorders>
              <w:top w:val="nil"/>
              <w:left w:val="nil"/>
              <w:right w:val="nil"/>
            </w:tcBorders>
            <w:shd w:val="clear" w:color="auto" w:fill="auto"/>
            <w:vAlign w:val="bottom"/>
          </w:tcPr>
          <w:p w14:paraId="71C37479" w14:textId="77777777" w:rsidR="00260821" w:rsidRPr="0074154F" w:rsidRDefault="00260821" w:rsidP="00260821">
            <w:pPr>
              <w:spacing w:after="0" w:line="240" w:lineRule="auto"/>
              <w:jc w:val="center"/>
              <w:rPr>
                <w:rFonts w:ascii="Arial" w:hAnsi="Arial" w:cs="Arial"/>
                <w:color w:val="000000"/>
                <w:sz w:val="20"/>
                <w:szCs w:val="20"/>
              </w:rPr>
            </w:pPr>
          </w:p>
        </w:tc>
        <w:tc>
          <w:tcPr>
            <w:tcW w:w="170" w:type="dxa"/>
            <w:tcBorders>
              <w:top w:val="nil"/>
              <w:left w:val="nil"/>
              <w:right w:val="nil"/>
            </w:tcBorders>
            <w:shd w:val="clear" w:color="auto" w:fill="auto"/>
            <w:vAlign w:val="bottom"/>
          </w:tcPr>
          <w:p w14:paraId="725843E9" w14:textId="77777777" w:rsidR="00260821" w:rsidRPr="0074154F" w:rsidRDefault="00260821" w:rsidP="00260821">
            <w:pPr>
              <w:spacing w:after="0" w:line="240" w:lineRule="auto"/>
              <w:rPr>
                <w:rFonts w:ascii="Arial" w:hAnsi="Arial" w:cs="Arial"/>
                <w:color w:val="000000"/>
                <w:sz w:val="20"/>
                <w:szCs w:val="20"/>
              </w:rPr>
            </w:pPr>
          </w:p>
        </w:tc>
        <w:tc>
          <w:tcPr>
            <w:tcW w:w="1502" w:type="dxa"/>
            <w:tcBorders>
              <w:top w:val="nil"/>
              <w:left w:val="nil"/>
              <w:bottom w:val="double" w:sz="4" w:space="0" w:color="auto"/>
              <w:right w:val="nil"/>
            </w:tcBorders>
            <w:shd w:val="clear" w:color="auto" w:fill="auto"/>
            <w:vAlign w:val="bottom"/>
          </w:tcPr>
          <w:p w14:paraId="3F322885" w14:textId="76870656" w:rsidR="00260821" w:rsidRPr="0074154F" w:rsidRDefault="00902D8C" w:rsidP="00260821">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244,113,089</w:t>
            </w:r>
          </w:p>
        </w:tc>
        <w:tc>
          <w:tcPr>
            <w:tcW w:w="170" w:type="dxa"/>
            <w:tcBorders>
              <w:top w:val="nil"/>
              <w:left w:val="nil"/>
              <w:right w:val="nil"/>
            </w:tcBorders>
            <w:shd w:val="clear" w:color="auto" w:fill="auto"/>
            <w:vAlign w:val="bottom"/>
          </w:tcPr>
          <w:p w14:paraId="02495F4C" w14:textId="77777777" w:rsidR="00260821" w:rsidRPr="0074154F" w:rsidRDefault="00260821" w:rsidP="00260821">
            <w:pPr>
              <w:spacing w:after="0" w:line="240" w:lineRule="auto"/>
              <w:rPr>
                <w:rFonts w:ascii="Arial" w:hAnsi="Arial" w:cs="Arial"/>
                <w:color w:val="000000"/>
                <w:sz w:val="20"/>
                <w:szCs w:val="20"/>
              </w:rPr>
            </w:pPr>
          </w:p>
        </w:tc>
        <w:tc>
          <w:tcPr>
            <w:tcW w:w="1502" w:type="dxa"/>
            <w:tcBorders>
              <w:top w:val="nil"/>
              <w:left w:val="nil"/>
              <w:bottom w:val="double" w:sz="4" w:space="0" w:color="auto"/>
              <w:right w:val="nil"/>
            </w:tcBorders>
            <w:shd w:val="clear" w:color="auto" w:fill="auto"/>
            <w:vAlign w:val="bottom"/>
          </w:tcPr>
          <w:p w14:paraId="53D98614" w14:textId="42DEA71A" w:rsidR="00260821" w:rsidRPr="0074154F" w:rsidRDefault="00902D8C" w:rsidP="00260821">
            <w:pPr>
              <w:tabs>
                <w:tab w:val="decimal" w:pos="1276"/>
              </w:tabs>
              <w:spacing w:after="0" w:line="240" w:lineRule="auto"/>
              <w:rPr>
                <w:rFonts w:ascii="Arial" w:hAnsi="Arial" w:cs="Arial"/>
                <w:color w:val="000000"/>
                <w:sz w:val="20"/>
                <w:szCs w:val="20"/>
              </w:rPr>
            </w:pPr>
            <w:r>
              <w:rPr>
                <w:rFonts w:ascii="Arial" w:hAnsi="Arial" w:cs="Arial"/>
                <w:color w:val="000000"/>
                <w:sz w:val="20"/>
                <w:szCs w:val="20"/>
              </w:rPr>
              <w:t>212,179,159</w:t>
            </w:r>
          </w:p>
        </w:tc>
      </w:tr>
      <w:bookmarkEnd w:id="5"/>
    </w:tbl>
    <w:p w14:paraId="137B5E81" w14:textId="0A6744CE" w:rsidR="00D82827" w:rsidRPr="0074154F" w:rsidRDefault="00D82827" w:rsidP="00413455">
      <w:pPr>
        <w:tabs>
          <w:tab w:val="center" w:pos="5387"/>
          <w:tab w:val="decimal" w:pos="7513"/>
          <w:tab w:val="decimal" w:pos="8931"/>
        </w:tabs>
        <w:spacing w:after="0" w:line="240" w:lineRule="auto"/>
        <w:rPr>
          <w:rFonts w:ascii="Arial" w:hAnsi="Arial" w:cs="Arial"/>
          <w:sz w:val="20"/>
          <w:szCs w:val="20"/>
        </w:rPr>
      </w:pPr>
    </w:p>
    <w:p w14:paraId="36C75BBE" w14:textId="77777777" w:rsidR="00DE7401" w:rsidRPr="0074154F" w:rsidRDefault="00DE7401" w:rsidP="00413455">
      <w:pPr>
        <w:tabs>
          <w:tab w:val="center" w:pos="5387"/>
          <w:tab w:val="decimal" w:pos="7513"/>
          <w:tab w:val="decimal" w:pos="8931"/>
        </w:tabs>
        <w:spacing w:after="0" w:line="240" w:lineRule="auto"/>
        <w:rPr>
          <w:rFonts w:ascii="Arial" w:hAnsi="Arial" w:cs="Arial"/>
          <w:sz w:val="20"/>
          <w:szCs w:val="20"/>
        </w:rPr>
      </w:pPr>
    </w:p>
    <w:p w14:paraId="6567332B" w14:textId="69CB7833" w:rsidR="0011235E" w:rsidRDefault="0011235E" w:rsidP="00413455">
      <w:pPr>
        <w:spacing w:after="0" w:line="240" w:lineRule="auto"/>
        <w:rPr>
          <w:rFonts w:ascii="Arial" w:hAnsi="Arial" w:cs="Arial"/>
          <w:sz w:val="20"/>
          <w:szCs w:val="20"/>
        </w:rPr>
      </w:pPr>
      <w:r w:rsidRPr="0074154F">
        <w:rPr>
          <w:rFonts w:ascii="Arial" w:hAnsi="Arial" w:cs="Arial"/>
          <w:sz w:val="20"/>
          <w:szCs w:val="20"/>
        </w:rPr>
        <w:t xml:space="preserve">        </w:t>
      </w:r>
    </w:p>
    <w:p w14:paraId="3DCF208F" w14:textId="4E20D43B" w:rsidR="001F0F2E" w:rsidRDefault="001F0F2E" w:rsidP="00413455">
      <w:pPr>
        <w:spacing w:after="0" w:line="240" w:lineRule="auto"/>
        <w:rPr>
          <w:rFonts w:ascii="Arial" w:hAnsi="Arial" w:cs="Arial"/>
          <w:sz w:val="20"/>
          <w:szCs w:val="20"/>
        </w:rPr>
      </w:pPr>
    </w:p>
    <w:p w14:paraId="5C7AC3CF" w14:textId="6CB6B703" w:rsidR="001F0F2E" w:rsidRDefault="001F0F2E" w:rsidP="00413455">
      <w:pPr>
        <w:spacing w:after="0" w:line="240" w:lineRule="auto"/>
        <w:rPr>
          <w:rFonts w:ascii="Arial" w:hAnsi="Arial" w:cs="Arial"/>
          <w:sz w:val="20"/>
          <w:szCs w:val="20"/>
        </w:rPr>
      </w:pPr>
    </w:p>
    <w:p w14:paraId="3897CDA0" w14:textId="32B83D61" w:rsidR="001F0F2E" w:rsidRDefault="001F0F2E" w:rsidP="00413455">
      <w:pPr>
        <w:spacing w:after="0" w:line="240" w:lineRule="auto"/>
        <w:rPr>
          <w:rFonts w:ascii="Arial" w:hAnsi="Arial" w:cs="Arial"/>
          <w:sz w:val="20"/>
          <w:szCs w:val="20"/>
        </w:rPr>
      </w:pPr>
    </w:p>
    <w:p w14:paraId="61178C4D" w14:textId="77777777" w:rsidR="001F0F2E" w:rsidRPr="0074154F" w:rsidRDefault="001F0F2E" w:rsidP="00413455">
      <w:pPr>
        <w:spacing w:after="0" w:line="240" w:lineRule="auto"/>
        <w:rPr>
          <w:rFonts w:ascii="Arial" w:hAnsi="Arial" w:cs="Arial"/>
          <w:sz w:val="20"/>
          <w:szCs w:val="20"/>
        </w:rPr>
      </w:pPr>
    </w:p>
    <w:tbl>
      <w:tblPr>
        <w:tblW w:w="9072" w:type="dxa"/>
        <w:jc w:val="center"/>
        <w:tblLook w:val="01E0" w:firstRow="1" w:lastRow="1" w:firstColumn="1" w:lastColumn="1" w:noHBand="0" w:noVBand="0"/>
      </w:tblPr>
      <w:tblGrid>
        <w:gridCol w:w="3821"/>
        <w:gridCol w:w="1643"/>
        <w:gridCol w:w="3608"/>
      </w:tblGrid>
      <w:tr w:rsidR="005B10F1" w:rsidRPr="0074154F" w14:paraId="5881A3E3" w14:textId="77777777" w:rsidTr="00DE7401">
        <w:trPr>
          <w:trHeight w:val="118"/>
          <w:jc w:val="center"/>
        </w:trPr>
        <w:tc>
          <w:tcPr>
            <w:tcW w:w="3821" w:type="dxa"/>
            <w:tcBorders>
              <w:top w:val="single" w:sz="4" w:space="0" w:color="auto"/>
            </w:tcBorders>
          </w:tcPr>
          <w:p w14:paraId="17BFED48" w14:textId="77777777" w:rsidR="005B10F1" w:rsidRPr="0074154F" w:rsidRDefault="005B10F1" w:rsidP="0064333C">
            <w:pPr>
              <w:pStyle w:val="Footer"/>
              <w:ind w:right="-9"/>
              <w:contextualSpacing/>
              <w:mirrorIndents/>
              <w:jc w:val="center"/>
              <w:rPr>
                <w:rFonts w:ascii="Arial" w:hAnsi="Arial" w:cs="Arial"/>
                <w:sz w:val="20"/>
                <w:szCs w:val="20"/>
                <w:lang w:val="en-US"/>
              </w:rPr>
            </w:pPr>
            <w:r w:rsidRPr="0074154F">
              <w:rPr>
                <w:rFonts w:ascii="Arial" w:hAnsi="Arial" w:cs="Arial"/>
                <w:sz w:val="20"/>
                <w:szCs w:val="20"/>
                <w:lang w:val="en-US"/>
              </w:rPr>
              <w:t>Ing. Tomislav Topic</w:t>
            </w:r>
          </w:p>
        </w:tc>
        <w:tc>
          <w:tcPr>
            <w:tcW w:w="1643" w:type="dxa"/>
          </w:tcPr>
          <w:p w14:paraId="38FEA1B9" w14:textId="77777777" w:rsidR="005B10F1" w:rsidRPr="0074154F" w:rsidRDefault="005B10F1" w:rsidP="0064333C">
            <w:pPr>
              <w:pStyle w:val="Footer"/>
              <w:ind w:right="-9"/>
              <w:contextualSpacing/>
              <w:mirrorIndents/>
              <w:jc w:val="center"/>
              <w:rPr>
                <w:rFonts w:ascii="Arial" w:hAnsi="Arial" w:cs="Arial"/>
                <w:sz w:val="20"/>
                <w:szCs w:val="20"/>
                <w:lang w:val="en-US"/>
              </w:rPr>
            </w:pPr>
          </w:p>
        </w:tc>
        <w:tc>
          <w:tcPr>
            <w:tcW w:w="3608" w:type="dxa"/>
            <w:tcBorders>
              <w:top w:val="single" w:sz="4" w:space="0" w:color="auto"/>
            </w:tcBorders>
          </w:tcPr>
          <w:p w14:paraId="1B8F0363" w14:textId="3507E4BF" w:rsidR="005B10F1" w:rsidRPr="0074154F" w:rsidRDefault="00DB59ED" w:rsidP="0064333C">
            <w:pPr>
              <w:pStyle w:val="Footer"/>
              <w:ind w:right="-9"/>
              <w:contextualSpacing/>
              <w:mirrorIndents/>
              <w:jc w:val="center"/>
              <w:rPr>
                <w:rFonts w:ascii="Arial" w:hAnsi="Arial" w:cs="Arial"/>
                <w:sz w:val="20"/>
                <w:szCs w:val="20"/>
              </w:rPr>
            </w:pPr>
            <w:r w:rsidRPr="0074154F">
              <w:rPr>
                <w:rFonts w:ascii="Arial" w:hAnsi="Arial" w:cs="Arial"/>
                <w:sz w:val="20"/>
                <w:szCs w:val="20"/>
              </w:rPr>
              <w:t xml:space="preserve">CPA. </w:t>
            </w:r>
            <w:r w:rsidR="002D5A87" w:rsidRPr="0074154F">
              <w:rPr>
                <w:rFonts w:ascii="Arial" w:hAnsi="Arial" w:cs="Arial"/>
                <w:sz w:val="20"/>
                <w:szCs w:val="20"/>
              </w:rPr>
              <w:t>Félix</w:t>
            </w:r>
            <w:r w:rsidR="005B10F1" w:rsidRPr="0074154F">
              <w:rPr>
                <w:rFonts w:ascii="Arial" w:hAnsi="Arial" w:cs="Arial"/>
                <w:sz w:val="20"/>
                <w:szCs w:val="20"/>
              </w:rPr>
              <w:t xml:space="preserve"> Valarezo</w:t>
            </w:r>
          </w:p>
        </w:tc>
      </w:tr>
      <w:tr w:rsidR="005B10F1" w:rsidRPr="0074154F" w14:paraId="193C8064" w14:textId="77777777" w:rsidTr="00DE7401">
        <w:trPr>
          <w:trHeight w:val="60"/>
          <w:jc w:val="center"/>
        </w:trPr>
        <w:tc>
          <w:tcPr>
            <w:tcW w:w="3821" w:type="dxa"/>
          </w:tcPr>
          <w:p w14:paraId="00791AC7" w14:textId="77777777" w:rsidR="005B10F1" w:rsidRPr="0074154F" w:rsidRDefault="005B10F1" w:rsidP="0064333C">
            <w:pPr>
              <w:pStyle w:val="Footer"/>
              <w:ind w:right="-9"/>
              <w:contextualSpacing/>
              <w:mirrorIndents/>
              <w:jc w:val="center"/>
              <w:rPr>
                <w:rFonts w:ascii="Arial" w:hAnsi="Arial" w:cs="Arial"/>
                <w:sz w:val="20"/>
                <w:szCs w:val="20"/>
              </w:rPr>
            </w:pPr>
            <w:r w:rsidRPr="0074154F">
              <w:rPr>
                <w:rFonts w:ascii="Arial" w:hAnsi="Arial" w:cs="Arial"/>
                <w:sz w:val="20"/>
                <w:szCs w:val="20"/>
              </w:rPr>
              <w:t>Gerente General</w:t>
            </w:r>
          </w:p>
        </w:tc>
        <w:tc>
          <w:tcPr>
            <w:tcW w:w="1643" w:type="dxa"/>
          </w:tcPr>
          <w:p w14:paraId="4104F991" w14:textId="77777777" w:rsidR="005B10F1" w:rsidRPr="0074154F" w:rsidRDefault="005B10F1" w:rsidP="0064333C">
            <w:pPr>
              <w:pStyle w:val="Footer"/>
              <w:ind w:right="-36"/>
              <w:contextualSpacing/>
              <w:mirrorIndents/>
              <w:jc w:val="center"/>
              <w:rPr>
                <w:rFonts w:ascii="Arial" w:hAnsi="Arial" w:cs="Arial"/>
                <w:sz w:val="20"/>
                <w:szCs w:val="20"/>
              </w:rPr>
            </w:pPr>
          </w:p>
        </w:tc>
        <w:tc>
          <w:tcPr>
            <w:tcW w:w="3608" w:type="dxa"/>
          </w:tcPr>
          <w:p w14:paraId="76E70F22" w14:textId="77777777" w:rsidR="005B10F1" w:rsidRPr="0074154F" w:rsidRDefault="005B10F1" w:rsidP="0064333C">
            <w:pPr>
              <w:pStyle w:val="Footer"/>
              <w:ind w:right="-36"/>
              <w:contextualSpacing/>
              <w:mirrorIndents/>
              <w:jc w:val="center"/>
              <w:rPr>
                <w:rFonts w:ascii="Arial" w:hAnsi="Arial" w:cs="Arial"/>
                <w:sz w:val="20"/>
                <w:szCs w:val="20"/>
              </w:rPr>
            </w:pPr>
            <w:r w:rsidRPr="0074154F">
              <w:rPr>
                <w:rFonts w:ascii="Arial" w:hAnsi="Arial" w:cs="Arial"/>
                <w:sz w:val="20"/>
                <w:szCs w:val="20"/>
              </w:rPr>
              <w:t>Contador General</w:t>
            </w:r>
          </w:p>
        </w:tc>
      </w:tr>
    </w:tbl>
    <w:p w14:paraId="3014082C" w14:textId="77777777" w:rsidR="0011235E" w:rsidRPr="0074154F" w:rsidRDefault="0011235E" w:rsidP="00413455">
      <w:pPr>
        <w:tabs>
          <w:tab w:val="center" w:pos="2552"/>
          <w:tab w:val="center" w:pos="6804"/>
        </w:tabs>
        <w:spacing w:after="0" w:line="240" w:lineRule="auto"/>
        <w:ind w:right="-1"/>
        <w:jc w:val="center"/>
        <w:rPr>
          <w:rFonts w:ascii="Arial" w:hAnsi="Arial" w:cs="Arial"/>
          <w:sz w:val="20"/>
          <w:szCs w:val="20"/>
        </w:rPr>
      </w:pPr>
    </w:p>
    <w:p w14:paraId="62E3ECF3" w14:textId="77777777" w:rsidR="005D1D61" w:rsidRPr="0074154F" w:rsidRDefault="005D1D61" w:rsidP="005D1D61">
      <w:pPr>
        <w:pBdr>
          <w:bottom w:val="single" w:sz="4" w:space="1" w:color="auto"/>
        </w:pBdr>
        <w:spacing w:after="0" w:line="240" w:lineRule="auto"/>
        <w:contextualSpacing/>
        <w:mirrorIndents/>
        <w:rPr>
          <w:rFonts w:ascii="Arial" w:hAnsi="Arial" w:cs="Arial"/>
          <w:sz w:val="20"/>
          <w:szCs w:val="20"/>
        </w:rPr>
      </w:pPr>
      <w:r w:rsidRPr="0074154F">
        <w:rPr>
          <w:rFonts w:ascii="Arial" w:hAnsi="Arial" w:cs="Arial"/>
          <w:sz w:val="20"/>
          <w:szCs w:val="20"/>
        </w:rPr>
        <w:t xml:space="preserve">Ver notas a los estados financieros </w:t>
      </w:r>
      <w:r>
        <w:rPr>
          <w:rFonts w:ascii="Arial" w:hAnsi="Arial" w:cs="Arial"/>
          <w:sz w:val="20"/>
          <w:szCs w:val="20"/>
        </w:rPr>
        <w:t>y compañía relacionada</w:t>
      </w:r>
    </w:p>
    <w:p w14:paraId="269E56F9" w14:textId="77777777" w:rsidR="00B83C8E" w:rsidRPr="005D1D61" w:rsidRDefault="00B83C8E" w:rsidP="00413455">
      <w:pPr>
        <w:spacing w:after="0" w:line="240" w:lineRule="auto"/>
        <w:jc w:val="center"/>
        <w:rPr>
          <w:rFonts w:ascii="Arial" w:hAnsi="Arial" w:cs="Arial"/>
          <w:b/>
          <w:sz w:val="20"/>
          <w:szCs w:val="20"/>
          <w:u w:val="single"/>
        </w:rPr>
      </w:pPr>
    </w:p>
    <w:p w14:paraId="4D4680D8" w14:textId="79B00D3C" w:rsidR="00B83C8E" w:rsidRDefault="00B83C8E" w:rsidP="00413455">
      <w:pPr>
        <w:spacing w:after="0" w:line="240" w:lineRule="auto"/>
        <w:jc w:val="center"/>
        <w:rPr>
          <w:rFonts w:ascii="Arial" w:hAnsi="Arial" w:cs="Arial"/>
          <w:b/>
          <w:sz w:val="20"/>
          <w:szCs w:val="20"/>
          <w:u w:val="single"/>
          <w:lang w:val="es-MX"/>
        </w:rPr>
      </w:pPr>
    </w:p>
    <w:p w14:paraId="2053CFD9" w14:textId="5076C5D7" w:rsidR="00444E6B" w:rsidRPr="0074154F" w:rsidRDefault="00204D39" w:rsidP="00413455">
      <w:pPr>
        <w:spacing w:after="0" w:line="240" w:lineRule="auto"/>
        <w:jc w:val="center"/>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893042" w:rsidRPr="0074154F">
        <w:rPr>
          <w:rFonts w:ascii="Arial" w:hAnsi="Arial" w:cs="Arial"/>
          <w:b/>
          <w:sz w:val="20"/>
          <w:szCs w:val="20"/>
          <w:u w:val="single"/>
          <w:lang w:val="es-MX"/>
        </w:rPr>
        <w:t xml:space="preserve"> Y COMPAÑÍA</w:t>
      </w:r>
      <w:r w:rsidR="00B83C8E">
        <w:rPr>
          <w:rFonts w:ascii="Arial" w:hAnsi="Arial" w:cs="Arial"/>
          <w:b/>
          <w:sz w:val="20"/>
          <w:szCs w:val="20"/>
          <w:u w:val="single"/>
          <w:lang w:val="es-MX"/>
        </w:rPr>
        <w:t xml:space="preserve"> RELACIONADA</w:t>
      </w:r>
    </w:p>
    <w:p w14:paraId="4A59836F" w14:textId="77777777" w:rsidR="00F67FFE" w:rsidRPr="0074154F" w:rsidRDefault="00F67FFE" w:rsidP="00413455">
      <w:pPr>
        <w:spacing w:after="0" w:line="240" w:lineRule="auto"/>
        <w:jc w:val="center"/>
        <w:rPr>
          <w:rFonts w:ascii="Arial" w:hAnsi="Arial" w:cs="Arial"/>
          <w:sz w:val="20"/>
          <w:szCs w:val="20"/>
          <w:lang w:val="es-MX"/>
        </w:rPr>
      </w:pPr>
    </w:p>
    <w:p w14:paraId="67141DBA" w14:textId="3B9CC2CA" w:rsidR="00575521" w:rsidRPr="0074154F" w:rsidRDefault="00575521" w:rsidP="00413455">
      <w:pPr>
        <w:keepNext/>
        <w:spacing w:after="0" w:line="240" w:lineRule="auto"/>
        <w:contextualSpacing/>
        <w:mirrorIndents/>
        <w:jc w:val="center"/>
        <w:outlineLvl w:val="2"/>
        <w:rPr>
          <w:rFonts w:ascii="Arial" w:hAnsi="Arial" w:cs="Arial"/>
          <w:sz w:val="20"/>
          <w:szCs w:val="20"/>
        </w:rPr>
      </w:pPr>
      <w:r w:rsidRPr="0074154F">
        <w:rPr>
          <w:rFonts w:ascii="Arial" w:hAnsi="Arial" w:cs="Arial"/>
          <w:sz w:val="20"/>
          <w:szCs w:val="20"/>
        </w:rPr>
        <w:t>Estado</w:t>
      </w:r>
      <w:r w:rsidR="00A455B3" w:rsidRPr="0074154F">
        <w:rPr>
          <w:rFonts w:ascii="Arial" w:hAnsi="Arial" w:cs="Arial"/>
          <w:sz w:val="20"/>
          <w:szCs w:val="20"/>
        </w:rPr>
        <w:t xml:space="preserve"> </w:t>
      </w:r>
      <w:r w:rsidR="00DE7401" w:rsidRPr="0074154F">
        <w:rPr>
          <w:rFonts w:ascii="Arial" w:hAnsi="Arial" w:cs="Arial"/>
          <w:sz w:val="20"/>
          <w:szCs w:val="20"/>
        </w:rPr>
        <w:t>Consolidado</w:t>
      </w:r>
      <w:r w:rsidR="00C34297" w:rsidRPr="0074154F">
        <w:rPr>
          <w:rFonts w:ascii="Arial" w:hAnsi="Arial" w:cs="Arial"/>
          <w:sz w:val="20"/>
          <w:szCs w:val="20"/>
        </w:rPr>
        <w:t xml:space="preserve"> </w:t>
      </w:r>
      <w:r w:rsidRPr="0074154F">
        <w:rPr>
          <w:rFonts w:ascii="Arial" w:hAnsi="Arial" w:cs="Arial"/>
          <w:sz w:val="20"/>
          <w:szCs w:val="20"/>
        </w:rPr>
        <w:t xml:space="preserve">de Resultado Integral </w:t>
      </w:r>
      <w:r w:rsidRPr="0074154F">
        <w:rPr>
          <w:rFonts w:ascii="Arial" w:hAnsi="Arial" w:cs="Arial"/>
          <w:sz w:val="20"/>
          <w:szCs w:val="20"/>
        </w:rPr>
        <w:br/>
        <w:t xml:space="preserve">Por el año terminado el 31 de </w:t>
      </w:r>
      <w:r w:rsidR="00822ED2" w:rsidRPr="0074154F">
        <w:rPr>
          <w:rFonts w:ascii="Arial" w:hAnsi="Arial" w:cs="Arial"/>
          <w:sz w:val="20"/>
          <w:szCs w:val="20"/>
        </w:rPr>
        <w:t>diciembre del 20</w:t>
      </w:r>
      <w:r w:rsidR="00E91225" w:rsidRPr="0074154F">
        <w:rPr>
          <w:rFonts w:ascii="Arial" w:hAnsi="Arial" w:cs="Arial"/>
          <w:sz w:val="20"/>
          <w:szCs w:val="20"/>
        </w:rPr>
        <w:t>20</w:t>
      </w:r>
    </w:p>
    <w:p w14:paraId="09C551B3" w14:textId="77777777" w:rsidR="00444E6B" w:rsidRPr="0074154F" w:rsidRDefault="007E6F57"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ind w:right="-1"/>
        <w:jc w:val="center"/>
        <w:rPr>
          <w:rFonts w:ascii="Arial" w:hAnsi="Arial" w:cs="Arial"/>
          <w:lang w:val="es-EC" w:eastAsia="es-ES"/>
        </w:rPr>
      </w:pPr>
      <w:r w:rsidRPr="0074154F">
        <w:rPr>
          <w:rFonts w:ascii="Arial" w:hAnsi="Arial" w:cs="Arial"/>
        </w:rPr>
        <w:t xml:space="preserve"> </w:t>
      </w:r>
      <w:r w:rsidR="00444E6B" w:rsidRPr="0074154F">
        <w:rPr>
          <w:rFonts w:ascii="Arial" w:hAnsi="Arial" w:cs="Arial"/>
          <w:lang w:val="es-EC" w:eastAsia="es-ES"/>
        </w:rPr>
        <w:t>(En dólares de los Estados Unidos de</w:t>
      </w:r>
      <w:r w:rsidR="000A6E4A" w:rsidRPr="0074154F">
        <w:rPr>
          <w:rFonts w:ascii="Arial" w:hAnsi="Arial" w:cs="Arial"/>
          <w:lang w:val="es-EC" w:eastAsia="es-ES"/>
        </w:rPr>
        <w:t>l</w:t>
      </w:r>
      <w:r w:rsidR="00444E6B" w:rsidRPr="0074154F">
        <w:rPr>
          <w:rFonts w:ascii="Arial" w:hAnsi="Arial" w:cs="Arial"/>
          <w:lang w:val="es-EC" w:eastAsia="es-ES"/>
        </w:rPr>
        <w:t xml:space="preserve"> América) </w:t>
      </w:r>
    </w:p>
    <w:p w14:paraId="71DBED6E" w14:textId="77777777" w:rsidR="00444E6B" w:rsidRPr="0074154F" w:rsidRDefault="00444E6B" w:rsidP="00413455">
      <w:pPr>
        <w:tabs>
          <w:tab w:val="center" w:pos="2552"/>
          <w:tab w:val="center" w:pos="6804"/>
        </w:tabs>
        <w:spacing w:after="0" w:line="240" w:lineRule="auto"/>
        <w:ind w:right="-1"/>
        <w:jc w:val="center"/>
        <w:rPr>
          <w:rFonts w:ascii="Arial" w:hAnsi="Arial" w:cs="Arial"/>
          <w:sz w:val="20"/>
          <w:szCs w:val="20"/>
        </w:rPr>
      </w:pPr>
    </w:p>
    <w:tbl>
      <w:tblPr>
        <w:tblW w:w="8789" w:type="dxa"/>
        <w:jc w:val="right"/>
        <w:tblBorders>
          <w:bottom w:val="single" w:sz="4" w:space="0" w:color="auto"/>
        </w:tblBorders>
        <w:tblCellMar>
          <w:left w:w="70" w:type="dxa"/>
          <w:right w:w="70" w:type="dxa"/>
        </w:tblCellMar>
        <w:tblLook w:val="04A0" w:firstRow="1" w:lastRow="0" w:firstColumn="1" w:lastColumn="0" w:noHBand="0" w:noVBand="1"/>
      </w:tblPr>
      <w:tblGrid>
        <w:gridCol w:w="3846"/>
        <w:gridCol w:w="815"/>
        <w:gridCol w:w="145"/>
        <w:gridCol w:w="2050"/>
        <w:gridCol w:w="164"/>
        <w:gridCol w:w="2050"/>
      </w:tblGrid>
      <w:tr w:rsidR="00BE445A" w:rsidRPr="0074154F" w14:paraId="2B5CCB16" w14:textId="77777777" w:rsidTr="00710FAD">
        <w:trPr>
          <w:trHeight w:val="283"/>
          <w:jc w:val="right"/>
        </w:trPr>
        <w:tc>
          <w:tcPr>
            <w:tcW w:w="4673" w:type="dxa"/>
            <w:shd w:val="clear" w:color="auto" w:fill="auto"/>
            <w:noWrap/>
            <w:vAlign w:val="bottom"/>
            <w:hideMark/>
          </w:tcPr>
          <w:p w14:paraId="1D309803" w14:textId="77777777" w:rsidR="00BE445A" w:rsidRPr="0074154F" w:rsidRDefault="00BE445A" w:rsidP="00413455">
            <w:pPr>
              <w:spacing w:after="0" w:line="240" w:lineRule="auto"/>
              <w:ind w:left="-75"/>
              <w:rPr>
                <w:rFonts w:ascii="Arial" w:eastAsia="Times New Roman" w:hAnsi="Arial" w:cs="Arial"/>
                <w:sz w:val="20"/>
                <w:szCs w:val="20"/>
                <w:lang w:val="es-MX" w:eastAsia="es-MX"/>
              </w:rPr>
            </w:pPr>
          </w:p>
        </w:tc>
        <w:tc>
          <w:tcPr>
            <w:tcW w:w="966" w:type="dxa"/>
            <w:tcBorders>
              <w:bottom w:val="single" w:sz="8" w:space="0" w:color="auto"/>
            </w:tcBorders>
            <w:shd w:val="clear" w:color="auto" w:fill="auto"/>
            <w:noWrap/>
            <w:vAlign w:val="bottom"/>
            <w:hideMark/>
          </w:tcPr>
          <w:p w14:paraId="19E64492" w14:textId="77777777" w:rsidR="00BE445A" w:rsidRPr="0074154F" w:rsidRDefault="00BE445A" w:rsidP="00413455">
            <w:pPr>
              <w:spacing w:after="0" w:line="240" w:lineRule="auto"/>
              <w:jc w:val="center"/>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NOTAS</w:t>
            </w:r>
          </w:p>
        </w:tc>
        <w:tc>
          <w:tcPr>
            <w:tcW w:w="146" w:type="dxa"/>
            <w:shd w:val="clear" w:color="auto" w:fill="auto"/>
            <w:vAlign w:val="bottom"/>
            <w:hideMark/>
          </w:tcPr>
          <w:p w14:paraId="31E14704" w14:textId="77777777" w:rsidR="00BE445A" w:rsidRPr="0074154F" w:rsidRDefault="00BE445A" w:rsidP="00413455">
            <w:pPr>
              <w:spacing w:after="0" w:line="240" w:lineRule="auto"/>
              <w:rPr>
                <w:rFonts w:ascii="Arial" w:eastAsia="Times New Roman" w:hAnsi="Arial" w:cs="Arial"/>
                <w:b/>
                <w:bCs/>
                <w:color w:val="000000"/>
                <w:sz w:val="20"/>
                <w:szCs w:val="20"/>
                <w:lang w:val="es-MX" w:eastAsia="es-MX"/>
              </w:rPr>
            </w:pPr>
          </w:p>
        </w:tc>
        <w:tc>
          <w:tcPr>
            <w:tcW w:w="1697" w:type="dxa"/>
            <w:tcBorders>
              <w:bottom w:val="single" w:sz="8" w:space="0" w:color="auto"/>
            </w:tcBorders>
            <w:shd w:val="clear" w:color="auto" w:fill="auto"/>
            <w:noWrap/>
            <w:vAlign w:val="bottom"/>
            <w:hideMark/>
          </w:tcPr>
          <w:p w14:paraId="2A6E4437" w14:textId="1E3B8F60" w:rsidR="00BE445A" w:rsidRPr="0074154F" w:rsidRDefault="00BE445A" w:rsidP="00413455">
            <w:pPr>
              <w:spacing w:after="0" w:line="240" w:lineRule="auto"/>
              <w:ind w:right="98"/>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20</w:t>
            </w:r>
            <w:r w:rsidR="0059033F" w:rsidRPr="0074154F">
              <w:rPr>
                <w:rFonts w:ascii="Arial" w:eastAsia="Times New Roman" w:hAnsi="Arial" w:cs="Arial"/>
                <w:b/>
                <w:bCs/>
                <w:color w:val="000000"/>
                <w:sz w:val="20"/>
                <w:szCs w:val="20"/>
                <w:lang w:eastAsia="es-MX"/>
              </w:rPr>
              <w:t>20</w:t>
            </w:r>
          </w:p>
        </w:tc>
        <w:tc>
          <w:tcPr>
            <w:tcW w:w="169" w:type="dxa"/>
            <w:shd w:val="clear" w:color="auto" w:fill="auto"/>
            <w:noWrap/>
            <w:vAlign w:val="bottom"/>
            <w:hideMark/>
          </w:tcPr>
          <w:p w14:paraId="633BAAB3" w14:textId="77777777" w:rsidR="00BE445A" w:rsidRPr="0074154F" w:rsidRDefault="00BE445A" w:rsidP="00413455">
            <w:pPr>
              <w:spacing w:after="0" w:line="240" w:lineRule="auto"/>
              <w:ind w:right="98"/>
              <w:jc w:val="right"/>
              <w:rPr>
                <w:rFonts w:ascii="Arial" w:eastAsia="Times New Roman" w:hAnsi="Arial" w:cs="Arial"/>
                <w:b/>
                <w:bCs/>
                <w:color w:val="000000"/>
                <w:sz w:val="20"/>
                <w:szCs w:val="20"/>
                <w:lang w:val="es-MX" w:eastAsia="es-MX"/>
              </w:rPr>
            </w:pPr>
          </w:p>
        </w:tc>
        <w:tc>
          <w:tcPr>
            <w:tcW w:w="1138" w:type="dxa"/>
            <w:tcBorders>
              <w:bottom w:val="single" w:sz="8" w:space="0" w:color="auto"/>
            </w:tcBorders>
            <w:shd w:val="clear" w:color="auto" w:fill="auto"/>
            <w:noWrap/>
            <w:vAlign w:val="bottom"/>
            <w:hideMark/>
          </w:tcPr>
          <w:p w14:paraId="03108221" w14:textId="4F5B68E6" w:rsidR="00BE445A" w:rsidRPr="0074154F" w:rsidRDefault="00BE445A" w:rsidP="00413455">
            <w:pPr>
              <w:spacing w:after="0" w:line="240" w:lineRule="auto"/>
              <w:ind w:right="98"/>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MX"/>
              </w:rPr>
              <w:t>201</w:t>
            </w:r>
            <w:r w:rsidR="0059033F" w:rsidRPr="0074154F">
              <w:rPr>
                <w:rFonts w:ascii="Arial" w:eastAsia="Times New Roman" w:hAnsi="Arial" w:cs="Arial"/>
                <w:b/>
                <w:bCs/>
                <w:color w:val="000000"/>
                <w:sz w:val="20"/>
                <w:szCs w:val="20"/>
                <w:lang w:eastAsia="es-MX"/>
              </w:rPr>
              <w:t>9</w:t>
            </w:r>
          </w:p>
        </w:tc>
      </w:tr>
      <w:tr w:rsidR="00BE445A" w:rsidRPr="0074154F" w14:paraId="1EFDF942" w14:textId="77777777" w:rsidTr="00710FAD">
        <w:trPr>
          <w:trHeight w:val="283"/>
          <w:jc w:val="right"/>
        </w:trPr>
        <w:tc>
          <w:tcPr>
            <w:tcW w:w="4673" w:type="dxa"/>
            <w:shd w:val="clear" w:color="auto" w:fill="auto"/>
            <w:noWrap/>
            <w:vAlign w:val="bottom"/>
            <w:hideMark/>
          </w:tcPr>
          <w:p w14:paraId="21E7CD15" w14:textId="77777777" w:rsidR="00BE445A" w:rsidRPr="0074154F" w:rsidRDefault="00BE445A" w:rsidP="00413455">
            <w:pPr>
              <w:spacing w:after="0" w:line="240" w:lineRule="auto"/>
              <w:ind w:left="-75"/>
              <w:rPr>
                <w:rFonts w:ascii="Arial" w:eastAsia="Times New Roman" w:hAnsi="Arial" w:cs="Arial"/>
                <w:b/>
                <w:bCs/>
                <w:color w:val="000000"/>
                <w:sz w:val="20"/>
                <w:szCs w:val="20"/>
                <w:u w:val="single"/>
                <w:lang w:val="es-MX" w:eastAsia="es-MX"/>
              </w:rPr>
            </w:pPr>
          </w:p>
        </w:tc>
        <w:tc>
          <w:tcPr>
            <w:tcW w:w="966" w:type="dxa"/>
            <w:tcBorders>
              <w:top w:val="single" w:sz="8" w:space="0" w:color="auto"/>
            </w:tcBorders>
            <w:shd w:val="clear" w:color="auto" w:fill="auto"/>
            <w:noWrap/>
            <w:vAlign w:val="bottom"/>
            <w:hideMark/>
          </w:tcPr>
          <w:p w14:paraId="0304D213" w14:textId="77777777" w:rsidR="00BE445A" w:rsidRPr="0074154F" w:rsidRDefault="00BE445A" w:rsidP="00413455">
            <w:pPr>
              <w:spacing w:after="0" w:line="240" w:lineRule="auto"/>
              <w:jc w:val="center"/>
              <w:rPr>
                <w:rFonts w:ascii="Arial" w:eastAsia="Times New Roman" w:hAnsi="Arial" w:cs="Arial"/>
                <w:sz w:val="20"/>
                <w:szCs w:val="20"/>
                <w:lang w:val="es-MX" w:eastAsia="es-MX"/>
              </w:rPr>
            </w:pPr>
          </w:p>
        </w:tc>
        <w:tc>
          <w:tcPr>
            <w:tcW w:w="146" w:type="dxa"/>
            <w:shd w:val="clear" w:color="auto" w:fill="auto"/>
            <w:vAlign w:val="bottom"/>
            <w:hideMark/>
          </w:tcPr>
          <w:p w14:paraId="6AFBC7EA"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697" w:type="dxa"/>
            <w:tcBorders>
              <w:top w:val="single" w:sz="8" w:space="0" w:color="auto"/>
            </w:tcBorders>
            <w:shd w:val="clear" w:color="auto" w:fill="auto"/>
            <w:noWrap/>
            <w:vAlign w:val="bottom"/>
            <w:hideMark/>
          </w:tcPr>
          <w:p w14:paraId="583151DF" w14:textId="77777777" w:rsidR="00BE445A" w:rsidRPr="0074154F" w:rsidRDefault="00BE445A" w:rsidP="00413455">
            <w:pPr>
              <w:tabs>
                <w:tab w:val="decimal" w:pos="1276"/>
              </w:tabs>
              <w:spacing w:after="0" w:line="240" w:lineRule="auto"/>
              <w:rPr>
                <w:rFonts w:ascii="Arial" w:eastAsia="Times New Roman" w:hAnsi="Arial" w:cs="Arial"/>
                <w:sz w:val="20"/>
                <w:szCs w:val="20"/>
                <w:lang w:val="es-MX" w:eastAsia="es-MX"/>
              </w:rPr>
            </w:pPr>
          </w:p>
        </w:tc>
        <w:tc>
          <w:tcPr>
            <w:tcW w:w="169" w:type="dxa"/>
            <w:shd w:val="clear" w:color="auto" w:fill="auto"/>
            <w:noWrap/>
            <w:vAlign w:val="bottom"/>
            <w:hideMark/>
          </w:tcPr>
          <w:p w14:paraId="771EBE23" w14:textId="77777777" w:rsidR="00BE445A" w:rsidRPr="0074154F" w:rsidRDefault="00BE445A" w:rsidP="00413455">
            <w:pPr>
              <w:spacing w:after="0" w:line="240" w:lineRule="auto"/>
              <w:rPr>
                <w:rFonts w:ascii="Arial" w:eastAsia="Times New Roman" w:hAnsi="Arial" w:cs="Arial"/>
                <w:sz w:val="20"/>
                <w:szCs w:val="20"/>
                <w:lang w:val="es-MX" w:eastAsia="es-MX"/>
              </w:rPr>
            </w:pPr>
          </w:p>
        </w:tc>
        <w:tc>
          <w:tcPr>
            <w:tcW w:w="1138" w:type="dxa"/>
            <w:tcBorders>
              <w:top w:val="single" w:sz="8" w:space="0" w:color="auto"/>
            </w:tcBorders>
            <w:shd w:val="clear" w:color="auto" w:fill="auto"/>
            <w:noWrap/>
            <w:vAlign w:val="bottom"/>
            <w:hideMark/>
          </w:tcPr>
          <w:p w14:paraId="717134A8" w14:textId="77777777" w:rsidR="00BE445A" w:rsidRPr="0074154F" w:rsidRDefault="00BE445A" w:rsidP="00413455">
            <w:pPr>
              <w:spacing w:after="0" w:line="240" w:lineRule="auto"/>
              <w:rPr>
                <w:rFonts w:ascii="Arial" w:eastAsia="Times New Roman" w:hAnsi="Arial" w:cs="Arial"/>
                <w:sz w:val="20"/>
                <w:szCs w:val="20"/>
                <w:lang w:val="es-MX" w:eastAsia="es-MX"/>
              </w:rPr>
            </w:pPr>
          </w:p>
        </w:tc>
      </w:tr>
      <w:tr w:rsidR="0059033F" w:rsidRPr="0074154F" w14:paraId="69CB8025" w14:textId="77777777" w:rsidTr="00710FAD">
        <w:trPr>
          <w:trHeight w:val="283"/>
          <w:jc w:val="right"/>
        </w:trPr>
        <w:tc>
          <w:tcPr>
            <w:tcW w:w="4673" w:type="dxa"/>
            <w:shd w:val="clear" w:color="auto" w:fill="auto"/>
            <w:noWrap/>
            <w:vAlign w:val="bottom"/>
          </w:tcPr>
          <w:p w14:paraId="105025EE" w14:textId="77777777" w:rsidR="0059033F" w:rsidRPr="0074154F" w:rsidRDefault="0059033F" w:rsidP="0059033F">
            <w:pPr>
              <w:spacing w:after="0" w:line="240" w:lineRule="auto"/>
              <w:ind w:left="-75"/>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MX"/>
              </w:rPr>
              <w:t>INGRESOS OPERACIONALES, NETO</w:t>
            </w:r>
          </w:p>
        </w:tc>
        <w:tc>
          <w:tcPr>
            <w:tcW w:w="966" w:type="dxa"/>
            <w:shd w:val="clear" w:color="auto" w:fill="auto"/>
            <w:noWrap/>
            <w:vAlign w:val="bottom"/>
          </w:tcPr>
          <w:p w14:paraId="41F09AC7" w14:textId="5B363AD7" w:rsidR="0059033F" w:rsidRPr="0074154F" w:rsidRDefault="000A2678" w:rsidP="0059033F">
            <w:pPr>
              <w:spacing w:after="0" w:line="240" w:lineRule="auto"/>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w:t>
            </w:r>
            <w:r w:rsidR="0075082C" w:rsidRPr="0074154F">
              <w:rPr>
                <w:rFonts w:ascii="Arial" w:eastAsia="Times New Roman" w:hAnsi="Arial" w:cs="Arial"/>
                <w:color w:val="000000"/>
                <w:sz w:val="20"/>
                <w:szCs w:val="20"/>
                <w:lang w:val="es-MX" w:eastAsia="es-MX"/>
              </w:rPr>
              <w:t>6</w:t>
            </w:r>
          </w:p>
        </w:tc>
        <w:tc>
          <w:tcPr>
            <w:tcW w:w="146" w:type="dxa"/>
            <w:shd w:val="clear" w:color="auto" w:fill="auto"/>
            <w:vAlign w:val="bottom"/>
          </w:tcPr>
          <w:p w14:paraId="466E9EE2"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697" w:type="dxa"/>
            <w:shd w:val="clear" w:color="auto" w:fill="auto"/>
            <w:noWrap/>
            <w:vAlign w:val="bottom"/>
          </w:tcPr>
          <w:p w14:paraId="1CD20EBC" w14:textId="5A7BB138" w:rsidR="0059033F" w:rsidRPr="0074154F" w:rsidRDefault="00257D6E"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268,320,803</w:t>
            </w:r>
          </w:p>
        </w:tc>
        <w:tc>
          <w:tcPr>
            <w:tcW w:w="169" w:type="dxa"/>
            <w:shd w:val="clear" w:color="auto" w:fill="auto"/>
            <w:noWrap/>
            <w:vAlign w:val="bottom"/>
          </w:tcPr>
          <w:p w14:paraId="418BF27A"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138" w:type="dxa"/>
            <w:shd w:val="clear" w:color="auto" w:fill="auto"/>
            <w:noWrap/>
            <w:vAlign w:val="bottom"/>
          </w:tcPr>
          <w:p w14:paraId="30E2044B" w14:textId="25CAB13B" w:rsidR="0059033F" w:rsidRPr="0074154F" w:rsidRDefault="00346856"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232,462,123</w:t>
            </w:r>
          </w:p>
        </w:tc>
      </w:tr>
      <w:tr w:rsidR="0059033F" w:rsidRPr="0074154F" w14:paraId="04213191" w14:textId="77777777" w:rsidTr="00710FAD">
        <w:trPr>
          <w:trHeight w:val="283"/>
          <w:jc w:val="right"/>
        </w:trPr>
        <w:tc>
          <w:tcPr>
            <w:tcW w:w="4673" w:type="dxa"/>
            <w:shd w:val="clear" w:color="auto" w:fill="auto"/>
            <w:noWrap/>
            <w:vAlign w:val="bottom"/>
          </w:tcPr>
          <w:p w14:paraId="47196225" w14:textId="77777777" w:rsidR="0059033F" w:rsidRPr="0074154F" w:rsidRDefault="0059033F" w:rsidP="0059033F">
            <w:pPr>
              <w:spacing w:after="0" w:line="240" w:lineRule="auto"/>
              <w:ind w:left="-75"/>
              <w:rPr>
                <w:rFonts w:ascii="Arial" w:eastAsia="Times New Roman" w:hAnsi="Arial" w:cs="Arial"/>
                <w:color w:val="000000"/>
                <w:sz w:val="20"/>
                <w:szCs w:val="20"/>
                <w:lang w:eastAsia="es-MX"/>
              </w:rPr>
            </w:pPr>
          </w:p>
        </w:tc>
        <w:tc>
          <w:tcPr>
            <w:tcW w:w="966" w:type="dxa"/>
            <w:shd w:val="clear" w:color="auto" w:fill="auto"/>
            <w:noWrap/>
            <w:vAlign w:val="bottom"/>
          </w:tcPr>
          <w:p w14:paraId="59B322D6" w14:textId="77777777" w:rsidR="0059033F" w:rsidRPr="0074154F" w:rsidRDefault="0059033F" w:rsidP="0059033F">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484C51CB"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697" w:type="dxa"/>
            <w:tcBorders>
              <w:bottom w:val="nil"/>
            </w:tcBorders>
            <w:shd w:val="clear" w:color="auto" w:fill="auto"/>
            <w:noWrap/>
            <w:vAlign w:val="bottom"/>
          </w:tcPr>
          <w:p w14:paraId="32EAC1B9" w14:textId="77777777" w:rsidR="0059033F" w:rsidRPr="0074154F" w:rsidRDefault="0059033F" w:rsidP="00650798">
            <w:pPr>
              <w:tabs>
                <w:tab w:val="decimal" w:pos="1490"/>
              </w:tabs>
              <w:spacing w:after="0" w:line="240" w:lineRule="auto"/>
              <w:rPr>
                <w:rFonts w:ascii="Arial" w:eastAsia="Times New Roman" w:hAnsi="Arial" w:cs="Arial"/>
                <w:color w:val="000000"/>
                <w:sz w:val="20"/>
                <w:szCs w:val="20"/>
                <w:lang w:val="es-MX" w:eastAsia="es-MX"/>
              </w:rPr>
            </w:pPr>
          </w:p>
        </w:tc>
        <w:tc>
          <w:tcPr>
            <w:tcW w:w="169" w:type="dxa"/>
            <w:tcBorders>
              <w:bottom w:val="nil"/>
            </w:tcBorders>
            <w:shd w:val="clear" w:color="auto" w:fill="auto"/>
            <w:noWrap/>
            <w:vAlign w:val="bottom"/>
          </w:tcPr>
          <w:p w14:paraId="73169C0A"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138" w:type="dxa"/>
            <w:tcBorders>
              <w:bottom w:val="nil"/>
            </w:tcBorders>
            <w:shd w:val="clear" w:color="auto" w:fill="auto"/>
            <w:noWrap/>
            <w:vAlign w:val="bottom"/>
          </w:tcPr>
          <w:p w14:paraId="456D1090" w14:textId="77777777" w:rsidR="0059033F" w:rsidRPr="0074154F" w:rsidRDefault="0059033F" w:rsidP="00650798">
            <w:pPr>
              <w:tabs>
                <w:tab w:val="decimal" w:pos="1490"/>
              </w:tabs>
              <w:spacing w:after="0" w:line="240" w:lineRule="auto"/>
              <w:rPr>
                <w:rFonts w:ascii="Arial" w:eastAsia="Times New Roman" w:hAnsi="Arial" w:cs="Arial"/>
                <w:color w:val="000000"/>
                <w:sz w:val="20"/>
                <w:szCs w:val="20"/>
                <w:lang w:val="es-MX" w:eastAsia="es-MX"/>
              </w:rPr>
            </w:pPr>
          </w:p>
        </w:tc>
      </w:tr>
      <w:tr w:rsidR="0059033F" w:rsidRPr="0074154F" w14:paraId="61546D83" w14:textId="77777777" w:rsidTr="00710FAD">
        <w:trPr>
          <w:trHeight w:val="283"/>
          <w:jc w:val="right"/>
        </w:trPr>
        <w:tc>
          <w:tcPr>
            <w:tcW w:w="4673" w:type="dxa"/>
            <w:shd w:val="clear" w:color="auto" w:fill="auto"/>
            <w:noWrap/>
            <w:vAlign w:val="bottom"/>
          </w:tcPr>
          <w:p w14:paraId="3EFFEF8C" w14:textId="77777777" w:rsidR="0059033F" w:rsidRPr="0074154F" w:rsidRDefault="0059033F" w:rsidP="0059033F">
            <w:pPr>
              <w:spacing w:after="0" w:line="240" w:lineRule="auto"/>
              <w:ind w:left="-75"/>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COSTOS DE VENTAS</w:t>
            </w:r>
          </w:p>
        </w:tc>
        <w:tc>
          <w:tcPr>
            <w:tcW w:w="966" w:type="dxa"/>
            <w:shd w:val="clear" w:color="auto" w:fill="auto"/>
            <w:noWrap/>
            <w:vAlign w:val="bottom"/>
          </w:tcPr>
          <w:p w14:paraId="356C656D" w14:textId="1AC046F4" w:rsidR="0059033F" w:rsidRPr="0074154F" w:rsidRDefault="00F63A64" w:rsidP="0059033F">
            <w:pPr>
              <w:spacing w:after="0" w:line="240" w:lineRule="auto"/>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w:t>
            </w:r>
            <w:r w:rsidR="0075082C" w:rsidRPr="0074154F">
              <w:rPr>
                <w:rFonts w:ascii="Arial" w:eastAsia="Times New Roman" w:hAnsi="Arial" w:cs="Arial"/>
                <w:color w:val="000000"/>
                <w:sz w:val="20"/>
                <w:szCs w:val="20"/>
                <w:lang w:val="es-MX" w:eastAsia="es-MX"/>
              </w:rPr>
              <w:t>7</w:t>
            </w:r>
          </w:p>
        </w:tc>
        <w:tc>
          <w:tcPr>
            <w:tcW w:w="146" w:type="dxa"/>
            <w:shd w:val="clear" w:color="auto" w:fill="auto"/>
            <w:vAlign w:val="bottom"/>
          </w:tcPr>
          <w:p w14:paraId="1A7BE1F0"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697" w:type="dxa"/>
            <w:tcBorders>
              <w:bottom w:val="single" w:sz="6" w:space="0" w:color="auto"/>
            </w:tcBorders>
            <w:shd w:val="clear" w:color="auto" w:fill="auto"/>
            <w:noWrap/>
            <w:vAlign w:val="bottom"/>
          </w:tcPr>
          <w:p w14:paraId="1D9777C6" w14:textId="18B7F459" w:rsidR="0059033F" w:rsidRPr="0074154F" w:rsidRDefault="00257D6E"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(102,477,855)</w:t>
            </w:r>
          </w:p>
        </w:tc>
        <w:tc>
          <w:tcPr>
            <w:tcW w:w="169" w:type="dxa"/>
            <w:tcBorders>
              <w:bottom w:val="nil"/>
            </w:tcBorders>
            <w:shd w:val="clear" w:color="auto" w:fill="auto"/>
            <w:noWrap/>
            <w:vAlign w:val="bottom"/>
          </w:tcPr>
          <w:p w14:paraId="56DABAA0"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138" w:type="dxa"/>
            <w:tcBorders>
              <w:bottom w:val="single" w:sz="6" w:space="0" w:color="auto"/>
            </w:tcBorders>
            <w:shd w:val="clear" w:color="auto" w:fill="auto"/>
            <w:noWrap/>
            <w:vAlign w:val="bottom"/>
          </w:tcPr>
          <w:p w14:paraId="203661D8" w14:textId="7F645945" w:rsidR="0059033F" w:rsidRPr="0074154F" w:rsidRDefault="00346856"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(128,818,072)</w:t>
            </w:r>
          </w:p>
        </w:tc>
      </w:tr>
      <w:tr w:rsidR="0059033F" w:rsidRPr="0074154F" w14:paraId="1DC0A2EB" w14:textId="77777777" w:rsidTr="00710FAD">
        <w:trPr>
          <w:trHeight w:val="283"/>
          <w:jc w:val="right"/>
        </w:trPr>
        <w:tc>
          <w:tcPr>
            <w:tcW w:w="4673" w:type="dxa"/>
            <w:shd w:val="clear" w:color="auto" w:fill="auto"/>
            <w:noWrap/>
            <w:vAlign w:val="bottom"/>
          </w:tcPr>
          <w:p w14:paraId="36A1060B" w14:textId="77777777" w:rsidR="0059033F" w:rsidRPr="0074154F" w:rsidRDefault="0059033F" w:rsidP="0059033F">
            <w:pPr>
              <w:spacing w:after="0" w:line="240" w:lineRule="auto"/>
              <w:ind w:left="-75"/>
              <w:rPr>
                <w:rFonts w:ascii="Arial" w:eastAsia="Times New Roman" w:hAnsi="Arial" w:cs="Arial"/>
                <w:color w:val="000000"/>
                <w:sz w:val="20"/>
                <w:szCs w:val="20"/>
                <w:lang w:eastAsia="es-MX"/>
              </w:rPr>
            </w:pPr>
          </w:p>
        </w:tc>
        <w:tc>
          <w:tcPr>
            <w:tcW w:w="966" w:type="dxa"/>
            <w:shd w:val="clear" w:color="auto" w:fill="auto"/>
            <w:noWrap/>
            <w:vAlign w:val="bottom"/>
          </w:tcPr>
          <w:p w14:paraId="56351BC4" w14:textId="77777777" w:rsidR="0059033F" w:rsidRPr="0074154F" w:rsidRDefault="0059033F" w:rsidP="0059033F">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4E77195A"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697" w:type="dxa"/>
            <w:tcBorders>
              <w:top w:val="single" w:sz="6" w:space="0" w:color="auto"/>
              <w:bottom w:val="nil"/>
            </w:tcBorders>
            <w:shd w:val="clear" w:color="auto" w:fill="auto"/>
            <w:noWrap/>
            <w:vAlign w:val="bottom"/>
          </w:tcPr>
          <w:p w14:paraId="4A1461CB" w14:textId="77777777" w:rsidR="0059033F" w:rsidRPr="0074154F" w:rsidRDefault="0059033F" w:rsidP="00650798">
            <w:pPr>
              <w:tabs>
                <w:tab w:val="decimal" w:pos="1490"/>
              </w:tabs>
              <w:spacing w:after="0" w:line="240" w:lineRule="auto"/>
              <w:rPr>
                <w:rFonts w:ascii="Arial" w:eastAsia="Times New Roman" w:hAnsi="Arial" w:cs="Arial"/>
                <w:color w:val="000000"/>
                <w:sz w:val="20"/>
                <w:szCs w:val="20"/>
                <w:lang w:val="es-MX" w:eastAsia="es-MX"/>
              </w:rPr>
            </w:pPr>
          </w:p>
        </w:tc>
        <w:tc>
          <w:tcPr>
            <w:tcW w:w="169" w:type="dxa"/>
            <w:tcBorders>
              <w:top w:val="nil"/>
              <w:bottom w:val="nil"/>
            </w:tcBorders>
            <w:shd w:val="clear" w:color="auto" w:fill="auto"/>
            <w:noWrap/>
            <w:vAlign w:val="bottom"/>
          </w:tcPr>
          <w:p w14:paraId="0AF88942"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138" w:type="dxa"/>
            <w:tcBorders>
              <w:top w:val="single" w:sz="6" w:space="0" w:color="auto"/>
              <w:bottom w:val="nil"/>
            </w:tcBorders>
            <w:shd w:val="clear" w:color="auto" w:fill="auto"/>
            <w:noWrap/>
            <w:vAlign w:val="bottom"/>
          </w:tcPr>
          <w:p w14:paraId="7BB65AA7" w14:textId="77777777" w:rsidR="0059033F" w:rsidRPr="0074154F" w:rsidRDefault="0059033F" w:rsidP="00650798">
            <w:pPr>
              <w:tabs>
                <w:tab w:val="decimal" w:pos="1490"/>
              </w:tabs>
              <w:spacing w:after="0" w:line="240" w:lineRule="auto"/>
              <w:rPr>
                <w:rFonts w:ascii="Arial" w:eastAsia="Times New Roman" w:hAnsi="Arial" w:cs="Arial"/>
                <w:color w:val="000000"/>
                <w:sz w:val="20"/>
                <w:szCs w:val="20"/>
                <w:lang w:val="es-MX" w:eastAsia="es-MX"/>
              </w:rPr>
            </w:pPr>
          </w:p>
        </w:tc>
      </w:tr>
      <w:tr w:rsidR="0059033F" w:rsidRPr="0074154F" w14:paraId="23431B0B" w14:textId="77777777" w:rsidTr="00710FAD">
        <w:trPr>
          <w:trHeight w:val="283"/>
          <w:jc w:val="right"/>
        </w:trPr>
        <w:tc>
          <w:tcPr>
            <w:tcW w:w="4673" w:type="dxa"/>
            <w:shd w:val="clear" w:color="auto" w:fill="auto"/>
            <w:noWrap/>
            <w:vAlign w:val="bottom"/>
          </w:tcPr>
          <w:p w14:paraId="7EFA36D1" w14:textId="3028E4EA" w:rsidR="0059033F" w:rsidRPr="0074154F" w:rsidRDefault="0059033F" w:rsidP="0059033F">
            <w:pPr>
              <w:spacing w:after="0" w:line="240" w:lineRule="auto"/>
              <w:ind w:left="-75"/>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EC"/>
              </w:rPr>
              <w:t>MARGEN BRUTO</w:t>
            </w:r>
          </w:p>
        </w:tc>
        <w:tc>
          <w:tcPr>
            <w:tcW w:w="966" w:type="dxa"/>
            <w:shd w:val="clear" w:color="auto" w:fill="auto"/>
            <w:noWrap/>
            <w:vAlign w:val="bottom"/>
          </w:tcPr>
          <w:p w14:paraId="4595A921" w14:textId="77777777" w:rsidR="0059033F" w:rsidRPr="0074154F" w:rsidRDefault="0059033F" w:rsidP="0059033F">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19863EB1"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697" w:type="dxa"/>
            <w:tcBorders>
              <w:top w:val="nil"/>
              <w:bottom w:val="single" w:sz="8" w:space="0" w:color="auto"/>
            </w:tcBorders>
            <w:shd w:val="clear" w:color="auto" w:fill="auto"/>
            <w:noWrap/>
            <w:vAlign w:val="bottom"/>
          </w:tcPr>
          <w:p w14:paraId="4E1FCEC3" w14:textId="3020F477" w:rsidR="0059033F" w:rsidRPr="0074154F" w:rsidRDefault="00346856"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165,842,948</w:t>
            </w:r>
          </w:p>
        </w:tc>
        <w:tc>
          <w:tcPr>
            <w:tcW w:w="169" w:type="dxa"/>
            <w:tcBorders>
              <w:top w:val="nil"/>
            </w:tcBorders>
            <w:shd w:val="clear" w:color="auto" w:fill="auto"/>
            <w:noWrap/>
            <w:vAlign w:val="bottom"/>
          </w:tcPr>
          <w:p w14:paraId="354BED1A" w14:textId="77777777" w:rsidR="0059033F" w:rsidRPr="0074154F" w:rsidRDefault="0059033F" w:rsidP="0059033F">
            <w:pPr>
              <w:spacing w:after="0" w:line="240" w:lineRule="auto"/>
              <w:rPr>
                <w:rFonts w:ascii="Arial" w:eastAsia="Times New Roman" w:hAnsi="Arial" w:cs="Arial"/>
                <w:color w:val="000000"/>
                <w:sz w:val="20"/>
                <w:szCs w:val="20"/>
                <w:lang w:val="es-MX" w:eastAsia="es-MX"/>
              </w:rPr>
            </w:pPr>
          </w:p>
        </w:tc>
        <w:tc>
          <w:tcPr>
            <w:tcW w:w="1138" w:type="dxa"/>
            <w:tcBorders>
              <w:top w:val="nil"/>
              <w:bottom w:val="single" w:sz="8" w:space="0" w:color="auto"/>
            </w:tcBorders>
            <w:shd w:val="clear" w:color="auto" w:fill="auto"/>
            <w:noWrap/>
            <w:vAlign w:val="bottom"/>
          </w:tcPr>
          <w:p w14:paraId="3CD3C541" w14:textId="11287A97" w:rsidR="0059033F" w:rsidRPr="0074154F" w:rsidRDefault="00346856"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103,644,051</w:t>
            </w:r>
          </w:p>
        </w:tc>
      </w:tr>
      <w:tr w:rsidR="00BE445A" w:rsidRPr="0074154F" w14:paraId="50FBF907" w14:textId="77777777" w:rsidTr="00710FAD">
        <w:trPr>
          <w:trHeight w:val="283"/>
          <w:jc w:val="right"/>
        </w:trPr>
        <w:tc>
          <w:tcPr>
            <w:tcW w:w="4673" w:type="dxa"/>
            <w:shd w:val="clear" w:color="auto" w:fill="auto"/>
            <w:noWrap/>
            <w:vAlign w:val="bottom"/>
          </w:tcPr>
          <w:p w14:paraId="607132F6" w14:textId="77777777" w:rsidR="00BE445A" w:rsidRPr="0074154F" w:rsidRDefault="00BE445A" w:rsidP="00413455">
            <w:pPr>
              <w:spacing w:after="0" w:line="240" w:lineRule="auto"/>
              <w:ind w:left="-75"/>
              <w:rPr>
                <w:rFonts w:ascii="Arial" w:eastAsia="Times New Roman" w:hAnsi="Arial" w:cs="Arial"/>
                <w:color w:val="000000"/>
                <w:sz w:val="20"/>
                <w:szCs w:val="20"/>
                <w:lang w:eastAsia="es-MX"/>
              </w:rPr>
            </w:pPr>
          </w:p>
        </w:tc>
        <w:tc>
          <w:tcPr>
            <w:tcW w:w="966" w:type="dxa"/>
            <w:shd w:val="clear" w:color="auto" w:fill="auto"/>
            <w:noWrap/>
            <w:vAlign w:val="bottom"/>
          </w:tcPr>
          <w:p w14:paraId="77579191" w14:textId="77777777" w:rsidR="00BE445A" w:rsidRPr="0074154F" w:rsidRDefault="00BE445A" w:rsidP="00413455">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75786A6C" w14:textId="77777777" w:rsidR="00BE445A" w:rsidRPr="0074154F" w:rsidRDefault="00BE445A" w:rsidP="00413455">
            <w:pPr>
              <w:spacing w:after="0" w:line="240" w:lineRule="auto"/>
              <w:rPr>
                <w:rFonts w:ascii="Arial" w:eastAsia="Times New Roman" w:hAnsi="Arial" w:cs="Arial"/>
                <w:color w:val="000000"/>
                <w:sz w:val="20"/>
                <w:szCs w:val="20"/>
                <w:lang w:val="es-MX" w:eastAsia="es-MX"/>
              </w:rPr>
            </w:pPr>
          </w:p>
        </w:tc>
        <w:tc>
          <w:tcPr>
            <w:tcW w:w="1697" w:type="dxa"/>
            <w:tcBorders>
              <w:top w:val="single" w:sz="8" w:space="0" w:color="auto"/>
              <w:bottom w:val="nil"/>
            </w:tcBorders>
            <w:shd w:val="clear" w:color="auto" w:fill="auto"/>
            <w:noWrap/>
            <w:vAlign w:val="bottom"/>
          </w:tcPr>
          <w:p w14:paraId="2797B017" w14:textId="77777777" w:rsidR="00BE445A" w:rsidRPr="0074154F" w:rsidRDefault="00BE445A" w:rsidP="00650798">
            <w:pPr>
              <w:tabs>
                <w:tab w:val="decimal" w:pos="1490"/>
              </w:tabs>
              <w:spacing w:after="0" w:line="240" w:lineRule="auto"/>
              <w:rPr>
                <w:rFonts w:ascii="Arial" w:eastAsia="Times New Roman" w:hAnsi="Arial" w:cs="Arial"/>
                <w:color w:val="000000"/>
                <w:sz w:val="20"/>
                <w:szCs w:val="20"/>
                <w:lang w:val="es-MX" w:eastAsia="es-MX"/>
              </w:rPr>
            </w:pPr>
          </w:p>
        </w:tc>
        <w:tc>
          <w:tcPr>
            <w:tcW w:w="169" w:type="dxa"/>
            <w:tcBorders>
              <w:bottom w:val="nil"/>
            </w:tcBorders>
            <w:shd w:val="clear" w:color="auto" w:fill="auto"/>
            <w:noWrap/>
            <w:vAlign w:val="bottom"/>
          </w:tcPr>
          <w:p w14:paraId="014B29C4" w14:textId="77777777" w:rsidR="00BE445A" w:rsidRPr="0074154F" w:rsidRDefault="00BE445A" w:rsidP="00413455">
            <w:pPr>
              <w:spacing w:after="0" w:line="240" w:lineRule="auto"/>
              <w:rPr>
                <w:rFonts w:ascii="Arial" w:eastAsia="Times New Roman" w:hAnsi="Arial" w:cs="Arial"/>
                <w:color w:val="000000"/>
                <w:sz w:val="20"/>
                <w:szCs w:val="20"/>
                <w:lang w:val="es-MX" w:eastAsia="es-MX"/>
              </w:rPr>
            </w:pPr>
          </w:p>
        </w:tc>
        <w:tc>
          <w:tcPr>
            <w:tcW w:w="1138" w:type="dxa"/>
            <w:tcBorders>
              <w:top w:val="single" w:sz="8" w:space="0" w:color="auto"/>
              <w:bottom w:val="nil"/>
            </w:tcBorders>
            <w:shd w:val="clear" w:color="auto" w:fill="auto"/>
            <w:noWrap/>
            <w:vAlign w:val="bottom"/>
          </w:tcPr>
          <w:p w14:paraId="3B8DFBA7" w14:textId="77777777" w:rsidR="00BE445A" w:rsidRPr="0074154F" w:rsidRDefault="00BE445A" w:rsidP="00650798">
            <w:pPr>
              <w:tabs>
                <w:tab w:val="decimal" w:pos="1490"/>
              </w:tabs>
              <w:spacing w:after="0" w:line="240" w:lineRule="auto"/>
              <w:rPr>
                <w:rFonts w:ascii="Arial" w:eastAsia="Times New Roman" w:hAnsi="Arial" w:cs="Arial"/>
                <w:color w:val="000000"/>
                <w:sz w:val="20"/>
                <w:szCs w:val="20"/>
                <w:lang w:val="es-MX" w:eastAsia="es-MX"/>
              </w:rPr>
            </w:pPr>
          </w:p>
        </w:tc>
      </w:tr>
      <w:tr w:rsidR="00BE445A" w:rsidRPr="0074154F" w14:paraId="0C25C8E2" w14:textId="77777777" w:rsidTr="00710FAD">
        <w:trPr>
          <w:trHeight w:val="283"/>
          <w:jc w:val="right"/>
        </w:trPr>
        <w:tc>
          <w:tcPr>
            <w:tcW w:w="4673" w:type="dxa"/>
            <w:shd w:val="clear" w:color="auto" w:fill="auto"/>
            <w:noWrap/>
            <w:vAlign w:val="bottom"/>
          </w:tcPr>
          <w:p w14:paraId="6D8D7228" w14:textId="6D28B952" w:rsidR="00BE445A" w:rsidRPr="0074154F" w:rsidRDefault="00BE445A" w:rsidP="00413455">
            <w:pPr>
              <w:spacing w:after="0" w:line="240" w:lineRule="auto"/>
              <w:ind w:left="-75"/>
              <w:rPr>
                <w:rFonts w:ascii="Arial" w:eastAsia="Times New Roman" w:hAnsi="Arial" w:cs="Arial"/>
                <w:color w:val="000000"/>
                <w:sz w:val="20"/>
                <w:szCs w:val="20"/>
                <w:lang w:eastAsia="es-MX"/>
              </w:rPr>
            </w:pPr>
            <w:r w:rsidRPr="0074154F">
              <w:rPr>
                <w:rFonts w:ascii="Arial" w:hAnsi="Arial" w:cs="Arial"/>
                <w:color w:val="000000"/>
                <w:sz w:val="20"/>
                <w:szCs w:val="20"/>
              </w:rPr>
              <w:t>GASTOS</w:t>
            </w:r>
            <w:r w:rsidR="00BC45BB">
              <w:rPr>
                <w:rFonts w:ascii="Arial" w:hAnsi="Arial" w:cs="Arial"/>
                <w:color w:val="000000"/>
                <w:sz w:val="20"/>
                <w:szCs w:val="20"/>
              </w:rPr>
              <w:t xml:space="preserve"> OPERACIONALES</w:t>
            </w:r>
            <w:r w:rsidR="007827D9" w:rsidRPr="0074154F">
              <w:rPr>
                <w:rFonts w:ascii="Arial" w:hAnsi="Arial" w:cs="Arial"/>
                <w:color w:val="000000"/>
                <w:sz w:val="20"/>
                <w:szCs w:val="20"/>
              </w:rPr>
              <w:t>, NETO</w:t>
            </w:r>
            <w:r w:rsidRPr="0074154F">
              <w:rPr>
                <w:rFonts w:ascii="Arial" w:hAnsi="Arial" w:cs="Arial"/>
                <w:color w:val="000000"/>
                <w:sz w:val="20"/>
                <w:szCs w:val="20"/>
              </w:rPr>
              <w:t>:</w:t>
            </w:r>
          </w:p>
        </w:tc>
        <w:tc>
          <w:tcPr>
            <w:tcW w:w="966" w:type="dxa"/>
            <w:shd w:val="clear" w:color="auto" w:fill="auto"/>
            <w:noWrap/>
            <w:vAlign w:val="bottom"/>
          </w:tcPr>
          <w:p w14:paraId="420465BB" w14:textId="77777777" w:rsidR="00BE445A" w:rsidRPr="0074154F" w:rsidRDefault="00BE445A" w:rsidP="00413455">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3DBF91E6" w14:textId="77777777" w:rsidR="00BE445A" w:rsidRPr="0074154F" w:rsidRDefault="00BE445A" w:rsidP="00413455">
            <w:pPr>
              <w:spacing w:after="0" w:line="240" w:lineRule="auto"/>
              <w:rPr>
                <w:rFonts w:ascii="Arial" w:eastAsia="Times New Roman" w:hAnsi="Arial" w:cs="Arial"/>
                <w:color w:val="000000"/>
                <w:sz w:val="20"/>
                <w:szCs w:val="20"/>
                <w:lang w:val="es-MX" w:eastAsia="es-MX"/>
              </w:rPr>
            </w:pPr>
          </w:p>
        </w:tc>
        <w:tc>
          <w:tcPr>
            <w:tcW w:w="1697" w:type="dxa"/>
            <w:tcBorders>
              <w:top w:val="nil"/>
              <w:bottom w:val="nil"/>
            </w:tcBorders>
            <w:shd w:val="clear" w:color="auto" w:fill="auto"/>
            <w:noWrap/>
            <w:vAlign w:val="bottom"/>
          </w:tcPr>
          <w:p w14:paraId="794CEBA9" w14:textId="77777777" w:rsidR="00BE445A" w:rsidRPr="0074154F" w:rsidRDefault="00BE445A" w:rsidP="00650798">
            <w:pPr>
              <w:tabs>
                <w:tab w:val="decimal" w:pos="1490"/>
              </w:tabs>
              <w:spacing w:after="0" w:line="240" w:lineRule="auto"/>
              <w:rPr>
                <w:rFonts w:ascii="Arial" w:hAnsi="Arial" w:cs="Arial"/>
                <w:color w:val="000000"/>
                <w:sz w:val="20"/>
                <w:szCs w:val="20"/>
              </w:rPr>
            </w:pPr>
          </w:p>
        </w:tc>
        <w:tc>
          <w:tcPr>
            <w:tcW w:w="169" w:type="dxa"/>
            <w:tcBorders>
              <w:top w:val="nil"/>
              <w:bottom w:val="nil"/>
            </w:tcBorders>
            <w:shd w:val="clear" w:color="auto" w:fill="auto"/>
            <w:noWrap/>
            <w:vAlign w:val="bottom"/>
          </w:tcPr>
          <w:p w14:paraId="16F99AB3" w14:textId="77777777" w:rsidR="00BE445A" w:rsidRPr="0074154F" w:rsidRDefault="00BE445A" w:rsidP="00413455">
            <w:pPr>
              <w:spacing w:after="0" w:line="240" w:lineRule="auto"/>
              <w:rPr>
                <w:rFonts w:ascii="Arial" w:eastAsia="Times New Roman" w:hAnsi="Arial" w:cs="Arial"/>
                <w:color w:val="000000"/>
                <w:sz w:val="20"/>
                <w:szCs w:val="20"/>
                <w:lang w:val="es-MX" w:eastAsia="es-MX"/>
              </w:rPr>
            </w:pPr>
          </w:p>
        </w:tc>
        <w:tc>
          <w:tcPr>
            <w:tcW w:w="1138" w:type="dxa"/>
            <w:tcBorders>
              <w:top w:val="nil"/>
              <w:bottom w:val="nil"/>
            </w:tcBorders>
            <w:shd w:val="clear" w:color="auto" w:fill="auto"/>
            <w:noWrap/>
            <w:vAlign w:val="bottom"/>
          </w:tcPr>
          <w:p w14:paraId="00B07283" w14:textId="77777777" w:rsidR="00BE445A" w:rsidRPr="0074154F" w:rsidRDefault="00BE445A" w:rsidP="00650798">
            <w:pPr>
              <w:tabs>
                <w:tab w:val="decimal" w:pos="1490"/>
              </w:tabs>
              <w:spacing w:after="0" w:line="240" w:lineRule="auto"/>
              <w:rPr>
                <w:rFonts w:ascii="Arial" w:hAnsi="Arial" w:cs="Arial"/>
                <w:color w:val="000000"/>
                <w:sz w:val="20"/>
                <w:szCs w:val="20"/>
              </w:rPr>
            </w:pPr>
          </w:p>
        </w:tc>
      </w:tr>
      <w:tr w:rsidR="00A831C8" w:rsidRPr="0074154F" w14:paraId="62854A49" w14:textId="77777777" w:rsidTr="00710FAD">
        <w:trPr>
          <w:trHeight w:val="283"/>
          <w:jc w:val="right"/>
        </w:trPr>
        <w:tc>
          <w:tcPr>
            <w:tcW w:w="4673" w:type="dxa"/>
            <w:shd w:val="clear" w:color="auto" w:fill="auto"/>
            <w:noWrap/>
            <w:vAlign w:val="bottom"/>
          </w:tcPr>
          <w:p w14:paraId="20984FE9" w14:textId="7ECD63B0" w:rsidR="00A831C8" w:rsidRPr="0074154F" w:rsidRDefault="00A831C8" w:rsidP="00A831C8">
            <w:pPr>
              <w:spacing w:after="0" w:line="240" w:lineRule="auto"/>
              <w:ind w:left="-75"/>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 xml:space="preserve">    Administración y ventas</w:t>
            </w:r>
          </w:p>
        </w:tc>
        <w:tc>
          <w:tcPr>
            <w:tcW w:w="966" w:type="dxa"/>
            <w:shd w:val="clear" w:color="auto" w:fill="auto"/>
            <w:noWrap/>
            <w:vAlign w:val="bottom"/>
          </w:tcPr>
          <w:p w14:paraId="08F885A6" w14:textId="3BD94DD9"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27</w:t>
            </w:r>
          </w:p>
        </w:tc>
        <w:tc>
          <w:tcPr>
            <w:tcW w:w="146" w:type="dxa"/>
            <w:shd w:val="clear" w:color="auto" w:fill="auto"/>
            <w:vAlign w:val="bottom"/>
          </w:tcPr>
          <w:p w14:paraId="412BD622"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697" w:type="dxa"/>
            <w:tcBorders>
              <w:top w:val="nil"/>
              <w:bottom w:val="nil"/>
            </w:tcBorders>
            <w:shd w:val="clear" w:color="auto" w:fill="auto"/>
            <w:noWrap/>
            <w:vAlign w:val="bottom"/>
          </w:tcPr>
          <w:p w14:paraId="49C2A79C" w14:textId="1B57BF38" w:rsidR="00A831C8" w:rsidRPr="0074154F" w:rsidRDefault="003078EE" w:rsidP="00650798">
            <w:pPr>
              <w:tabs>
                <w:tab w:val="decimal" w:pos="1490"/>
              </w:tabs>
              <w:spacing w:after="0" w:line="240" w:lineRule="auto"/>
              <w:rPr>
                <w:rFonts w:ascii="Arial" w:hAnsi="Arial" w:cs="Arial"/>
                <w:color w:val="000000"/>
                <w:sz w:val="20"/>
                <w:szCs w:val="20"/>
              </w:rPr>
            </w:pPr>
            <w:r>
              <w:rPr>
                <w:rFonts w:ascii="Arial" w:hAnsi="Arial" w:cs="Arial"/>
                <w:color w:val="000000"/>
                <w:sz w:val="20"/>
                <w:szCs w:val="20"/>
              </w:rPr>
              <w:t>(102,437,674)</w:t>
            </w:r>
          </w:p>
        </w:tc>
        <w:tc>
          <w:tcPr>
            <w:tcW w:w="169" w:type="dxa"/>
            <w:tcBorders>
              <w:top w:val="nil"/>
              <w:bottom w:val="nil"/>
            </w:tcBorders>
            <w:shd w:val="clear" w:color="auto" w:fill="auto"/>
            <w:noWrap/>
            <w:vAlign w:val="bottom"/>
          </w:tcPr>
          <w:p w14:paraId="4BA4F851"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138" w:type="dxa"/>
            <w:tcBorders>
              <w:top w:val="nil"/>
              <w:bottom w:val="nil"/>
            </w:tcBorders>
            <w:shd w:val="clear" w:color="auto" w:fill="auto"/>
            <w:noWrap/>
            <w:vAlign w:val="bottom"/>
          </w:tcPr>
          <w:p w14:paraId="12D723CE" w14:textId="58969D20" w:rsidR="00A831C8" w:rsidRPr="0074154F" w:rsidRDefault="003078EE" w:rsidP="00650798">
            <w:pPr>
              <w:tabs>
                <w:tab w:val="decimal" w:pos="1490"/>
              </w:tabs>
              <w:spacing w:after="0" w:line="240" w:lineRule="auto"/>
              <w:rPr>
                <w:rFonts w:ascii="Arial" w:hAnsi="Arial" w:cs="Arial"/>
                <w:color w:val="000000"/>
                <w:sz w:val="20"/>
                <w:szCs w:val="20"/>
              </w:rPr>
            </w:pPr>
            <w:r>
              <w:rPr>
                <w:rFonts w:ascii="Arial" w:hAnsi="Arial" w:cs="Arial"/>
                <w:color w:val="000000"/>
                <w:sz w:val="20"/>
                <w:szCs w:val="20"/>
              </w:rPr>
              <w:t>(61,938,780)</w:t>
            </w:r>
          </w:p>
        </w:tc>
      </w:tr>
      <w:tr w:rsidR="00A831C8" w:rsidRPr="0074154F" w14:paraId="49E1E27A" w14:textId="77777777" w:rsidTr="00710FAD">
        <w:trPr>
          <w:trHeight w:val="283"/>
          <w:jc w:val="right"/>
        </w:trPr>
        <w:tc>
          <w:tcPr>
            <w:tcW w:w="4673" w:type="dxa"/>
            <w:shd w:val="clear" w:color="auto" w:fill="auto"/>
            <w:noWrap/>
            <w:vAlign w:val="bottom"/>
          </w:tcPr>
          <w:p w14:paraId="2E7FB20E" w14:textId="511A56E1" w:rsidR="00A831C8" w:rsidRPr="0074154F" w:rsidRDefault="00A831C8" w:rsidP="00A831C8">
            <w:pPr>
              <w:spacing w:after="0" w:line="240" w:lineRule="auto"/>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 xml:space="preserve">   Financieros </w:t>
            </w:r>
          </w:p>
        </w:tc>
        <w:tc>
          <w:tcPr>
            <w:tcW w:w="966" w:type="dxa"/>
            <w:shd w:val="clear" w:color="auto" w:fill="auto"/>
            <w:noWrap/>
            <w:vAlign w:val="bottom"/>
          </w:tcPr>
          <w:p w14:paraId="3BDE3CCD" w14:textId="1BBBE273"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15</w:t>
            </w:r>
          </w:p>
        </w:tc>
        <w:tc>
          <w:tcPr>
            <w:tcW w:w="146" w:type="dxa"/>
            <w:shd w:val="clear" w:color="auto" w:fill="auto"/>
            <w:vAlign w:val="bottom"/>
          </w:tcPr>
          <w:p w14:paraId="57CF48E2"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462BD9B9" w14:textId="2B88F43F" w:rsidR="00A831C8" w:rsidRPr="0074154F" w:rsidRDefault="003078EE" w:rsidP="00650798">
            <w:pPr>
              <w:tabs>
                <w:tab w:val="decimal" w:pos="1490"/>
              </w:tabs>
              <w:spacing w:after="0" w:line="240" w:lineRule="auto"/>
              <w:rPr>
                <w:rFonts w:ascii="Arial" w:hAnsi="Arial" w:cs="Arial"/>
                <w:color w:val="000000"/>
                <w:sz w:val="20"/>
                <w:szCs w:val="20"/>
              </w:rPr>
            </w:pPr>
            <w:r>
              <w:rPr>
                <w:rFonts w:ascii="Arial" w:hAnsi="Arial" w:cs="Arial"/>
                <w:color w:val="000000"/>
                <w:sz w:val="20"/>
                <w:szCs w:val="20"/>
              </w:rPr>
              <w:t>(2,563,376)</w:t>
            </w:r>
          </w:p>
        </w:tc>
        <w:tc>
          <w:tcPr>
            <w:tcW w:w="169" w:type="dxa"/>
            <w:tcBorders>
              <w:top w:val="nil"/>
              <w:bottom w:val="nil"/>
            </w:tcBorders>
            <w:shd w:val="clear" w:color="auto" w:fill="auto"/>
            <w:noWrap/>
            <w:vAlign w:val="bottom"/>
          </w:tcPr>
          <w:p w14:paraId="1B4C5CF6" w14:textId="77777777" w:rsidR="00A831C8" w:rsidRPr="0074154F" w:rsidRDefault="00A831C8" w:rsidP="00A831C8">
            <w:pPr>
              <w:spacing w:after="0" w:line="240" w:lineRule="auto"/>
              <w:rPr>
                <w:rFonts w:ascii="Arial" w:eastAsia="Times New Roman" w:hAnsi="Arial" w:cs="Arial"/>
                <w:color w:val="000000"/>
                <w:sz w:val="20"/>
                <w:szCs w:val="20"/>
                <w:u w:val="single"/>
                <w:lang w:val="es-MX" w:eastAsia="es-MX"/>
              </w:rPr>
            </w:pPr>
          </w:p>
        </w:tc>
        <w:tc>
          <w:tcPr>
            <w:tcW w:w="1138" w:type="dxa"/>
            <w:tcBorders>
              <w:top w:val="nil"/>
              <w:bottom w:val="nil"/>
            </w:tcBorders>
            <w:shd w:val="clear" w:color="auto" w:fill="auto"/>
            <w:noWrap/>
            <w:vAlign w:val="bottom"/>
          </w:tcPr>
          <w:p w14:paraId="5B96F92C" w14:textId="4EBA49A6" w:rsidR="00A831C8" w:rsidRPr="0074154F" w:rsidRDefault="003078EE"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(2,981,098)</w:t>
            </w:r>
          </w:p>
        </w:tc>
      </w:tr>
      <w:tr w:rsidR="00A831C8" w:rsidRPr="0074154F" w14:paraId="16350121" w14:textId="77777777" w:rsidTr="00710FAD">
        <w:trPr>
          <w:trHeight w:val="283"/>
          <w:jc w:val="right"/>
        </w:trPr>
        <w:tc>
          <w:tcPr>
            <w:tcW w:w="4673" w:type="dxa"/>
            <w:shd w:val="clear" w:color="auto" w:fill="auto"/>
            <w:noWrap/>
            <w:vAlign w:val="bottom"/>
          </w:tcPr>
          <w:p w14:paraId="79BA45D2" w14:textId="75A270FA" w:rsidR="00A831C8" w:rsidRPr="0074154F" w:rsidRDefault="00A831C8" w:rsidP="00A831C8">
            <w:pPr>
              <w:spacing w:after="0" w:line="240" w:lineRule="auto"/>
              <w:ind w:left="-75"/>
              <w:rPr>
                <w:rFonts w:ascii="Arial" w:eastAsia="Times New Roman" w:hAnsi="Arial" w:cs="Arial"/>
                <w:color w:val="000000"/>
                <w:sz w:val="20"/>
                <w:szCs w:val="20"/>
                <w:u w:val="single"/>
                <w:lang w:val="es-MX" w:eastAsia="es-MX"/>
              </w:rPr>
            </w:pPr>
            <w:r w:rsidRPr="0074154F">
              <w:rPr>
                <w:rFonts w:ascii="Arial" w:hAnsi="Arial" w:cs="Arial"/>
                <w:color w:val="000000"/>
                <w:sz w:val="20"/>
                <w:szCs w:val="20"/>
              </w:rPr>
              <w:t xml:space="preserve">    Participación de trabajadores</w:t>
            </w:r>
          </w:p>
        </w:tc>
        <w:tc>
          <w:tcPr>
            <w:tcW w:w="966" w:type="dxa"/>
            <w:shd w:val="clear" w:color="auto" w:fill="auto"/>
            <w:noWrap/>
            <w:vAlign w:val="bottom"/>
          </w:tcPr>
          <w:p w14:paraId="288A6A0A" w14:textId="010E1172"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17</w:t>
            </w:r>
          </w:p>
        </w:tc>
        <w:tc>
          <w:tcPr>
            <w:tcW w:w="146" w:type="dxa"/>
            <w:shd w:val="clear" w:color="auto" w:fill="auto"/>
            <w:vAlign w:val="bottom"/>
          </w:tcPr>
          <w:p w14:paraId="6112BA80"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bottom w:val="nil"/>
            </w:tcBorders>
            <w:shd w:val="clear" w:color="auto" w:fill="auto"/>
            <w:noWrap/>
            <w:vAlign w:val="bottom"/>
          </w:tcPr>
          <w:p w14:paraId="2689BB89" w14:textId="395BFDA8"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(8,409,062)</w:t>
            </w:r>
          </w:p>
        </w:tc>
        <w:tc>
          <w:tcPr>
            <w:tcW w:w="169" w:type="dxa"/>
            <w:tcBorders>
              <w:bottom w:val="nil"/>
            </w:tcBorders>
            <w:shd w:val="clear" w:color="auto" w:fill="auto"/>
            <w:noWrap/>
            <w:vAlign w:val="bottom"/>
          </w:tcPr>
          <w:p w14:paraId="0CEC33FD"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138" w:type="dxa"/>
            <w:tcBorders>
              <w:bottom w:val="nil"/>
            </w:tcBorders>
            <w:shd w:val="clear" w:color="auto" w:fill="auto"/>
            <w:noWrap/>
            <w:vAlign w:val="bottom"/>
          </w:tcPr>
          <w:p w14:paraId="5C9333BF" w14:textId="335171C8"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(5,669,456)</w:t>
            </w:r>
          </w:p>
        </w:tc>
      </w:tr>
      <w:tr w:rsidR="00A831C8" w:rsidRPr="0074154F" w14:paraId="7E2008D8" w14:textId="77777777" w:rsidTr="00710FAD">
        <w:trPr>
          <w:trHeight w:val="283"/>
          <w:jc w:val="right"/>
        </w:trPr>
        <w:tc>
          <w:tcPr>
            <w:tcW w:w="4673" w:type="dxa"/>
            <w:shd w:val="clear" w:color="auto" w:fill="auto"/>
            <w:noWrap/>
            <w:vAlign w:val="bottom"/>
          </w:tcPr>
          <w:p w14:paraId="6E0CAA14" w14:textId="216C8C08" w:rsidR="00A831C8" w:rsidRPr="0074154F" w:rsidRDefault="00A831C8" w:rsidP="00A831C8">
            <w:pPr>
              <w:spacing w:after="0" w:line="240" w:lineRule="auto"/>
              <w:ind w:left="-75"/>
              <w:rPr>
                <w:rFonts w:ascii="Arial" w:hAnsi="Arial" w:cs="Arial"/>
                <w:color w:val="000000"/>
                <w:sz w:val="20"/>
                <w:szCs w:val="20"/>
              </w:rPr>
            </w:pPr>
            <w:r w:rsidRPr="0074154F">
              <w:rPr>
                <w:rFonts w:ascii="Arial" w:hAnsi="Arial" w:cs="Arial"/>
                <w:color w:val="000000"/>
                <w:sz w:val="20"/>
                <w:szCs w:val="20"/>
              </w:rPr>
              <w:t xml:space="preserve">    Otros (gastos) ingresos, netos</w:t>
            </w:r>
          </w:p>
        </w:tc>
        <w:tc>
          <w:tcPr>
            <w:tcW w:w="966" w:type="dxa"/>
            <w:shd w:val="clear" w:color="auto" w:fill="auto"/>
            <w:noWrap/>
            <w:vAlign w:val="bottom"/>
          </w:tcPr>
          <w:p w14:paraId="6398943E" w14:textId="657AF9B5"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6F7BE776"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bottom w:val="single" w:sz="6" w:space="0" w:color="auto"/>
            </w:tcBorders>
            <w:shd w:val="clear" w:color="auto" w:fill="auto"/>
            <w:noWrap/>
            <w:vAlign w:val="bottom"/>
          </w:tcPr>
          <w:p w14:paraId="7F6B8B01" w14:textId="213DD55E"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(1,555,511)</w:t>
            </w:r>
          </w:p>
        </w:tc>
        <w:tc>
          <w:tcPr>
            <w:tcW w:w="169" w:type="dxa"/>
            <w:tcBorders>
              <w:bottom w:val="nil"/>
            </w:tcBorders>
            <w:shd w:val="clear" w:color="auto" w:fill="auto"/>
            <w:noWrap/>
            <w:vAlign w:val="bottom"/>
          </w:tcPr>
          <w:p w14:paraId="5BC0B05B"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138" w:type="dxa"/>
            <w:tcBorders>
              <w:bottom w:val="single" w:sz="6" w:space="0" w:color="auto"/>
            </w:tcBorders>
            <w:shd w:val="clear" w:color="auto" w:fill="auto"/>
            <w:noWrap/>
            <w:vAlign w:val="bottom"/>
          </w:tcPr>
          <w:p w14:paraId="0A3A6ACE" w14:textId="28D3DFE9"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1,192,574</w:t>
            </w:r>
          </w:p>
        </w:tc>
      </w:tr>
      <w:tr w:rsidR="00A831C8" w:rsidRPr="0074154F" w14:paraId="1121805B" w14:textId="77777777" w:rsidTr="00710FAD">
        <w:trPr>
          <w:trHeight w:val="283"/>
          <w:jc w:val="right"/>
        </w:trPr>
        <w:tc>
          <w:tcPr>
            <w:tcW w:w="4673" w:type="dxa"/>
            <w:shd w:val="clear" w:color="auto" w:fill="auto"/>
            <w:noWrap/>
            <w:vAlign w:val="bottom"/>
          </w:tcPr>
          <w:p w14:paraId="7719062D" w14:textId="359FA1C1" w:rsidR="00A831C8" w:rsidRPr="0074154F" w:rsidRDefault="00A831C8" w:rsidP="00A831C8">
            <w:pPr>
              <w:spacing w:after="0" w:line="240" w:lineRule="auto"/>
              <w:rPr>
                <w:rFonts w:ascii="Arial" w:hAnsi="Arial" w:cs="Arial"/>
                <w:color w:val="000000"/>
                <w:sz w:val="20"/>
                <w:szCs w:val="20"/>
              </w:rPr>
            </w:pPr>
            <w:proofErr w:type="gramStart"/>
            <w:r w:rsidRPr="0074154F">
              <w:rPr>
                <w:rFonts w:ascii="Arial" w:hAnsi="Arial" w:cs="Arial"/>
                <w:color w:val="000000"/>
                <w:sz w:val="20"/>
                <w:szCs w:val="20"/>
              </w:rPr>
              <w:t>Total</w:t>
            </w:r>
            <w:proofErr w:type="gramEnd"/>
            <w:r w:rsidRPr="0074154F">
              <w:rPr>
                <w:rFonts w:ascii="Arial" w:hAnsi="Arial" w:cs="Arial"/>
                <w:color w:val="000000"/>
                <w:sz w:val="20"/>
                <w:szCs w:val="20"/>
              </w:rPr>
              <w:t xml:space="preserve"> gastos</w:t>
            </w:r>
            <w:r w:rsidR="00BC45BB">
              <w:rPr>
                <w:rFonts w:ascii="Arial" w:hAnsi="Arial" w:cs="Arial"/>
                <w:color w:val="000000"/>
                <w:sz w:val="20"/>
                <w:szCs w:val="20"/>
              </w:rPr>
              <w:t xml:space="preserve"> operacionales</w:t>
            </w:r>
            <w:r w:rsidRPr="0074154F">
              <w:rPr>
                <w:rFonts w:ascii="Arial" w:hAnsi="Arial" w:cs="Arial"/>
                <w:color w:val="000000"/>
                <w:sz w:val="20"/>
                <w:szCs w:val="20"/>
              </w:rPr>
              <w:t>, neto</w:t>
            </w:r>
          </w:p>
        </w:tc>
        <w:tc>
          <w:tcPr>
            <w:tcW w:w="966" w:type="dxa"/>
            <w:shd w:val="clear" w:color="auto" w:fill="auto"/>
            <w:noWrap/>
            <w:vAlign w:val="bottom"/>
          </w:tcPr>
          <w:p w14:paraId="566A6566" w14:textId="77777777"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4AC0DC5C"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single" w:sz="6" w:space="0" w:color="auto"/>
              <w:bottom w:val="single" w:sz="8" w:space="0" w:color="auto"/>
            </w:tcBorders>
            <w:shd w:val="clear" w:color="auto" w:fill="auto"/>
            <w:noWrap/>
            <w:vAlign w:val="bottom"/>
          </w:tcPr>
          <w:p w14:paraId="63D29B3F" w14:textId="06865AF0"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(114,965,623)</w:t>
            </w:r>
          </w:p>
        </w:tc>
        <w:tc>
          <w:tcPr>
            <w:tcW w:w="169" w:type="dxa"/>
            <w:tcBorders>
              <w:top w:val="nil"/>
              <w:bottom w:val="nil"/>
            </w:tcBorders>
            <w:shd w:val="clear" w:color="auto" w:fill="auto"/>
            <w:noWrap/>
            <w:vAlign w:val="bottom"/>
          </w:tcPr>
          <w:p w14:paraId="219ABA52"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138" w:type="dxa"/>
            <w:tcBorders>
              <w:top w:val="single" w:sz="6" w:space="0" w:color="auto"/>
              <w:bottom w:val="single" w:sz="8" w:space="0" w:color="auto"/>
            </w:tcBorders>
            <w:shd w:val="clear" w:color="auto" w:fill="auto"/>
            <w:noWrap/>
            <w:vAlign w:val="bottom"/>
          </w:tcPr>
          <w:p w14:paraId="47EAADFC" w14:textId="6AC67087" w:rsidR="00A831C8" w:rsidRPr="0074154F" w:rsidRDefault="003078EE"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(69,396,760)</w:t>
            </w:r>
          </w:p>
        </w:tc>
      </w:tr>
      <w:tr w:rsidR="00A831C8" w:rsidRPr="0074154F" w14:paraId="3DA823CC" w14:textId="77777777" w:rsidTr="00710FAD">
        <w:trPr>
          <w:trHeight w:val="283"/>
          <w:jc w:val="right"/>
        </w:trPr>
        <w:tc>
          <w:tcPr>
            <w:tcW w:w="4673" w:type="dxa"/>
            <w:shd w:val="clear" w:color="auto" w:fill="auto"/>
            <w:noWrap/>
            <w:vAlign w:val="bottom"/>
          </w:tcPr>
          <w:p w14:paraId="4D45D470" w14:textId="77777777" w:rsidR="00A831C8" w:rsidRPr="0074154F" w:rsidRDefault="00A831C8" w:rsidP="00A831C8">
            <w:pPr>
              <w:spacing w:after="0" w:line="240" w:lineRule="auto"/>
              <w:ind w:left="-75"/>
              <w:rPr>
                <w:rFonts w:ascii="Arial" w:hAnsi="Arial" w:cs="Arial"/>
                <w:color w:val="000000"/>
                <w:sz w:val="20"/>
                <w:szCs w:val="20"/>
              </w:rPr>
            </w:pPr>
          </w:p>
        </w:tc>
        <w:tc>
          <w:tcPr>
            <w:tcW w:w="966" w:type="dxa"/>
            <w:shd w:val="clear" w:color="auto" w:fill="auto"/>
            <w:noWrap/>
            <w:vAlign w:val="bottom"/>
          </w:tcPr>
          <w:p w14:paraId="3E908E81" w14:textId="77777777"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4AB7AE99"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697" w:type="dxa"/>
            <w:tcBorders>
              <w:top w:val="single" w:sz="8" w:space="0" w:color="auto"/>
              <w:bottom w:val="nil"/>
            </w:tcBorders>
            <w:shd w:val="clear" w:color="auto" w:fill="auto"/>
            <w:noWrap/>
            <w:vAlign w:val="bottom"/>
          </w:tcPr>
          <w:p w14:paraId="03B20538" w14:textId="77777777" w:rsidR="00A831C8" w:rsidRPr="0074154F" w:rsidRDefault="00A831C8" w:rsidP="00650798">
            <w:pPr>
              <w:tabs>
                <w:tab w:val="decimal" w:pos="1490"/>
              </w:tabs>
              <w:spacing w:after="0" w:line="240" w:lineRule="auto"/>
              <w:rPr>
                <w:rFonts w:ascii="Arial" w:hAnsi="Arial" w:cs="Arial"/>
                <w:color w:val="000000"/>
                <w:sz w:val="20"/>
                <w:szCs w:val="20"/>
              </w:rPr>
            </w:pPr>
          </w:p>
        </w:tc>
        <w:tc>
          <w:tcPr>
            <w:tcW w:w="169" w:type="dxa"/>
            <w:tcBorders>
              <w:bottom w:val="nil"/>
            </w:tcBorders>
            <w:shd w:val="clear" w:color="auto" w:fill="auto"/>
            <w:noWrap/>
            <w:vAlign w:val="bottom"/>
          </w:tcPr>
          <w:p w14:paraId="5F7EDC74"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138" w:type="dxa"/>
            <w:tcBorders>
              <w:top w:val="single" w:sz="8" w:space="0" w:color="auto"/>
              <w:bottom w:val="nil"/>
            </w:tcBorders>
            <w:shd w:val="clear" w:color="auto" w:fill="auto"/>
            <w:noWrap/>
            <w:vAlign w:val="bottom"/>
          </w:tcPr>
          <w:p w14:paraId="20DC474D" w14:textId="77777777" w:rsidR="00A831C8" w:rsidRPr="0074154F" w:rsidRDefault="00A831C8" w:rsidP="00650798">
            <w:pPr>
              <w:tabs>
                <w:tab w:val="decimal" w:pos="1490"/>
              </w:tabs>
              <w:spacing w:after="0" w:line="240" w:lineRule="auto"/>
              <w:rPr>
                <w:rFonts w:ascii="Arial" w:hAnsi="Arial" w:cs="Arial"/>
                <w:color w:val="000000"/>
                <w:sz w:val="20"/>
                <w:szCs w:val="20"/>
              </w:rPr>
            </w:pPr>
          </w:p>
        </w:tc>
      </w:tr>
      <w:tr w:rsidR="00A831C8" w:rsidRPr="0074154F" w14:paraId="72EBC6CF" w14:textId="77777777" w:rsidTr="00710FAD">
        <w:trPr>
          <w:trHeight w:val="283"/>
          <w:jc w:val="right"/>
        </w:trPr>
        <w:tc>
          <w:tcPr>
            <w:tcW w:w="4673" w:type="dxa"/>
            <w:shd w:val="clear" w:color="auto" w:fill="auto"/>
            <w:noWrap/>
            <w:vAlign w:val="bottom"/>
          </w:tcPr>
          <w:p w14:paraId="7672263E" w14:textId="77777777" w:rsidR="00A831C8" w:rsidRPr="0074154F" w:rsidRDefault="00A831C8" w:rsidP="00A831C8">
            <w:pPr>
              <w:spacing w:after="0" w:line="240" w:lineRule="auto"/>
              <w:ind w:left="-75"/>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UTILIDAD ANTES DE IMPUESTO A LA RENTA</w:t>
            </w:r>
          </w:p>
        </w:tc>
        <w:tc>
          <w:tcPr>
            <w:tcW w:w="966" w:type="dxa"/>
            <w:shd w:val="clear" w:color="auto" w:fill="auto"/>
            <w:noWrap/>
            <w:vAlign w:val="bottom"/>
          </w:tcPr>
          <w:p w14:paraId="5FA69801" w14:textId="77777777"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15224B03"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single" w:sz="8" w:space="0" w:color="auto"/>
            </w:tcBorders>
            <w:shd w:val="clear" w:color="auto" w:fill="auto"/>
            <w:noWrap/>
            <w:vAlign w:val="bottom"/>
          </w:tcPr>
          <w:p w14:paraId="4306E442" w14:textId="4F4E9E9F" w:rsidR="00A831C8" w:rsidRPr="0074154F" w:rsidRDefault="003078EE"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50,877,325</w:t>
            </w:r>
          </w:p>
        </w:tc>
        <w:tc>
          <w:tcPr>
            <w:tcW w:w="169" w:type="dxa"/>
            <w:tcBorders>
              <w:top w:val="nil"/>
            </w:tcBorders>
            <w:shd w:val="clear" w:color="auto" w:fill="auto"/>
            <w:noWrap/>
            <w:vAlign w:val="bottom"/>
          </w:tcPr>
          <w:p w14:paraId="7A6F9782"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138" w:type="dxa"/>
            <w:tcBorders>
              <w:top w:val="nil"/>
              <w:bottom w:val="single" w:sz="8" w:space="0" w:color="auto"/>
            </w:tcBorders>
            <w:shd w:val="clear" w:color="auto" w:fill="auto"/>
            <w:noWrap/>
            <w:vAlign w:val="bottom"/>
          </w:tcPr>
          <w:p w14:paraId="261446C5" w14:textId="15E491A4" w:rsidR="00A831C8" w:rsidRPr="0074154F" w:rsidRDefault="003078EE" w:rsidP="00650798">
            <w:pPr>
              <w:tabs>
                <w:tab w:val="decimal" w:pos="1490"/>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34,247,291</w:t>
            </w:r>
          </w:p>
        </w:tc>
      </w:tr>
      <w:tr w:rsidR="00A831C8" w:rsidRPr="0074154F" w14:paraId="410934EE" w14:textId="77777777" w:rsidTr="00710FAD">
        <w:trPr>
          <w:trHeight w:val="283"/>
          <w:jc w:val="right"/>
        </w:trPr>
        <w:tc>
          <w:tcPr>
            <w:tcW w:w="4673" w:type="dxa"/>
            <w:shd w:val="clear" w:color="auto" w:fill="auto"/>
            <w:noWrap/>
            <w:vAlign w:val="bottom"/>
          </w:tcPr>
          <w:p w14:paraId="5A36EBD5" w14:textId="77777777" w:rsidR="00A831C8" w:rsidRPr="0074154F" w:rsidRDefault="00A831C8" w:rsidP="00A831C8">
            <w:pPr>
              <w:spacing w:after="0" w:line="240" w:lineRule="auto"/>
              <w:ind w:left="-75"/>
              <w:rPr>
                <w:rFonts w:ascii="Arial" w:hAnsi="Arial" w:cs="Arial"/>
                <w:color w:val="000000"/>
                <w:sz w:val="20"/>
                <w:szCs w:val="20"/>
              </w:rPr>
            </w:pPr>
          </w:p>
        </w:tc>
        <w:tc>
          <w:tcPr>
            <w:tcW w:w="966" w:type="dxa"/>
            <w:shd w:val="clear" w:color="auto" w:fill="auto"/>
            <w:noWrap/>
            <w:vAlign w:val="bottom"/>
          </w:tcPr>
          <w:p w14:paraId="57C3AC87" w14:textId="77777777"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08BEA3EB"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single" w:sz="8" w:space="0" w:color="auto"/>
              <w:bottom w:val="nil"/>
            </w:tcBorders>
            <w:shd w:val="clear" w:color="auto" w:fill="auto"/>
            <w:noWrap/>
            <w:vAlign w:val="bottom"/>
          </w:tcPr>
          <w:p w14:paraId="14A31EED" w14:textId="77777777" w:rsidR="00A831C8" w:rsidRPr="0074154F" w:rsidRDefault="00A831C8" w:rsidP="00650798">
            <w:pPr>
              <w:tabs>
                <w:tab w:val="decimal" w:pos="1490"/>
              </w:tabs>
              <w:spacing w:after="0" w:line="240" w:lineRule="auto"/>
              <w:rPr>
                <w:rFonts w:ascii="Arial" w:eastAsia="Times New Roman" w:hAnsi="Arial" w:cs="Arial"/>
                <w:color w:val="000000"/>
                <w:sz w:val="20"/>
                <w:szCs w:val="20"/>
                <w:lang w:val="es-MX" w:eastAsia="es-MX"/>
              </w:rPr>
            </w:pPr>
          </w:p>
        </w:tc>
        <w:tc>
          <w:tcPr>
            <w:tcW w:w="169" w:type="dxa"/>
            <w:tcBorders>
              <w:bottom w:val="nil"/>
            </w:tcBorders>
            <w:shd w:val="clear" w:color="auto" w:fill="auto"/>
            <w:noWrap/>
            <w:vAlign w:val="bottom"/>
          </w:tcPr>
          <w:p w14:paraId="50E6388C"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138" w:type="dxa"/>
            <w:tcBorders>
              <w:top w:val="single" w:sz="8" w:space="0" w:color="auto"/>
              <w:bottom w:val="nil"/>
            </w:tcBorders>
            <w:shd w:val="clear" w:color="auto" w:fill="auto"/>
            <w:noWrap/>
            <w:vAlign w:val="bottom"/>
          </w:tcPr>
          <w:p w14:paraId="2B143385" w14:textId="77777777" w:rsidR="00A831C8" w:rsidRPr="0074154F" w:rsidRDefault="00A831C8" w:rsidP="00650798">
            <w:pPr>
              <w:tabs>
                <w:tab w:val="decimal" w:pos="1490"/>
              </w:tabs>
              <w:spacing w:after="0" w:line="240" w:lineRule="auto"/>
              <w:rPr>
                <w:rFonts w:ascii="Arial" w:eastAsia="Times New Roman" w:hAnsi="Arial" w:cs="Arial"/>
                <w:color w:val="000000"/>
                <w:sz w:val="20"/>
                <w:szCs w:val="20"/>
                <w:lang w:val="es-MX" w:eastAsia="es-MX"/>
              </w:rPr>
            </w:pPr>
          </w:p>
        </w:tc>
      </w:tr>
      <w:tr w:rsidR="00A831C8" w:rsidRPr="0074154F" w14:paraId="1D2188FD" w14:textId="77777777" w:rsidTr="00710FAD">
        <w:trPr>
          <w:trHeight w:val="283"/>
          <w:jc w:val="right"/>
        </w:trPr>
        <w:tc>
          <w:tcPr>
            <w:tcW w:w="4673" w:type="dxa"/>
            <w:shd w:val="clear" w:color="auto" w:fill="auto"/>
            <w:noWrap/>
            <w:vAlign w:val="bottom"/>
          </w:tcPr>
          <w:p w14:paraId="2381042F" w14:textId="5732CA09" w:rsidR="00A831C8" w:rsidRPr="0074154F" w:rsidRDefault="00A831C8" w:rsidP="00A831C8">
            <w:pPr>
              <w:spacing w:after="0" w:line="240" w:lineRule="auto"/>
              <w:ind w:left="-75"/>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Menos gasto de impuesto a la renta</w:t>
            </w:r>
            <w:r w:rsidR="00F9784C">
              <w:rPr>
                <w:rFonts w:ascii="Arial" w:eastAsia="Times New Roman" w:hAnsi="Arial" w:cs="Arial"/>
                <w:color w:val="000000"/>
                <w:sz w:val="20"/>
                <w:szCs w:val="20"/>
                <w:lang w:eastAsia="es-EC"/>
              </w:rPr>
              <w:t>:</w:t>
            </w:r>
          </w:p>
        </w:tc>
        <w:tc>
          <w:tcPr>
            <w:tcW w:w="966" w:type="dxa"/>
            <w:shd w:val="clear" w:color="auto" w:fill="auto"/>
            <w:noWrap/>
            <w:vAlign w:val="bottom"/>
          </w:tcPr>
          <w:p w14:paraId="7FB8CF3D" w14:textId="4645E01E" w:rsidR="00A831C8" w:rsidRPr="0074154F" w:rsidRDefault="00710FAD" w:rsidP="00A831C8">
            <w:pPr>
              <w:spacing w:after="0" w:line="240" w:lineRule="auto"/>
              <w:jc w:val="center"/>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19</w:t>
            </w:r>
          </w:p>
        </w:tc>
        <w:tc>
          <w:tcPr>
            <w:tcW w:w="146" w:type="dxa"/>
            <w:shd w:val="clear" w:color="auto" w:fill="auto"/>
            <w:vAlign w:val="bottom"/>
          </w:tcPr>
          <w:p w14:paraId="6FF359FB"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bottom w:val="nil"/>
            </w:tcBorders>
            <w:shd w:val="clear" w:color="auto" w:fill="auto"/>
            <w:noWrap/>
            <w:vAlign w:val="bottom"/>
          </w:tcPr>
          <w:p w14:paraId="65CFF814" w14:textId="5306CB98" w:rsidR="00A831C8" w:rsidRPr="0074154F" w:rsidRDefault="00A831C8" w:rsidP="00650798">
            <w:pPr>
              <w:tabs>
                <w:tab w:val="decimal" w:pos="1490"/>
              </w:tabs>
              <w:spacing w:after="0" w:line="240" w:lineRule="auto"/>
              <w:ind w:right="-13"/>
              <w:rPr>
                <w:rFonts w:ascii="Arial" w:eastAsia="Times New Roman" w:hAnsi="Arial" w:cs="Arial"/>
                <w:sz w:val="20"/>
                <w:szCs w:val="20"/>
                <w:lang w:val="es-MX" w:eastAsia="es-MX"/>
              </w:rPr>
            </w:pPr>
          </w:p>
        </w:tc>
        <w:tc>
          <w:tcPr>
            <w:tcW w:w="169" w:type="dxa"/>
            <w:tcBorders>
              <w:bottom w:val="nil"/>
            </w:tcBorders>
            <w:shd w:val="clear" w:color="auto" w:fill="auto"/>
            <w:noWrap/>
            <w:vAlign w:val="bottom"/>
          </w:tcPr>
          <w:p w14:paraId="766D07E1" w14:textId="77777777" w:rsidR="00A831C8" w:rsidRPr="0074154F" w:rsidRDefault="00A831C8" w:rsidP="00A831C8">
            <w:pPr>
              <w:spacing w:after="0" w:line="240" w:lineRule="auto"/>
              <w:rPr>
                <w:rFonts w:ascii="Arial" w:eastAsia="Times New Roman" w:hAnsi="Arial" w:cs="Arial"/>
                <w:color w:val="000000"/>
                <w:sz w:val="20"/>
                <w:szCs w:val="20"/>
                <w:u w:val="single"/>
                <w:lang w:val="es-MX" w:eastAsia="es-MX"/>
              </w:rPr>
            </w:pPr>
          </w:p>
        </w:tc>
        <w:tc>
          <w:tcPr>
            <w:tcW w:w="1138" w:type="dxa"/>
            <w:tcBorders>
              <w:bottom w:val="nil"/>
            </w:tcBorders>
            <w:shd w:val="clear" w:color="auto" w:fill="auto"/>
            <w:noWrap/>
            <w:vAlign w:val="bottom"/>
          </w:tcPr>
          <w:p w14:paraId="4FD4432A" w14:textId="6ADD9E17" w:rsidR="00A831C8" w:rsidRPr="0074154F" w:rsidRDefault="00A831C8" w:rsidP="00650798">
            <w:pPr>
              <w:tabs>
                <w:tab w:val="decimal" w:pos="1490"/>
              </w:tabs>
              <w:spacing w:after="0" w:line="240" w:lineRule="auto"/>
              <w:rPr>
                <w:rFonts w:ascii="Arial" w:eastAsia="Times New Roman" w:hAnsi="Arial" w:cs="Arial"/>
                <w:sz w:val="20"/>
                <w:szCs w:val="20"/>
                <w:lang w:val="es-MX" w:eastAsia="es-MX"/>
              </w:rPr>
            </w:pPr>
          </w:p>
        </w:tc>
      </w:tr>
      <w:tr w:rsidR="00106E29" w:rsidRPr="0074154F" w14:paraId="6F9F7666" w14:textId="77777777" w:rsidTr="00710FAD">
        <w:trPr>
          <w:trHeight w:val="283"/>
          <w:jc w:val="right"/>
        </w:trPr>
        <w:tc>
          <w:tcPr>
            <w:tcW w:w="4673" w:type="dxa"/>
            <w:shd w:val="clear" w:color="auto" w:fill="auto"/>
            <w:noWrap/>
            <w:vAlign w:val="bottom"/>
          </w:tcPr>
          <w:p w14:paraId="2D1C8C54" w14:textId="490147A3" w:rsidR="00106E29" w:rsidRPr="0074154F" w:rsidRDefault="00106E29" w:rsidP="00A831C8">
            <w:pPr>
              <w:spacing w:after="0" w:line="240" w:lineRule="auto"/>
              <w:ind w:left="-75"/>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Corriente</w:t>
            </w:r>
          </w:p>
        </w:tc>
        <w:tc>
          <w:tcPr>
            <w:tcW w:w="966" w:type="dxa"/>
            <w:shd w:val="clear" w:color="auto" w:fill="auto"/>
            <w:noWrap/>
            <w:vAlign w:val="bottom"/>
          </w:tcPr>
          <w:p w14:paraId="3B404AA2" w14:textId="77777777" w:rsidR="00106E29" w:rsidRPr="0074154F" w:rsidRDefault="00106E29"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2C7BF3B5" w14:textId="77777777" w:rsidR="00106E29" w:rsidRPr="0074154F" w:rsidRDefault="00106E29" w:rsidP="00A831C8">
            <w:pPr>
              <w:spacing w:after="0" w:line="240" w:lineRule="auto"/>
              <w:rPr>
                <w:rFonts w:ascii="Arial" w:eastAsia="Times New Roman" w:hAnsi="Arial" w:cs="Arial"/>
                <w:sz w:val="20"/>
                <w:szCs w:val="20"/>
                <w:lang w:val="es-MX" w:eastAsia="es-MX"/>
              </w:rPr>
            </w:pPr>
          </w:p>
        </w:tc>
        <w:tc>
          <w:tcPr>
            <w:tcW w:w="1697" w:type="dxa"/>
            <w:tcBorders>
              <w:bottom w:val="nil"/>
            </w:tcBorders>
            <w:shd w:val="clear" w:color="auto" w:fill="auto"/>
            <w:noWrap/>
            <w:vAlign w:val="bottom"/>
          </w:tcPr>
          <w:p w14:paraId="2A412BD7" w14:textId="34B206F4" w:rsidR="00106E29" w:rsidRDefault="00106E29"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13,249,304</w:t>
            </w:r>
          </w:p>
        </w:tc>
        <w:tc>
          <w:tcPr>
            <w:tcW w:w="169" w:type="dxa"/>
            <w:tcBorders>
              <w:bottom w:val="nil"/>
            </w:tcBorders>
            <w:shd w:val="clear" w:color="auto" w:fill="auto"/>
            <w:noWrap/>
            <w:vAlign w:val="bottom"/>
          </w:tcPr>
          <w:p w14:paraId="213B9CB7" w14:textId="77777777" w:rsidR="00106E29" w:rsidRPr="0074154F" w:rsidRDefault="00106E29" w:rsidP="00A831C8">
            <w:pPr>
              <w:spacing w:after="0" w:line="240" w:lineRule="auto"/>
              <w:rPr>
                <w:rFonts w:ascii="Arial" w:eastAsia="Times New Roman" w:hAnsi="Arial" w:cs="Arial"/>
                <w:color w:val="000000"/>
                <w:sz w:val="20"/>
                <w:szCs w:val="20"/>
                <w:u w:val="single"/>
                <w:lang w:val="es-MX" w:eastAsia="es-MX"/>
              </w:rPr>
            </w:pPr>
          </w:p>
        </w:tc>
        <w:tc>
          <w:tcPr>
            <w:tcW w:w="1138" w:type="dxa"/>
            <w:tcBorders>
              <w:bottom w:val="nil"/>
            </w:tcBorders>
            <w:shd w:val="clear" w:color="auto" w:fill="auto"/>
            <w:noWrap/>
            <w:vAlign w:val="bottom"/>
          </w:tcPr>
          <w:p w14:paraId="06F7E882" w14:textId="08D1B675" w:rsidR="00106E29" w:rsidRDefault="00106E29"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9,817,637</w:t>
            </w:r>
          </w:p>
        </w:tc>
      </w:tr>
      <w:tr w:rsidR="00106E29" w:rsidRPr="0074154F" w14:paraId="4C95C804" w14:textId="77777777" w:rsidTr="00710FAD">
        <w:trPr>
          <w:trHeight w:val="283"/>
          <w:jc w:val="right"/>
        </w:trPr>
        <w:tc>
          <w:tcPr>
            <w:tcW w:w="4673" w:type="dxa"/>
            <w:shd w:val="clear" w:color="auto" w:fill="auto"/>
            <w:noWrap/>
            <w:vAlign w:val="bottom"/>
          </w:tcPr>
          <w:p w14:paraId="26AA9C91" w14:textId="3E6F7F29" w:rsidR="00106E29" w:rsidRPr="0074154F" w:rsidRDefault="00106E29" w:rsidP="00A831C8">
            <w:pPr>
              <w:spacing w:after="0" w:line="240" w:lineRule="auto"/>
              <w:ind w:left="-75"/>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Diferido</w:t>
            </w:r>
          </w:p>
        </w:tc>
        <w:tc>
          <w:tcPr>
            <w:tcW w:w="966" w:type="dxa"/>
            <w:shd w:val="clear" w:color="auto" w:fill="auto"/>
            <w:noWrap/>
            <w:vAlign w:val="bottom"/>
          </w:tcPr>
          <w:p w14:paraId="7A453E44" w14:textId="77777777" w:rsidR="00106E29" w:rsidRPr="0074154F" w:rsidRDefault="00106E29"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4D729D81" w14:textId="77777777" w:rsidR="00106E29" w:rsidRPr="0074154F" w:rsidRDefault="00106E29" w:rsidP="00A831C8">
            <w:pPr>
              <w:spacing w:after="0" w:line="240" w:lineRule="auto"/>
              <w:rPr>
                <w:rFonts w:ascii="Arial" w:eastAsia="Times New Roman" w:hAnsi="Arial" w:cs="Arial"/>
                <w:sz w:val="20"/>
                <w:szCs w:val="20"/>
                <w:lang w:val="es-MX" w:eastAsia="es-MX"/>
              </w:rPr>
            </w:pPr>
          </w:p>
        </w:tc>
        <w:tc>
          <w:tcPr>
            <w:tcW w:w="1697" w:type="dxa"/>
            <w:tcBorders>
              <w:bottom w:val="single" w:sz="6" w:space="0" w:color="auto"/>
            </w:tcBorders>
            <w:shd w:val="clear" w:color="auto" w:fill="auto"/>
            <w:noWrap/>
            <w:vAlign w:val="bottom"/>
          </w:tcPr>
          <w:p w14:paraId="41113FCB" w14:textId="15F6E6A6" w:rsidR="00106E29" w:rsidRDefault="00106E29"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1,427,390</w:t>
            </w:r>
          </w:p>
        </w:tc>
        <w:tc>
          <w:tcPr>
            <w:tcW w:w="169" w:type="dxa"/>
            <w:tcBorders>
              <w:bottom w:val="nil"/>
            </w:tcBorders>
            <w:shd w:val="clear" w:color="auto" w:fill="auto"/>
            <w:noWrap/>
            <w:vAlign w:val="bottom"/>
          </w:tcPr>
          <w:p w14:paraId="4DC93818" w14:textId="77777777" w:rsidR="00106E29" w:rsidRPr="0074154F" w:rsidRDefault="00106E29" w:rsidP="00A831C8">
            <w:pPr>
              <w:spacing w:after="0" w:line="240" w:lineRule="auto"/>
              <w:rPr>
                <w:rFonts w:ascii="Arial" w:eastAsia="Times New Roman" w:hAnsi="Arial" w:cs="Arial"/>
                <w:color w:val="000000"/>
                <w:sz w:val="20"/>
                <w:szCs w:val="20"/>
                <w:u w:val="single"/>
                <w:lang w:val="es-MX" w:eastAsia="es-MX"/>
              </w:rPr>
            </w:pPr>
          </w:p>
        </w:tc>
        <w:tc>
          <w:tcPr>
            <w:tcW w:w="1138" w:type="dxa"/>
            <w:tcBorders>
              <w:bottom w:val="single" w:sz="6" w:space="0" w:color="auto"/>
            </w:tcBorders>
            <w:shd w:val="clear" w:color="auto" w:fill="auto"/>
            <w:noWrap/>
            <w:vAlign w:val="bottom"/>
          </w:tcPr>
          <w:p w14:paraId="3B79D965" w14:textId="42888145" w:rsidR="00106E29" w:rsidRDefault="00106E29"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(358,270)</w:t>
            </w:r>
          </w:p>
        </w:tc>
      </w:tr>
      <w:tr w:rsidR="00106E29" w:rsidRPr="0074154F" w14:paraId="297FC4D6" w14:textId="77777777" w:rsidTr="00710FAD">
        <w:trPr>
          <w:trHeight w:val="283"/>
          <w:jc w:val="right"/>
        </w:trPr>
        <w:tc>
          <w:tcPr>
            <w:tcW w:w="4673" w:type="dxa"/>
            <w:shd w:val="clear" w:color="auto" w:fill="auto"/>
            <w:noWrap/>
            <w:vAlign w:val="bottom"/>
          </w:tcPr>
          <w:p w14:paraId="73AFE2ED" w14:textId="76164247" w:rsidR="00106E29" w:rsidRDefault="00106E29" w:rsidP="00A831C8">
            <w:pPr>
              <w:spacing w:after="0" w:line="240" w:lineRule="auto"/>
              <w:ind w:left="-75"/>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Total</w:t>
            </w:r>
          </w:p>
        </w:tc>
        <w:tc>
          <w:tcPr>
            <w:tcW w:w="966" w:type="dxa"/>
            <w:shd w:val="clear" w:color="auto" w:fill="auto"/>
            <w:noWrap/>
            <w:vAlign w:val="bottom"/>
          </w:tcPr>
          <w:p w14:paraId="3DA1A532" w14:textId="77777777" w:rsidR="00106E29" w:rsidRPr="0074154F" w:rsidRDefault="00106E29"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7D4B35D1" w14:textId="77777777" w:rsidR="00106E29" w:rsidRPr="0074154F" w:rsidRDefault="00106E29" w:rsidP="00A831C8">
            <w:pPr>
              <w:spacing w:after="0" w:line="240" w:lineRule="auto"/>
              <w:rPr>
                <w:rFonts w:ascii="Arial" w:eastAsia="Times New Roman" w:hAnsi="Arial" w:cs="Arial"/>
                <w:sz w:val="20"/>
                <w:szCs w:val="20"/>
                <w:lang w:val="es-MX" w:eastAsia="es-MX"/>
              </w:rPr>
            </w:pPr>
          </w:p>
        </w:tc>
        <w:tc>
          <w:tcPr>
            <w:tcW w:w="1697" w:type="dxa"/>
            <w:tcBorders>
              <w:top w:val="single" w:sz="6" w:space="0" w:color="auto"/>
              <w:bottom w:val="nil"/>
            </w:tcBorders>
            <w:shd w:val="clear" w:color="auto" w:fill="auto"/>
            <w:noWrap/>
            <w:vAlign w:val="bottom"/>
          </w:tcPr>
          <w:p w14:paraId="495C9E24" w14:textId="5F08793B" w:rsidR="00106E29" w:rsidRDefault="00106E29"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11,821,914</w:t>
            </w:r>
          </w:p>
        </w:tc>
        <w:tc>
          <w:tcPr>
            <w:tcW w:w="169" w:type="dxa"/>
            <w:tcBorders>
              <w:top w:val="nil"/>
              <w:bottom w:val="nil"/>
            </w:tcBorders>
            <w:shd w:val="clear" w:color="auto" w:fill="auto"/>
            <w:noWrap/>
            <w:vAlign w:val="bottom"/>
          </w:tcPr>
          <w:p w14:paraId="012BB7CE" w14:textId="77777777" w:rsidR="00106E29" w:rsidRPr="0074154F" w:rsidRDefault="00106E29" w:rsidP="00A831C8">
            <w:pPr>
              <w:spacing w:after="0" w:line="240" w:lineRule="auto"/>
              <w:rPr>
                <w:rFonts w:ascii="Arial" w:eastAsia="Times New Roman" w:hAnsi="Arial" w:cs="Arial"/>
                <w:color w:val="000000"/>
                <w:sz w:val="20"/>
                <w:szCs w:val="20"/>
                <w:u w:val="single"/>
                <w:lang w:val="es-MX" w:eastAsia="es-MX"/>
              </w:rPr>
            </w:pPr>
          </w:p>
        </w:tc>
        <w:tc>
          <w:tcPr>
            <w:tcW w:w="1138" w:type="dxa"/>
            <w:tcBorders>
              <w:top w:val="single" w:sz="6" w:space="0" w:color="auto"/>
              <w:bottom w:val="nil"/>
            </w:tcBorders>
            <w:shd w:val="clear" w:color="auto" w:fill="auto"/>
            <w:noWrap/>
            <w:vAlign w:val="bottom"/>
          </w:tcPr>
          <w:p w14:paraId="0536FC75" w14:textId="5C0358AA" w:rsidR="00106E29" w:rsidRDefault="00106E29" w:rsidP="00650798">
            <w:pPr>
              <w:tabs>
                <w:tab w:val="decimal" w:pos="1490"/>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9,459,367</w:t>
            </w:r>
          </w:p>
        </w:tc>
      </w:tr>
      <w:tr w:rsidR="00A831C8" w:rsidRPr="0074154F" w14:paraId="4AFADA0C" w14:textId="77777777" w:rsidTr="00710FAD">
        <w:trPr>
          <w:trHeight w:val="283"/>
          <w:jc w:val="right"/>
        </w:trPr>
        <w:tc>
          <w:tcPr>
            <w:tcW w:w="4673" w:type="dxa"/>
            <w:shd w:val="clear" w:color="auto" w:fill="auto"/>
            <w:noWrap/>
            <w:vAlign w:val="bottom"/>
          </w:tcPr>
          <w:p w14:paraId="20CD278F" w14:textId="77777777" w:rsidR="00A831C8" w:rsidRPr="0074154F" w:rsidRDefault="00A831C8" w:rsidP="00A831C8">
            <w:pPr>
              <w:spacing w:after="0" w:line="240" w:lineRule="auto"/>
              <w:ind w:left="-75"/>
              <w:rPr>
                <w:rFonts w:ascii="Arial" w:hAnsi="Arial" w:cs="Arial"/>
                <w:color w:val="000000"/>
                <w:sz w:val="20"/>
                <w:szCs w:val="20"/>
              </w:rPr>
            </w:pPr>
          </w:p>
        </w:tc>
        <w:tc>
          <w:tcPr>
            <w:tcW w:w="966" w:type="dxa"/>
            <w:shd w:val="clear" w:color="auto" w:fill="auto"/>
            <w:noWrap/>
            <w:vAlign w:val="bottom"/>
          </w:tcPr>
          <w:p w14:paraId="5958AB79" w14:textId="77777777" w:rsidR="00A831C8" w:rsidRPr="0074154F" w:rsidRDefault="00A831C8" w:rsidP="00A831C8">
            <w:pPr>
              <w:spacing w:after="0" w:line="240" w:lineRule="auto"/>
              <w:jc w:val="center"/>
              <w:rPr>
                <w:rFonts w:ascii="Arial" w:eastAsia="Times New Roman" w:hAnsi="Arial" w:cs="Arial"/>
                <w:color w:val="000000"/>
                <w:sz w:val="20"/>
                <w:szCs w:val="20"/>
                <w:lang w:val="es-MX" w:eastAsia="es-MX"/>
              </w:rPr>
            </w:pPr>
          </w:p>
        </w:tc>
        <w:tc>
          <w:tcPr>
            <w:tcW w:w="146" w:type="dxa"/>
            <w:shd w:val="clear" w:color="auto" w:fill="auto"/>
            <w:vAlign w:val="bottom"/>
          </w:tcPr>
          <w:p w14:paraId="39B7237D"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single" w:sz="8" w:space="0" w:color="auto"/>
              <w:bottom w:val="nil"/>
            </w:tcBorders>
            <w:shd w:val="clear" w:color="auto" w:fill="auto"/>
            <w:noWrap/>
            <w:vAlign w:val="bottom"/>
          </w:tcPr>
          <w:p w14:paraId="41D946C8" w14:textId="77777777" w:rsidR="00A831C8" w:rsidRPr="0074154F" w:rsidRDefault="00A831C8" w:rsidP="00A831C8">
            <w:pPr>
              <w:tabs>
                <w:tab w:val="decimal" w:pos="1276"/>
              </w:tabs>
              <w:spacing w:after="0" w:line="240" w:lineRule="auto"/>
              <w:rPr>
                <w:rFonts w:ascii="Arial" w:hAnsi="Arial" w:cs="Arial"/>
                <w:color w:val="000000"/>
                <w:sz w:val="20"/>
                <w:szCs w:val="20"/>
              </w:rPr>
            </w:pPr>
          </w:p>
        </w:tc>
        <w:tc>
          <w:tcPr>
            <w:tcW w:w="169" w:type="dxa"/>
            <w:tcBorders>
              <w:top w:val="nil"/>
            </w:tcBorders>
            <w:shd w:val="clear" w:color="auto" w:fill="auto"/>
            <w:noWrap/>
            <w:vAlign w:val="bottom"/>
          </w:tcPr>
          <w:p w14:paraId="477D2E5D" w14:textId="77777777" w:rsidR="00A831C8" w:rsidRPr="0074154F" w:rsidRDefault="00A831C8" w:rsidP="00A831C8">
            <w:pPr>
              <w:spacing w:after="0" w:line="240" w:lineRule="auto"/>
              <w:rPr>
                <w:rFonts w:ascii="Arial" w:eastAsia="Times New Roman" w:hAnsi="Arial" w:cs="Arial"/>
                <w:color w:val="000000"/>
                <w:sz w:val="20"/>
                <w:szCs w:val="20"/>
                <w:lang w:val="es-MX" w:eastAsia="es-MX"/>
              </w:rPr>
            </w:pPr>
          </w:p>
        </w:tc>
        <w:tc>
          <w:tcPr>
            <w:tcW w:w="1138" w:type="dxa"/>
            <w:tcBorders>
              <w:top w:val="single" w:sz="8" w:space="0" w:color="auto"/>
              <w:bottom w:val="nil"/>
            </w:tcBorders>
            <w:shd w:val="clear" w:color="auto" w:fill="auto"/>
            <w:noWrap/>
            <w:vAlign w:val="bottom"/>
          </w:tcPr>
          <w:p w14:paraId="2868791B" w14:textId="77777777" w:rsidR="00A831C8" w:rsidRPr="0074154F" w:rsidRDefault="00A831C8" w:rsidP="00A831C8">
            <w:pPr>
              <w:tabs>
                <w:tab w:val="decimal" w:pos="1276"/>
              </w:tabs>
              <w:spacing w:after="0" w:line="240" w:lineRule="auto"/>
              <w:rPr>
                <w:rFonts w:ascii="Arial" w:hAnsi="Arial" w:cs="Arial"/>
                <w:color w:val="000000"/>
                <w:sz w:val="20"/>
                <w:szCs w:val="20"/>
              </w:rPr>
            </w:pPr>
          </w:p>
        </w:tc>
      </w:tr>
      <w:tr w:rsidR="00A831C8" w:rsidRPr="0074154F" w14:paraId="191C0850" w14:textId="77777777" w:rsidTr="00710FAD">
        <w:trPr>
          <w:trHeight w:val="283"/>
          <w:jc w:val="right"/>
        </w:trPr>
        <w:tc>
          <w:tcPr>
            <w:tcW w:w="4673" w:type="dxa"/>
            <w:shd w:val="clear" w:color="auto" w:fill="auto"/>
            <w:noWrap/>
            <w:vAlign w:val="bottom"/>
          </w:tcPr>
          <w:p w14:paraId="148BE504" w14:textId="77777777" w:rsidR="00A831C8" w:rsidRPr="0074154F" w:rsidRDefault="00A831C8" w:rsidP="00A831C8">
            <w:pPr>
              <w:spacing w:after="0" w:line="240" w:lineRule="auto"/>
              <w:ind w:left="-75"/>
              <w:rPr>
                <w:rFonts w:ascii="Arial" w:hAnsi="Arial" w:cs="Arial"/>
                <w:color w:val="000000"/>
                <w:sz w:val="20"/>
                <w:szCs w:val="20"/>
              </w:rPr>
            </w:pPr>
            <w:r w:rsidRPr="0074154F">
              <w:rPr>
                <w:rFonts w:ascii="Arial" w:hAnsi="Arial" w:cs="Arial"/>
                <w:sz w:val="20"/>
                <w:szCs w:val="20"/>
              </w:rPr>
              <w:t>UTILIDAD DEL AÑO</w:t>
            </w:r>
          </w:p>
        </w:tc>
        <w:tc>
          <w:tcPr>
            <w:tcW w:w="966" w:type="dxa"/>
            <w:shd w:val="clear" w:color="auto" w:fill="auto"/>
            <w:noWrap/>
            <w:vAlign w:val="bottom"/>
          </w:tcPr>
          <w:p w14:paraId="2C54AF39"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shd w:val="clear" w:color="auto" w:fill="auto"/>
            <w:vAlign w:val="bottom"/>
          </w:tcPr>
          <w:p w14:paraId="47D2DF45"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7FCC316E" w14:textId="58B9FDDF" w:rsidR="00A831C8" w:rsidRPr="0074154F" w:rsidRDefault="003078EE"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39,055,411</w:t>
            </w:r>
          </w:p>
        </w:tc>
        <w:tc>
          <w:tcPr>
            <w:tcW w:w="169" w:type="dxa"/>
            <w:shd w:val="clear" w:color="auto" w:fill="auto"/>
            <w:noWrap/>
            <w:vAlign w:val="bottom"/>
          </w:tcPr>
          <w:p w14:paraId="57914138"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shd w:val="clear" w:color="auto" w:fill="auto"/>
            <w:noWrap/>
            <w:vAlign w:val="bottom"/>
          </w:tcPr>
          <w:p w14:paraId="7A7FEFB6" w14:textId="0EF567B8" w:rsidR="00A831C8" w:rsidRPr="0074154F" w:rsidRDefault="00190769" w:rsidP="00650798">
            <w:pPr>
              <w:tabs>
                <w:tab w:val="decimal" w:pos="1421"/>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24,071,384</w:t>
            </w:r>
          </w:p>
        </w:tc>
      </w:tr>
      <w:tr w:rsidR="00A831C8" w:rsidRPr="0074154F" w14:paraId="059AA267" w14:textId="77777777" w:rsidTr="00710FAD">
        <w:trPr>
          <w:trHeight w:val="283"/>
          <w:jc w:val="right"/>
        </w:trPr>
        <w:tc>
          <w:tcPr>
            <w:tcW w:w="4673" w:type="dxa"/>
            <w:tcBorders>
              <w:bottom w:val="nil"/>
            </w:tcBorders>
            <w:shd w:val="clear" w:color="auto" w:fill="auto"/>
            <w:noWrap/>
            <w:vAlign w:val="bottom"/>
          </w:tcPr>
          <w:p w14:paraId="468011F0" w14:textId="77777777" w:rsidR="00A831C8" w:rsidRPr="0074154F" w:rsidRDefault="00A831C8" w:rsidP="00A831C8">
            <w:pPr>
              <w:spacing w:after="0" w:line="240" w:lineRule="auto"/>
              <w:ind w:left="-75"/>
              <w:rPr>
                <w:rFonts w:ascii="Arial" w:hAnsi="Arial" w:cs="Arial"/>
                <w:sz w:val="20"/>
                <w:szCs w:val="20"/>
              </w:rPr>
            </w:pPr>
          </w:p>
        </w:tc>
        <w:tc>
          <w:tcPr>
            <w:tcW w:w="966" w:type="dxa"/>
            <w:tcBorders>
              <w:bottom w:val="nil"/>
            </w:tcBorders>
            <w:shd w:val="clear" w:color="auto" w:fill="auto"/>
            <w:noWrap/>
            <w:vAlign w:val="bottom"/>
          </w:tcPr>
          <w:p w14:paraId="4E40E2DD"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tcBorders>
              <w:bottom w:val="nil"/>
            </w:tcBorders>
            <w:shd w:val="clear" w:color="auto" w:fill="auto"/>
            <w:vAlign w:val="bottom"/>
          </w:tcPr>
          <w:p w14:paraId="2A4C2349"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45F269AE" w14:textId="77777777" w:rsidR="00A831C8" w:rsidRPr="0074154F" w:rsidRDefault="00A831C8" w:rsidP="00650798">
            <w:pPr>
              <w:tabs>
                <w:tab w:val="decimal" w:pos="1490"/>
              </w:tabs>
              <w:spacing w:after="0" w:line="240" w:lineRule="auto"/>
              <w:ind w:right="-13"/>
              <w:rPr>
                <w:rFonts w:ascii="Arial" w:eastAsia="Times New Roman" w:hAnsi="Arial" w:cs="Arial"/>
                <w:sz w:val="20"/>
                <w:szCs w:val="20"/>
                <w:lang w:val="es-MX" w:eastAsia="es-MX"/>
              </w:rPr>
            </w:pPr>
          </w:p>
        </w:tc>
        <w:tc>
          <w:tcPr>
            <w:tcW w:w="169" w:type="dxa"/>
            <w:tcBorders>
              <w:bottom w:val="nil"/>
            </w:tcBorders>
            <w:shd w:val="clear" w:color="auto" w:fill="auto"/>
            <w:noWrap/>
            <w:vAlign w:val="bottom"/>
          </w:tcPr>
          <w:p w14:paraId="7FCD20F5"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bottom w:val="nil"/>
            </w:tcBorders>
            <w:shd w:val="clear" w:color="auto" w:fill="auto"/>
            <w:noWrap/>
            <w:vAlign w:val="bottom"/>
          </w:tcPr>
          <w:p w14:paraId="7B7654A8" w14:textId="77777777" w:rsidR="00A831C8" w:rsidRPr="0074154F" w:rsidRDefault="00A831C8" w:rsidP="00650798">
            <w:pPr>
              <w:tabs>
                <w:tab w:val="decimal" w:pos="1421"/>
              </w:tabs>
              <w:spacing w:after="0" w:line="240" w:lineRule="auto"/>
              <w:rPr>
                <w:rFonts w:ascii="Arial" w:eastAsia="Times New Roman" w:hAnsi="Arial" w:cs="Arial"/>
                <w:sz w:val="20"/>
                <w:szCs w:val="20"/>
                <w:lang w:val="es-MX" w:eastAsia="es-MX"/>
              </w:rPr>
            </w:pPr>
          </w:p>
        </w:tc>
      </w:tr>
      <w:tr w:rsidR="00A831C8" w:rsidRPr="0074154F" w14:paraId="68E2C4FA" w14:textId="77777777" w:rsidTr="00710FAD">
        <w:trPr>
          <w:trHeight w:val="283"/>
          <w:jc w:val="right"/>
        </w:trPr>
        <w:tc>
          <w:tcPr>
            <w:tcW w:w="4673" w:type="dxa"/>
            <w:tcBorders>
              <w:bottom w:val="nil"/>
            </w:tcBorders>
            <w:shd w:val="clear" w:color="auto" w:fill="auto"/>
            <w:noWrap/>
            <w:vAlign w:val="bottom"/>
          </w:tcPr>
          <w:p w14:paraId="3A0C0FD7" w14:textId="48374429" w:rsidR="00A831C8" w:rsidRPr="0074154F" w:rsidRDefault="00A831C8" w:rsidP="00A831C8">
            <w:pPr>
              <w:spacing w:after="0" w:line="240" w:lineRule="auto"/>
              <w:ind w:left="-75"/>
              <w:rPr>
                <w:rFonts w:ascii="Arial" w:hAnsi="Arial" w:cs="Arial"/>
                <w:sz w:val="20"/>
                <w:szCs w:val="20"/>
              </w:rPr>
            </w:pPr>
            <w:r w:rsidRPr="0074154F">
              <w:rPr>
                <w:rFonts w:ascii="Arial" w:hAnsi="Arial" w:cs="Arial"/>
                <w:sz w:val="20"/>
                <w:szCs w:val="20"/>
              </w:rPr>
              <w:t>OTRO RESULTADO INTEGRAL:</w:t>
            </w:r>
          </w:p>
        </w:tc>
        <w:tc>
          <w:tcPr>
            <w:tcW w:w="966" w:type="dxa"/>
            <w:tcBorders>
              <w:bottom w:val="nil"/>
            </w:tcBorders>
            <w:shd w:val="clear" w:color="auto" w:fill="auto"/>
            <w:noWrap/>
            <w:vAlign w:val="bottom"/>
          </w:tcPr>
          <w:p w14:paraId="57562170"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tcBorders>
              <w:bottom w:val="nil"/>
            </w:tcBorders>
            <w:shd w:val="clear" w:color="auto" w:fill="auto"/>
            <w:vAlign w:val="bottom"/>
          </w:tcPr>
          <w:p w14:paraId="1E4DA812"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243580F9" w14:textId="77777777" w:rsidR="00A831C8" w:rsidRPr="0074154F" w:rsidRDefault="00A831C8" w:rsidP="00650798">
            <w:pPr>
              <w:tabs>
                <w:tab w:val="decimal" w:pos="1490"/>
              </w:tabs>
              <w:spacing w:after="0" w:line="240" w:lineRule="auto"/>
              <w:ind w:right="-13"/>
              <w:rPr>
                <w:rFonts w:ascii="Arial" w:eastAsia="Times New Roman" w:hAnsi="Arial" w:cs="Arial"/>
                <w:sz w:val="20"/>
                <w:szCs w:val="20"/>
                <w:lang w:val="es-MX" w:eastAsia="es-MX"/>
              </w:rPr>
            </w:pPr>
          </w:p>
        </w:tc>
        <w:tc>
          <w:tcPr>
            <w:tcW w:w="169" w:type="dxa"/>
            <w:tcBorders>
              <w:bottom w:val="nil"/>
            </w:tcBorders>
            <w:shd w:val="clear" w:color="auto" w:fill="auto"/>
            <w:noWrap/>
            <w:vAlign w:val="bottom"/>
          </w:tcPr>
          <w:p w14:paraId="33A1A068"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bottom w:val="nil"/>
            </w:tcBorders>
            <w:shd w:val="clear" w:color="auto" w:fill="auto"/>
            <w:noWrap/>
            <w:vAlign w:val="bottom"/>
          </w:tcPr>
          <w:p w14:paraId="5A93885A" w14:textId="77777777" w:rsidR="00A831C8" w:rsidRPr="0074154F" w:rsidRDefault="00A831C8" w:rsidP="00650798">
            <w:pPr>
              <w:tabs>
                <w:tab w:val="decimal" w:pos="1421"/>
              </w:tabs>
              <w:spacing w:after="0" w:line="240" w:lineRule="auto"/>
              <w:rPr>
                <w:rFonts w:ascii="Arial" w:eastAsia="Times New Roman" w:hAnsi="Arial" w:cs="Arial"/>
                <w:sz w:val="20"/>
                <w:szCs w:val="20"/>
                <w:lang w:val="es-MX" w:eastAsia="es-MX"/>
              </w:rPr>
            </w:pPr>
          </w:p>
        </w:tc>
      </w:tr>
      <w:tr w:rsidR="00A831C8" w:rsidRPr="0074154F" w14:paraId="2D42C437" w14:textId="77777777" w:rsidTr="00710FAD">
        <w:trPr>
          <w:trHeight w:val="283"/>
          <w:jc w:val="right"/>
        </w:trPr>
        <w:tc>
          <w:tcPr>
            <w:tcW w:w="4673" w:type="dxa"/>
            <w:shd w:val="clear" w:color="auto" w:fill="auto"/>
            <w:noWrap/>
            <w:vAlign w:val="bottom"/>
          </w:tcPr>
          <w:p w14:paraId="4BCA04EA" w14:textId="4035D7A8" w:rsidR="00A831C8" w:rsidRPr="0074154F" w:rsidRDefault="00BC45BB" w:rsidP="00A831C8">
            <w:pPr>
              <w:spacing w:after="0" w:line="240" w:lineRule="auto"/>
              <w:ind w:left="-75"/>
              <w:rPr>
                <w:rFonts w:ascii="Arial" w:hAnsi="Arial" w:cs="Arial"/>
                <w:sz w:val="20"/>
                <w:szCs w:val="20"/>
              </w:rPr>
            </w:pPr>
            <w:r>
              <w:rPr>
                <w:rFonts w:ascii="Arial" w:hAnsi="Arial" w:cs="Arial"/>
                <w:sz w:val="20"/>
                <w:szCs w:val="20"/>
              </w:rPr>
              <w:t xml:space="preserve">  </w:t>
            </w:r>
            <w:r w:rsidR="003078EE">
              <w:rPr>
                <w:rFonts w:ascii="Arial" w:hAnsi="Arial" w:cs="Arial"/>
                <w:sz w:val="20"/>
                <w:szCs w:val="20"/>
              </w:rPr>
              <w:t>Ganancia (Pérdida)</w:t>
            </w:r>
            <w:r w:rsidR="00A831C8" w:rsidRPr="0074154F">
              <w:rPr>
                <w:rFonts w:ascii="Arial" w:hAnsi="Arial" w:cs="Arial"/>
                <w:sz w:val="20"/>
                <w:szCs w:val="20"/>
              </w:rPr>
              <w:t xml:space="preserve"> actuarial</w:t>
            </w:r>
          </w:p>
        </w:tc>
        <w:tc>
          <w:tcPr>
            <w:tcW w:w="966" w:type="dxa"/>
            <w:shd w:val="clear" w:color="auto" w:fill="auto"/>
            <w:noWrap/>
            <w:vAlign w:val="bottom"/>
          </w:tcPr>
          <w:p w14:paraId="3DD95A5D" w14:textId="44211655" w:rsidR="00A831C8" w:rsidRPr="0074154F" w:rsidRDefault="00A831C8" w:rsidP="00A831C8">
            <w:pPr>
              <w:spacing w:after="0" w:line="240" w:lineRule="auto"/>
              <w:jc w:val="center"/>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18</w:t>
            </w:r>
          </w:p>
        </w:tc>
        <w:tc>
          <w:tcPr>
            <w:tcW w:w="146" w:type="dxa"/>
            <w:shd w:val="clear" w:color="auto" w:fill="auto"/>
            <w:vAlign w:val="bottom"/>
          </w:tcPr>
          <w:p w14:paraId="566C6D63"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single" w:sz="4" w:space="0" w:color="auto"/>
            </w:tcBorders>
            <w:shd w:val="clear" w:color="auto" w:fill="auto"/>
            <w:noWrap/>
            <w:vAlign w:val="bottom"/>
          </w:tcPr>
          <w:p w14:paraId="18AD535F" w14:textId="7D1715CD" w:rsidR="00A831C8" w:rsidRPr="0074154F" w:rsidRDefault="003078EE"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139,500</w:t>
            </w:r>
          </w:p>
        </w:tc>
        <w:tc>
          <w:tcPr>
            <w:tcW w:w="169" w:type="dxa"/>
            <w:shd w:val="clear" w:color="auto" w:fill="auto"/>
            <w:noWrap/>
            <w:vAlign w:val="bottom"/>
          </w:tcPr>
          <w:p w14:paraId="4C642646"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bottom w:val="single" w:sz="4" w:space="0" w:color="auto"/>
            </w:tcBorders>
            <w:shd w:val="clear" w:color="auto" w:fill="auto"/>
            <w:noWrap/>
            <w:vAlign w:val="bottom"/>
          </w:tcPr>
          <w:p w14:paraId="391D1F33" w14:textId="5563EFC1" w:rsidR="00A831C8" w:rsidRPr="0074154F" w:rsidRDefault="00FC4736" w:rsidP="00650798">
            <w:pPr>
              <w:tabs>
                <w:tab w:val="decimal" w:pos="1421"/>
              </w:tabs>
              <w:spacing w:after="0" w:line="240" w:lineRule="auto"/>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(1,</w:t>
            </w:r>
            <w:r w:rsidR="00190769">
              <w:rPr>
                <w:rFonts w:ascii="Arial" w:eastAsia="Times New Roman" w:hAnsi="Arial" w:cs="Arial"/>
                <w:sz w:val="20"/>
                <w:szCs w:val="20"/>
                <w:lang w:val="es-MX" w:eastAsia="es-MX"/>
              </w:rPr>
              <w:t>115,437</w:t>
            </w:r>
            <w:r w:rsidRPr="0074154F">
              <w:rPr>
                <w:rFonts w:ascii="Arial" w:eastAsia="Times New Roman" w:hAnsi="Arial" w:cs="Arial"/>
                <w:sz w:val="20"/>
                <w:szCs w:val="20"/>
                <w:lang w:val="es-MX" w:eastAsia="es-MX"/>
              </w:rPr>
              <w:t>)</w:t>
            </w:r>
          </w:p>
        </w:tc>
      </w:tr>
      <w:tr w:rsidR="00A831C8" w:rsidRPr="0074154F" w14:paraId="5A42C665" w14:textId="77777777" w:rsidTr="00710FAD">
        <w:trPr>
          <w:trHeight w:val="283"/>
          <w:jc w:val="right"/>
        </w:trPr>
        <w:tc>
          <w:tcPr>
            <w:tcW w:w="4673" w:type="dxa"/>
            <w:shd w:val="clear" w:color="auto" w:fill="auto"/>
            <w:noWrap/>
            <w:vAlign w:val="bottom"/>
          </w:tcPr>
          <w:p w14:paraId="00529621" w14:textId="77777777" w:rsidR="00A831C8" w:rsidRPr="0074154F" w:rsidRDefault="00A831C8" w:rsidP="00A831C8">
            <w:pPr>
              <w:spacing w:after="0" w:line="240" w:lineRule="auto"/>
              <w:ind w:left="-75"/>
              <w:rPr>
                <w:rFonts w:ascii="Arial" w:hAnsi="Arial" w:cs="Arial"/>
                <w:sz w:val="20"/>
                <w:szCs w:val="20"/>
              </w:rPr>
            </w:pPr>
          </w:p>
        </w:tc>
        <w:tc>
          <w:tcPr>
            <w:tcW w:w="966" w:type="dxa"/>
            <w:shd w:val="clear" w:color="auto" w:fill="auto"/>
            <w:noWrap/>
            <w:vAlign w:val="bottom"/>
          </w:tcPr>
          <w:p w14:paraId="33D1CFF0"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shd w:val="clear" w:color="auto" w:fill="auto"/>
            <w:vAlign w:val="bottom"/>
          </w:tcPr>
          <w:p w14:paraId="1322FAE3"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single" w:sz="4" w:space="0" w:color="auto"/>
              <w:bottom w:val="nil"/>
            </w:tcBorders>
            <w:shd w:val="clear" w:color="auto" w:fill="auto"/>
            <w:noWrap/>
            <w:vAlign w:val="bottom"/>
          </w:tcPr>
          <w:p w14:paraId="3FFFA1FE" w14:textId="77777777" w:rsidR="00A831C8" w:rsidRPr="0074154F" w:rsidRDefault="00A831C8" w:rsidP="00650798">
            <w:pPr>
              <w:tabs>
                <w:tab w:val="decimal" w:pos="1490"/>
              </w:tabs>
              <w:spacing w:after="0" w:line="240" w:lineRule="auto"/>
              <w:ind w:right="-13"/>
              <w:rPr>
                <w:rFonts w:ascii="Arial" w:eastAsia="Times New Roman" w:hAnsi="Arial" w:cs="Arial"/>
                <w:sz w:val="20"/>
                <w:szCs w:val="20"/>
                <w:lang w:val="es-MX" w:eastAsia="es-MX"/>
              </w:rPr>
            </w:pPr>
          </w:p>
        </w:tc>
        <w:tc>
          <w:tcPr>
            <w:tcW w:w="169" w:type="dxa"/>
            <w:shd w:val="clear" w:color="auto" w:fill="auto"/>
            <w:noWrap/>
            <w:vAlign w:val="bottom"/>
          </w:tcPr>
          <w:p w14:paraId="4CF66AB5"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top w:val="single" w:sz="4" w:space="0" w:color="auto"/>
              <w:bottom w:val="nil"/>
            </w:tcBorders>
            <w:shd w:val="clear" w:color="auto" w:fill="auto"/>
            <w:noWrap/>
            <w:vAlign w:val="bottom"/>
          </w:tcPr>
          <w:p w14:paraId="24688F00" w14:textId="77777777" w:rsidR="00A831C8" w:rsidRPr="0074154F" w:rsidRDefault="00A831C8" w:rsidP="00650798">
            <w:pPr>
              <w:tabs>
                <w:tab w:val="decimal" w:pos="1421"/>
              </w:tabs>
              <w:spacing w:after="0" w:line="240" w:lineRule="auto"/>
              <w:rPr>
                <w:rFonts w:ascii="Arial" w:eastAsia="Times New Roman" w:hAnsi="Arial" w:cs="Arial"/>
                <w:sz w:val="20"/>
                <w:szCs w:val="20"/>
                <w:lang w:val="es-MX" w:eastAsia="es-MX"/>
              </w:rPr>
            </w:pPr>
          </w:p>
        </w:tc>
      </w:tr>
      <w:tr w:rsidR="00A831C8" w:rsidRPr="0074154F" w14:paraId="7081B1B4" w14:textId="77777777" w:rsidTr="00710FAD">
        <w:trPr>
          <w:trHeight w:val="283"/>
          <w:jc w:val="right"/>
        </w:trPr>
        <w:tc>
          <w:tcPr>
            <w:tcW w:w="4673" w:type="dxa"/>
            <w:shd w:val="clear" w:color="auto" w:fill="auto"/>
            <w:noWrap/>
            <w:vAlign w:val="bottom"/>
          </w:tcPr>
          <w:p w14:paraId="59B333F5" w14:textId="2F0DF6B8" w:rsidR="00A831C8" w:rsidRPr="0074154F" w:rsidRDefault="00A831C8" w:rsidP="00A831C8">
            <w:pPr>
              <w:spacing w:after="0" w:line="240" w:lineRule="auto"/>
              <w:ind w:left="-75"/>
              <w:rPr>
                <w:rFonts w:ascii="Arial" w:hAnsi="Arial" w:cs="Arial"/>
                <w:sz w:val="20"/>
                <w:szCs w:val="20"/>
              </w:rPr>
            </w:pPr>
            <w:proofErr w:type="gramStart"/>
            <w:r w:rsidRPr="0074154F">
              <w:rPr>
                <w:rFonts w:ascii="Arial" w:hAnsi="Arial" w:cs="Arial"/>
                <w:sz w:val="20"/>
                <w:szCs w:val="20"/>
              </w:rPr>
              <w:t>TOTAL</w:t>
            </w:r>
            <w:proofErr w:type="gramEnd"/>
            <w:r w:rsidRPr="0074154F">
              <w:rPr>
                <w:rFonts w:ascii="Arial" w:hAnsi="Arial" w:cs="Arial"/>
                <w:sz w:val="20"/>
                <w:szCs w:val="20"/>
              </w:rPr>
              <w:t xml:space="preserve"> RESULTADO INTEGRAL DEL AÑO</w:t>
            </w:r>
          </w:p>
        </w:tc>
        <w:tc>
          <w:tcPr>
            <w:tcW w:w="966" w:type="dxa"/>
            <w:shd w:val="clear" w:color="auto" w:fill="auto"/>
            <w:noWrap/>
            <w:vAlign w:val="bottom"/>
          </w:tcPr>
          <w:p w14:paraId="1E2513F0"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shd w:val="clear" w:color="auto" w:fill="auto"/>
            <w:vAlign w:val="bottom"/>
          </w:tcPr>
          <w:p w14:paraId="0F7A9CE8"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nil"/>
              <w:bottom w:val="double" w:sz="4" w:space="0" w:color="auto"/>
            </w:tcBorders>
            <w:shd w:val="clear" w:color="auto" w:fill="auto"/>
            <w:noWrap/>
            <w:vAlign w:val="bottom"/>
          </w:tcPr>
          <w:p w14:paraId="6DE22507" w14:textId="2A6BA235" w:rsidR="00A831C8" w:rsidRPr="0074154F" w:rsidRDefault="003078EE" w:rsidP="00650798">
            <w:pPr>
              <w:tabs>
                <w:tab w:val="decimal" w:pos="1490"/>
              </w:tabs>
              <w:spacing w:after="0" w:line="240" w:lineRule="auto"/>
              <w:ind w:right="-13"/>
              <w:rPr>
                <w:rFonts w:ascii="Arial" w:eastAsia="Times New Roman" w:hAnsi="Arial" w:cs="Arial"/>
                <w:sz w:val="20"/>
                <w:szCs w:val="20"/>
                <w:lang w:val="es-MX" w:eastAsia="es-MX"/>
              </w:rPr>
            </w:pPr>
            <w:r>
              <w:rPr>
                <w:rFonts w:ascii="Arial" w:eastAsia="Times New Roman" w:hAnsi="Arial" w:cs="Arial"/>
                <w:sz w:val="20"/>
                <w:szCs w:val="20"/>
                <w:lang w:val="es-MX" w:eastAsia="es-MX"/>
              </w:rPr>
              <w:t>39,194,911</w:t>
            </w:r>
          </w:p>
        </w:tc>
        <w:tc>
          <w:tcPr>
            <w:tcW w:w="169" w:type="dxa"/>
            <w:shd w:val="clear" w:color="auto" w:fill="auto"/>
            <w:noWrap/>
            <w:vAlign w:val="bottom"/>
          </w:tcPr>
          <w:p w14:paraId="17B378F4"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bottom w:val="double" w:sz="4" w:space="0" w:color="auto"/>
            </w:tcBorders>
            <w:shd w:val="clear" w:color="auto" w:fill="auto"/>
            <w:noWrap/>
            <w:vAlign w:val="bottom"/>
          </w:tcPr>
          <w:p w14:paraId="5B33E269" w14:textId="11EB16C3" w:rsidR="00A831C8" w:rsidRPr="0074154F" w:rsidRDefault="00190769" w:rsidP="00650798">
            <w:pPr>
              <w:tabs>
                <w:tab w:val="decimal" w:pos="1421"/>
              </w:tabs>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22,955,947</w:t>
            </w:r>
          </w:p>
        </w:tc>
      </w:tr>
      <w:tr w:rsidR="00710FAD" w:rsidRPr="0074154F" w14:paraId="10427581" w14:textId="77777777" w:rsidTr="00710FAD">
        <w:trPr>
          <w:trHeight w:val="283"/>
          <w:jc w:val="right"/>
        </w:trPr>
        <w:tc>
          <w:tcPr>
            <w:tcW w:w="4673" w:type="dxa"/>
            <w:tcBorders>
              <w:bottom w:val="nil"/>
            </w:tcBorders>
            <w:shd w:val="clear" w:color="auto" w:fill="auto"/>
            <w:noWrap/>
            <w:vAlign w:val="bottom"/>
          </w:tcPr>
          <w:p w14:paraId="03B85DB6" w14:textId="77777777" w:rsidR="00A831C8" w:rsidRPr="0074154F" w:rsidRDefault="00A831C8" w:rsidP="00A831C8">
            <w:pPr>
              <w:spacing w:after="0" w:line="240" w:lineRule="auto"/>
              <w:ind w:left="-75"/>
              <w:rPr>
                <w:rFonts w:ascii="Arial" w:hAnsi="Arial" w:cs="Arial"/>
                <w:sz w:val="20"/>
                <w:szCs w:val="20"/>
              </w:rPr>
            </w:pPr>
          </w:p>
        </w:tc>
        <w:tc>
          <w:tcPr>
            <w:tcW w:w="966" w:type="dxa"/>
            <w:tcBorders>
              <w:bottom w:val="nil"/>
            </w:tcBorders>
            <w:shd w:val="clear" w:color="auto" w:fill="auto"/>
            <w:noWrap/>
            <w:vAlign w:val="bottom"/>
          </w:tcPr>
          <w:p w14:paraId="52EFCDFB" w14:textId="77777777" w:rsidR="00A831C8" w:rsidRPr="0074154F" w:rsidRDefault="00A831C8" w:rsidP="00A831C8">
            <w:pPr>
              <w:spacing w:after="0" w:line="240" w:lineRule="auto"/>
              <w:jc w:val="center"/>
              <w:rPr>
                <w:rFonts w:ascii="Arial" w:eastAsia="Times New Roman" w:hAnsi="Arial" w:cs="Arial"/>
                <w:color w:val="000000"/>
                <w:sz w:val="20"/>
                <w:szCs w:val="20"/>
                <w:lang w:eastAsia="es-MX"/>
              </w:rPr>
            </w:pPr>
          </w:p>
        </w:tc>
        <w:tc>
          <w:tcPr>
            <w:tcW w:w="146" w:type="dxa"/>
            <w:tcBorders>
              <w:bottom w:val="nil"/>
            </w:tcBorders>
            <w:shd w:val="clear" w:color="auto" w:fill="auto"/>
            <w:vAlign w:val="bottom"/>
          </w:tcPr>
          <w:p w14:paraId="54BDFF3B" w14:textId="77777777" w:rsidR="00A831C8" w:rsidRPr="0074154F" w:rsidRDefault="00A831C8" w:rsidP="00A831C8">
            <w:pPr>
              <w:spacing w:after="0" w:line="240" w:lineRule="auto"/>
              <w:rPr>
                <w:rFonts w:ascii="Arial" w:eastAsia="Times New Roman" w:hAnsi="Arial" w:cs="Arial"/>
                <w:sz w:val="20"/>
                <w:szCs w:val="20"/>
                <w:lang w:val="es-MX" w:eastAsia="es-MX"/>
              </w:rPr>
            </w:pPr>
          </w:p>
        </w:tc>
        <w:tc>
          <w:tcPr>
            <w:tcW w:w="1697" w:type="dxa"/>
            <w:tcBorders>
              <w:top w:val="double" w:sz="4" w:space="0" w:color="auto"/>
              <w:bottom w:val="nil"/>
            </w:tcBorders>
            <w:shd w:val="clear" w:color="auto" w:fill="auto"/>
            <w:noWrap/>
            <w:vAlign w:val="bottom"/>
          </w:tcPr>
          <w:p w14:paraId="17F56D9A" w14:textId="77777777" w:rsidR="00A831C8" w:rsidRPr="0074154F" w:rsidRDefault="00A831C8" w:rsidP="00650798">
            <w:pPr>
              <w:tabs>
                <w:tab w:val="decimal" w:pos="1490"/>
              </w:tabs>
              <w:spacing w:after="0" w:line="240" w:lineRule="auto"/>
              <w:ind w:right="-13"/>
              <w:rPr>
                <w:rFonts w:ascii="Arial" w:eastAsia="Times New Roman" w:hAnsi="Arial" w:cs="Arial"/>
                <w:sz w:val="20"/>
                <w:szCs w:val="20"/>
                <w:lang w:val="es-MX" w:eastAsia="es-MX"/>
              </w:rPr>
            </w:pPr>
          </w:p>
        </w:tc>
        <w:tc>
          <w:tcPr>
            <w:tcW w:w="169" w:type="dxa"/>
            <w:tcBorders>
              <w:bottom w:val="nil"/>
            </w:tcBorders>
            <w:shd w:val="clear" w:color="auto" w:fill="auto"/>
            <w:noWrap/>
            <w:vAlign w:val="bottom"/>
          </w:tcPr>
          <w:p w14:paraId="3D7A6764" w14:textId="77777777" w:rsidR="00A831C8" w:rsidRPr="0074154F" w:rsidRDefault="00A831C8" w:rsidP="00A831C8">
            <w:pPr>
              <w:spacing w:after="0" w:line="240" w:lineRule="auto"/>
              <w:ind w:right="-68"/>
              <w:rPr>
                <w:rFonts w:ascii="Arial" w:eastAsia="Times New Roman" w:hAnsi="Arial" w:cs="Arial"/>
                <w:sz w:val="20"/>
                <w:szCs w:val="20"/>
                <w:lang w:val="es-MX" w:eastAsia="es-MX"/>
              </w:rPr>
            </w:pPr>
          </w:p>
        </w:tc>
        <w:tc>
          <w:tcPr>
            <w:tcW w:w="1138" w:type="dxa"/>
            <w:tcBorders>
              <w:top w:val="double" w:sz="4" w:space="0" w:color="auto"/>
              <w:bottom w:val="nil"/>
            </w:tcBorders>
            <w:shd w:val="clear" w:color="auto" w:fill="auto"/>
            <w:noWrap/>
            <w:vAlign w:val="bottom"/>
          </w:tcPr>
          <w:p w14:paraId="1BDD34E2" w14:textId="77777777" w:rsidR="00A831C8" w:rsidRPr="0074154F" w:rsidRDefault="00A831C8" w:rsidP="00650798">
            <w:pPr>
              <w:tabs>
                <w:tab w:val="decimal" w:pos="1421"/>
              </w:tabs>
              <w:spacing w:after="0" w:line="240" w:lineRule="auto"/>
              <w:rPr>
                <w:rFonts w:ascii="Arial" w:eastAsia="Times New Roman" w:hAnsi="Arial" w:cs="Arial"/>
                <w:sz w:val="20"/>
                <w:szCs w:val="20"/>
                <w:lang w:val="es-MX" w:eastAsia="es-MX"/>
              </w:rPr>
            </w:pPr>
          </w:p>
        </w:tc>
      </w:tr>
      <w:tr w:rsidR="00603B47" w:rsidRPr="0074154F" w14:paraId="6185153B" w14:textId="77777777" w:rsidTr="00710FAD">
        <w:trPr>
          <w:trHeight w:val="283"/>
          <w:jc w:val="right"/>
        </w:trPr>
        <w:tc>
          <w:tcPr>
            <w:tcW w:w="4673" w:type="dxa"/>
            <w:tcBorders>
              <w:top w:val="nil"/>
              <w:bottom w:val="nil"/>
            </w:tcBorders>
            <w:shd w:val="clear" w:color="auto" w:fill="auto"/>
            <w:noWrap/>
            <w:vAlign w:val="bottom"/>
          </w:tcPr>
          <w:p w14:paraId="482096E9" w14:textId="6BE4B192" w:rsidR="00603B47" w:rsidRPr="0074154F" w:rsidRDefault="00603B47" w:rsidP="00603B47">
            <w:pPr>
              <w:spacing w:after="0" w:line="240" w:lineRule="auto"/>
              <w:ind w:left="-75"/>
              <w:rPr>
                <w:rFonts w:ascii="Arial" w:hAnsi="Arial" w:cs="Arial"/>
                <w:sz w:val="20"/>
                <w:szCs w:val="20"/>
              </w:rPr>
            </w:pPr>
            <w:r w:rsidRPr="00224BC5">
              <w:rPr>
                <w:rFonts w:ascii="Arial" w:hAnsi="Arial" w:cs="Arial"/>
                <w:sz w:val="20"/>
                <w:szCs w:val="20"/>
              </w:rPr>
              <w:t>Número de acciones</w:t>
            </w:r>
          </w:p>
        </w:tc>
        <w:tc>
          <w:tcPr>
            <w:tcW w:w="966" w:type="dxa"/>
            <w:tcBorders>
              <w:top w:val="nil"/>
              <w:bottom w:val="nil"/>
            </w:tcBorders>
            <w:shd w:val="clear" w:color="auto" w:fill="auto"/>
            <w:noWrap/>
            <w:vAlign w:val="bottom"/>
          </w:tcPr>
          <w:p w14:paraId="254A33BA" w14:textId="77777777" w:rsidR="00603B47" w:rsidRPr="0074154F" w:rsidRDefault="00603B47" w:rsidP="00603B47">
            <w:pPr>
              <w:spacing w:after="0" w:line="240" w:lineRule="auto"/>
              <w:jc w:val="center"/>
              <w:rPr>
                <w:rFonts w:ascii="Arial" w:eastAsia="Times New Roman" w:hAnsi="Arial" w:cs="Arial"/>
                <w:color w:val="000000"/>
                <w:sz w:val="20"/>
                <w:szCs w:val="20"/>
                <w:lang w:eastAsia="es-MX"/>
              </w:rPr>
            </w:pPr>
          </w:p>
        </w:tc>
        <w:tc>
          <w:tcPr>
            <w:tcW w:w="146" w:type="dxa"/>
            <w:tcBorders>
              <w:top w:val="nil"/>
              <w:bottom w:val="nil"/>
            </w:tcBorders>
            <w:shd w:val="clear" w:color="auto" w:fill="auto"/>
            <w:vAlign w:val="bottom"/>
          </w:tcPr>
          <w:p w14:paraId="2AAF1A33" w14:textId="77777777" w:rsidR="00603B47" w:rsidRPr="0074154F" w:rsidRDefault="00603B47" w:rsidP="00603B47">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1A8CCFC6" w14:textId="0FE2B6DC" w:rsidR="00603B47" w:rsidRPr="0074154F" w:rsidRDefault="00603B47" w:rsidP="00650798">
            <w:pPr>
              <w:tabs>
                <w:tab w:val="decimal" w:pos="1490"/>
              </w:tabs>
              <w:spacing w:after="0" w:line="240" w:lineRule="auto"/>
              <w:ind w:right="-13"/>
              <w:rPr>
                <w:rFonts w:ascii="Arial" w:eastAsia="Times New Roman" w:hAnsi="Arial" w:cs="Arial"/>
                <w:sz w:val="20"/>
                <w:szCs w:val="20"/>
                <w:lang w:val="es-MX" w:eastAsia="es-MX"/>
              </w:rPr>
            </w:pPr>
            <w:r>
              <w:rPr>
                <w:rFonts w:ascii="Arial" w:hAnsi="Arial" w:cs="Arial"/>
                <w:color w:val="000000"/>
                <w:sz w:val="20"/>
                <w:szCs w:val="20"/>
              </w:rPr>
              <w:t>40,193,339</w:t>
            </w:r>
          </w:p>
        </w:tc>
        <w:tc>
          <w:tcPr>
            <w:tcW w:w="169" w:type="dxa"/>
            <w:tcBorders>
              <w:top w:val="nil"/>
              <w:bottom w:val="nil"/>
            </w:tcBorders>
            <w:shd w:val="clear" w:color="auto" w:fill="auto"/>
            <w:noWrap/>
            <w:vAlign w:val="bottom"/>
          </w:tcPr>
          <w:p w14:paraId="270BB014" w14:textId="77777777" w:rsidR="00603B47" w:rsidRPr="0074154F" w:rsidRDefault="00603B47" w:rsidP="00603B47">
            <w:pPr>
              <w:spacing w:after="0" w:line="240" w:lineRule="auto"/>
              <w:ind w:right="-68"/>
              <w:rPr>
                <w:rFonts w:ascii="Arial" w:eastAsia="Times New Roman" w:hAnsi="Arial" w:cs="Arial"/>
                <w:sz w:val="20"/>
                <w:szCs w:val="20"/>
                <w:lang w:val="es-MX" w:eastAsia="es-MX"/>
              </w:rPr>
            </w:pPr>
          </w:p>
        </w:tc>
        <w:tc>
          <w:tcPr>
            <w:tcW w:w="1138" w:type="dxa"/>
            <w:tcBorders>
              <w:top w:val="nil"/>
              <w:bottom w:val="nil"/>
            </w:tcBorders>
            <w:shd w:val="clear" w:color="auto" w:fill="auto"/>
            <w:noWrap/>
            <w:vAlign w:val="bottom"/>
          </w:tcPr>
          <w:p w14:paraId="066EBE3E" w14:textId="078DD29E" w:rsidR="00603B47" w:rsidRPr="0074154F" w:rsidRDefault="00603B47" w:rsidP="00650798">
            <w:pPr>
              <w:tabs>
                <w:tab w:val="decimal" w:pos="1421"/>
              </w:tabs>
              <w:spacing w:after="0" w:line="240" w:lineRule="auto"/>
              <w:rPr>
                <w:rFonts w:ascii="Arial" w:eastAsia="Times New Roman" w:hAnsi="Arial" w:cs="Arial"/>
                <w:sz w:val="20"/>
                <w:szCs w:val="20"/>
                <w:lang w:val="es-MX" w:eastAsia="es-MX"/>
              </w:rPr>
            </w:pPr>
            <w:r>
              <w:rPr>
                <w:rFonts w:ascii="Arial" w:hAnsi="Arial" w:cs="Arial"/>
                <w:color w:val="000000"/>
                <w:sz w:val="20"/>
                <w:szCs w:val="20"/>
              </w:rPr>
              <w:t>50,302,664</w:t>
            </w:r>
          </w:p>
        </w:tc>
      </w:tr>
      <w:tr w:rsidR="00603B47" w:rsidRPr="0074154F" w14:paraId="0AFE946F" w14:textId="77777777" w:rsidTr="00710FAD">
        <w:trPr>
          <w:trHeight w:val="283"/>
          <w:jc w:val="right"/>
        </w:trPr>
        <w:tc>
          <w:tcPr>
            <w:tcW w:w="4673" w:type="dxa"/>
            <w:tcBorders>
              <w:top w:val="nil"/>
              <w:bottom w:val="nil"/>
            </w:tcBorders>
            <w:shd w:val="clear" w:color="auto" w:fill="auto"/>
            <w:noWrap/>
            <w:vAlign w:val="bottom"/>
          </w:tcPr>
          <w:p w14:paraId="4471479C" w14:textId="77777777" w:rsidR="00603B47" w:rsidRPr="0074154F" w:rsidRDefault="00603B47" w:rsidP="00603B47">
            <w:pPr>
              <w:spacing w:after="0" w:line="240" w:lineRule="auto"/>
              <w:ind w:left="-75"/>
              <w:rPr>
                <w:rFonts w:ascii="Arial" w:hAnsi="Arial" w:cs="Arial"/>
                <w:sz w:val="20"/>
                <w:szCs w:val="20"/>
              </w:rPr>
            </w:pPr>
          </w:p>
        </w:tc>
        <w:tc>
          <w:tcPr>
            <w:tcW w:w="966" w:type="dxa"/>
            <w:tcBorders>
              <w:top w:val="nil"/>
              <w:bottom w:val="nil"/>
            </w:tcBorders>
            <w:shd w:val="clear" w:color="auto" w:fill="auto"/>
            <w:noWrap/>
            <w:vAlign w:val="bottom"/>
          </w:tcPr>
          <w:p w14:paraId="48D50E34" w14:textId="77777777" w:rsidR="00603B47" w:rsidRPr="0074154F" w:rsidRDefault="00603B47" w:rsidP="00603B47">
            <w:pPr>
              <w:spacing w:after="0" w:line="240" w:lineRule="auto"/>
              <w:jc w:val="center"/>
              <w:rPr>
                <w:rFonts w:ascii="Arial" w:eastAsia="Times New Roman" w:hAnsi="Arial" w:cs="Arial"/>
                <w:color w:val="000000"/>
                <w:sz w:val="20"/>
                <w:szCs w:val="20"/>
                <w:lang w:eastAsia="es-MX"/>
              </w:rPr>
            </w:pPr>
          </w:p>
        </w:tc>
        <w:tc>
          <w:tcPr>
            <w:tcW w:w="146" w:type="dxa"/>
            <w:tcBorders>
              <w:top w:val="nil"/>
              <w:bottom w:val="nil"/>
            </w:tcBorders>
            <w:shd w:val="clear" w:color="auto" w:fill="auto"/>
            <w:vAlign w:val="bottom"/>
          </w:tcPr>
          <w:p w14:paraId="308EB543" w14:textId="77777777" w:rsidR="00603B47" w:rsidRPr="0074154F" w:rsidRDefault="00603B47" w:rsidP="00603B47">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6DCC930B" w14:textId="77777777" w:rsidR="00603B47" w:rsidRPr="0074154F" w:rsidRDefault="00603B47" w:rsidP="00603B47">
            <w:pPr>
              <w:tabs>
                <w:tab w:val="decimal" w:pos="1276"/>
              </w:tabs>
              <w:spacing w:after="0" w:line="240" w:lineRule="auto"/>
              <w:ind w:right="-13"/>
              <w:rPr>
                <w:rFonts w:ascii="Arial" w:eastAsia="Times New Roman" w:hAnsi="Arial" w:cs="Arial"/>
                <w:sz w:val="20"/>
                <w:szCs w:val="20"/>
                <w:lang w:val="es-MX" w:eastAsia="es-MX"/>
              </w:rPr>
            </w:pPr>
          </w:p>
        </w:tc>
        <w:tc>
          <w:tcPr>
            <w:tcW w:w="169" w:type="dxa"/>
            <w:tcBorders>
              <w:top w:val="nil"/>
              <w:bottom w:val="nil"/>
            </w:tcBorders>
            <w:shd w:val="clear" w:color="auto" w:fill="auto"/>
            <w:noWrap/>
            <w:vAlign w:val="bottom"/>
          </w:tcPr>
          <w:p w14:paraId="5C3206AE" w14:textId="77777777" w:rsidR="00603B47" w:rsidRPr="0074154F" w:rsidRDefault="00603B47" w:rsidP="00603B47">
            <w:pPr>
              <w:spacing w:after="0" w:line="240" w:lineRule="auto"/>
              <w:ind w:right="-68"/>
              <w:rPr>
                <w:rFonts w:ascii="Arial" w:eastAsia="Times New Roman" w:hAnsi="Arial" w:cs="Arial"/>
                <w:sz w:val="20"/>
                <w:szCs w:val="20"/>
                <w:lang w:val="es-MX" w:eastAsia="es-MX"/>
              </w:rPr>
            </w:pPr>
          </w:p>
        </w:tc>
        <w:tc>
          <w:tcPr>
            <w:tcW w:w="1138" w:type="dxa"/>
            <w:tcBorders>
              <w:top w:val="nil"/>
              <w:bottom w:val="nil"/>
            </w:tcBorders>
            <w:shd w:val="clear" w:color="auto" w:fill="auto"/>
            <w:noWrap/>
            <w:vAlign w:val="bottom"/>
          </w:tcPr>
          <w:p w14:paraId="06371A74" w14:textId="77777777" w:rsidR="00603B47" w:rsidRPr="0074154F" w:rsidRDefault="00603B47" w:rsidP="00603B47">
            <w:pPr>
              <w:tabs>
                <w:tab w:val="decimal" w:pos="1276"/>
              </w:tabs>
              <w:spacing w:after="0" w:line="240" w:lineRule="auto"/>
              <w:rPr>
                <w:rFonts w:ascii="Arial" w:eastAsia="Times New Roman" w:hAnsi="Arial" w:cs="Arial"/>
                <w:sz w:val="20"/>
                <w:szCs w:val="20"/>
                <w:lang w:val="es-MX" w:eastAsia="es-MX"/>
              </w:rPr>
            </w:pPr>
          </w:p>
        </w:tc>
      </w:tr>
      <w:tr w:rsidR="00603B47" w:rsidRPr="0074154F" w14:paraId="6CB36C1E" w14:textId="77777777" w:rsidTr="00710FAD">
        <w:trPr>
          <w:trHeight w:val="283"/>
          <w:jc w:val="right"/>
        </w:trPr>
        <w:tc>
          <w:tcPr>
            <w:tcW w:w="4673" w:type="dxa"/>
            <w:tcBorders>
              <w:top w:val="nil"/>
              <w:bottom w:val="nil"/>
            </w:tcBorders>
            <w:shd w:val="clear" w:color="auto" w:fill="auto"/>
            <w:noWrap/>
            <w:vAlign w:val="bottom"/>
          </w:tcPr>
          <w:p w14:paraId="0D23A839" w14:textId="11384382" w:rsidR="00603B47" w:rsidRPr="0074154F" w:rsidRDefault="00603B47" w:rsidP="00603B47">
            <w:pPr>
              <w:spacing w:after="0" w:line="240" w:lineRule="auto"/>
              <w:ind w:left="-75"/>
              <w:rPr>
                <w:rFonts w:ascii="Arial" w:hAnsi="Arial" w:cs="Arial"/>
                <w:sz w:val="20"/>
                <w:szCs w:val="20"/>
              </w:rPr>
            </w:pPr>
            <w:r w:rsidRPr="00D25C0B">
              <w:rPr>
                <w:rFonts w:ascii="Arial" w:hAnsi="Arial" w:cs="Arial"/>
                <w:sz w:val="20"/>
                <w:szCs w:val="20"/>
              </w:rPr>
              <w:t>Utilidad básica por acción (En US$ dólares)</w:t>
            </w:r>
          </w:p>
        </w:tc>
        <w:tc>
          <w:tcPr>
            <w:tcW w:w="966" w:type="dxa"/>
            <w:tcBorders>
              <w:top w:val="nil"/>
              <w:bottom w:val="nil"/>
            </w:tcBorders>
            <w:shd w:val="clear" w:color="auto" w:fill="auto"/>
            <w:noWrap/>
            <w:vAlign w:val="bottom"/>
          </w:tcPr>
          <w:p w14:paraId="2BF95685" w14:textId="77777777" w:rsidR="00603B47" w:rsidRPr="0074154F" w:rsidRDefault="00603B47" w:rsidP="00603B47">
            <w:pPr>
              <w:spacing w:after="0" w:line="240" w:lineRule="auto"/>
              <w:jc w:val="center"/>
              <w:rPr>
                <w:rFonts w:ascii="Arial" w:eastAsia="Times New Roman" w:hAnsi="Arial" w:cs="Arial"/>
                <w:color w:val="000000"/>
                <w:sz w:val="20"/>
                <w:szCs w:val="20"/>
                <w:lang w:eastAsia="es-MX"/>
              </w:rPr>
            </w:pPr>
          </w:p>
        </w:tc>
        <w:tc>
          <w:tcPr>
            <w:tcW w:w="146" w:type="dxa"/>
            <w:tcBorders>
              <w:top w:val="nil"/>
              <w:bottom w:val="nil"/>
            </w:tcBorders>
            <w:shd w:val="clear" w:color="auto" w:fill="auto"/>
            <w:vAlign w:val="bottom"/>
          </w:tcPr>
          <w:p w14:paraId="1778EE8E" w14:textId="77777777" w:rsidR="00603B47" w:rsidRPr="0074154F" w:rsidRDefault="00603B47" w:rsidP="00603B47">
            <w:pPr>
              <w:spacing w:after="0" w:line="240" w:lineRule="auto"/>
              <w:rPr>
                <w:rFonts w:ascii="Arial" w:eastAsia="Times New Roman" w:hAnsi="Arial" w:cs="Arial"/>
                <w:sz w:val="20"/>
                <w:szCs w:val="20"/>
                <w:lang w:val="es-MX" w:eastAsia="es-MX"/>
              </w:rPr>
            </w:pPr>
          </w:p>
        </w:tc>
        <w:tc>
          <w:tcPr>
            <w:tcW w:w="1697" w:type="dxa"/>
            <w:tcBorders>
              <w:top w:val="nil"/>
              <w:bottom w:val="nil"/>
            </w:tcBorders>
            <w:shd w:val="clear" w:color="auto" w:fill="auto"/>
            <w:noWrap/>
            <w:vAlign w:val="bottom"/>
          </w:tcPr>
          <w:p w14:paraId="156486F2" w14:textId="566D22E0" w:rsidR="00603B47" w:rsidRPr="0074154F" w:rsidRDefault="00603B47" w:rsidP="00603B47">
            <w:pPr>
              <w:tabs>
                <w:tab w:val="decimal" w:pos="1276"/>
              </w:tabs>
              <w:spacing w:after="0" w:line="240" w:lineRule="auto"/>
              <w:ind w:right="-13"/>
              <w:rPr>
                <w:rFonts w:ascii="Arial" w:eastAsia="Times New Roman" w:hAnsi="Arial" w:cs="Arial"/>
                <w:sz w:val="20"/>
                <w:szCs w:val="20"/>
                <w:lang w:val="es-MX" w:eastAsia="es-MX"/>
              </w:rPr>
            </w:pPr>
            <w:r w:rsidRPr="00D25C0B">
              <w:rPr>
                <w:rFonts w:ascii="Arial" w:eastAsia="Times New Roman" w:hAnsi="Arial" w:cs="Arial"/>
                <w:sz w:val="20"/>
                <w:szCs w:val="20"/>
                <w:lang w:val="es-MX" w:eastAsia="es-MX"/>
              </w:rPr>
              <w:t>0.</w:t>
            </w:r>
            <w:r>
              <w:rPr>
                <w:rFonts w:ascii="Arial" w:eastAsia="Times New Roman" w:hAnsi="Arial" w:cs="Arial"/>
                <w:sz w:val="20"/>
                <w:szCs w:val="20"/>
                <w:lang w:val="es-MX" w:eastAsia="es-MX"/>
              </w:rPr>
              <w:t>97</w:t>
            </w:r>
          </w:p>
        </w:tc>
        <w:tc>
          <w:tcPr>
            <w:tcW w:w="169" w:type="dxa"/>
            <w:tcBorders>
              <w:top w:val="nil"/>
              <w:bottom w:val="nil"/>
            </w:tcBorders>
            <w:shd w:val="clear" w:color="auto" w:fill="auto"/>
            <w:noWrap/>
            <w:vAlign w:val="bottom"/>
          </w:tcPr>
          <w:p w14:paraId="4C999EB9" w14:textId="77777777" w:rsidR="00603B47" w:rsidRPr="0074154F" w:rsidRDefault="00603B47" w:rsidP="00603B47">
            <w:pPr>
              <w:spacing w:after="0" w:line="240" w:lineRule="auto"/>
              <w:ind w:right="-68"/>
              <w:rPr>
                <w:rFonts w:ascii="Arial" w:eastAsia="Times New Roman" w:hAnsi="Arial" w:cs="Arial"/>
                <w:sz w:val="20"/>
                <w:szCs w:val="20"/>
                <w:lang w:val="es-MX" w:eastAsia="es-MX"/>
              </w:rPr>
            </w:pPr>
          </w:p>
        </w:tc>
        <w:tc>
          <w:tcPr>
            <w:tcW w:w="1138" w:type="dxa"/>
            <w:tcBorders>
              <w:top w:val="nil"/>
              <w:bottom w:val="nil"/>
            </w:tcBorders>
            <w:shd w:val="clear" w:color="auto" w:fill="auto"/>
            <w:noWrap/>
            <w:vAlign w:val="bottom"/>
          </w:tcPr>
          <w:p w14:paraId="3C6AEA83" w14:textId="65736436" w:rsidR="00603B47" w:rsidRPr="0074154F" w:rsidRDefault="00603B47" w:rsidP="00603B47">
            <w:pPr>
              <w:tabs>
                <w:tab w:val="decimal" w:pos="1276"/>
              </w:tabs>
              <w:spacing w:after="0" w:line="240" w:lineRule="auto"/>
              <w:rPr>
                <w:rFonts w:ascii="Arial" w:eastAsia="Times New Roman" w:hAnsi="Arial" w:cs="Arial"/>
                <w:sz w:val="20"/>
                <w:szCs w:val="20"/>
                <w:lang w:val="es-MX" w:eastAsia="es-MX"/>
              </w:rPr>
            </w:pPr>
            <w:r w:rsidRPr="00D25C0B">
              <w:rPr>
                <w:rFonts w:ascii="Arial" w:eastAsia="Times New Roman" w:hAnsi="Arial" w:cs="Arial"/>
                <w:sz w:val="20"/>
                <w:szCs w:val="20"/>
                <w:lang w:val="es-MX" w:eastAsia="es-MX"/>
              </w:rPr>
              <w:t>0.34</w:t>
            </w:r>
          </w:p>
        </w:tc>
      </w:tr>
    </w:tbl>
    <w:p w14:paraId="116CAC2D" w14:textId="265E2A15" w:rsidR="008C5927" w:rsidRPr="0074154F" w:rsidRDefault="008C5927" w:rsidP="00413455">
      <w:pPr>
        <w:tabs>
          <w:tab w:val="center" w:pos="2552"/>
          <w:tab w:val="center" w:pos="6804"/>
        </w:tabs>
        <w:spacing w:after="0" w:line="240" w:lineRule="auto"/>
        <w:ind w:right="-1"/>
        <w:rPr>
          <w:rFonts w:ascii="Arial" w:hAnsi="Arial" w:cs="Arial"/>
          <w:sz w:val="20"/>
          <w:szCs w:val="20"/>
        </w:rPr>
      </w:pPr>
    </w:p>
    <w:p w14:paraId="1EF37AAB" w14:textId="5F6E4C8C" w:rsidR="00977E23" w:rsidRDefault="00977E23" w:rsidP="00413455">
      <w:pPr>
        <w:spacing w:after="0" w:line="240" w:lineRule="auto"/>
        <w:rPr>
          <w:rFonts w:ascii="Arial" w:hAnsi="Arial" w:cs="Arial"/>
          <w:sz w:val="20"/>
          <w:szCs w:val="20"/>
        </w:rPr>
      </w:pPr>
    </w:p>
    <w:p w14:paraId="257B8A40" w14:textId="0F73889A" w:rsidR="001F0F2E" w:rsidRDefault="001F0F2E" w:rsidP="00413455">
      <w:pPr>
        <w:spacing w:after="0" w:line="240" w:lineRule="auto"/>
        <w:rPr>
          <w:rFonts w:ascii="Arial" w:hAnsi="Arial" w:cs="Arial"/>
          <w:sz w:val="20"/>
          <w:szCs w:val="20"/>
        </w:rPr>
      </w:pPr>
    </w:p>
    <w:p w14:paraId="65032FF2" w14:textId="46535265" w:rsidR="001F0F2E" w:rsidRDefault="001F0F2E" w:rsidP="00413455">
      <w:pPr>
        <w:spacing w:after="0" w:line="240" w:lineRule="auto"/>
        <w:rPr>
          <w:rFonts w:ascii="Arial" w:hAnsi="Arial" w:cs="Arial"/>
          <w:sz w:val="20"/>
          <w:szCs w:val="20"/>
        </w:rPr>
      </w:pPr>
    </w:p>
    <w:p w14:paraId="356A88E5" w14:textId="77777777" w:rsidR="007827D9" w:rsidRPr="0074154F" w:rsidRDefault="007827D9" w:rsidP="00413455">
      <w:pPr>
        <w:spacing w:after="0" w:line="240" w:lineRule="auto"/>
        <w:rPr>
          <w:rFonts w:ascii="Arial" w:hAnsi="Arial" w:cs="Arial"/>
          <w:sz w:val="20"/>
          <w:szCs w:val="20"/>
        </w:rPr>
      </w:pPr>
    </w:p>
    <w:p w14:paraId="0A008A37" w14:textId="77777777" w:rsidR="005B10F1" w:rsidRPr="0074154F" w:rsidRDefault="0011235E" w:rsidP="00413455">
      <w:pPr>
        <w:spacing w:after="0" w:line="240" w:lineRule="auto"/>
        <w:rPr>
          <w:rFonts w:ascii="Arial" w:hAnsi="Arial" w:cs="Arial"/>
          <w:sz w:val="20"/>
          <w:szCs w:val="20"/>
        </w:rPr>
      </w:pPr>
      <w:r w:rsidRPr="0074154F">
        <w:rPr>
          <w:rFonts w:ascii="Arial" w:hAnsi="Arial" w:cs="Arial"/>
          <w:sz w:val="20"/>
          <w:szCs w:val="20"/>
        </w:rPr>
        <w:t xml:space="preserve">  </w:t>
      </w:r>
    </w:p>
    <w:tbl>
      <w:tblPr>
        <w:tblW w:w="9072" w:type="dxa"/>
        <w:jc w:val="center"/>
        <w:tblLook w:val="01E0" w:firstRow="1" w:lastRow="1" w:firstColumn="1" w:lastColumn="1" w:noHBand="0" w:noVBand="0"/>
      </w:tblPr>
      <w:tblGrid>
        <w:gridCol w:w="3821"/>
        <w:gridCol w:w="1643"/>
        <w:gridCol w:w="3608"/>
      </w:tblGrid>
      <w:tr w:rsidR="005B10F1" w:rsidRPr="0074154F" w14:paraId="14255794" w14:textId="77777777" w:rsidTr="0064333C">
        <w:trPr>
          <w:trHeight w:val="283"/>
          <w:jc w:val="center"/>
        </w:trPr>
        <w:tc>
          <w:tcPr>
            <w:tcW w:w="3821" w:type="dxa"/>
            <w:tcBorders>
              <w:top w:val="single" w:sz="4" w:space="0" w:color="auto"/>
            </w:tcBorders>
          </w:tcPr>
          <w:p w14:paraId="51C32630" w14:textId="77777777" w:rsidR="005B10F1" w:rsidRPr="0074154F" w:rsidRDefault="005B10F1" w:rsidP="0064333C">
            <w:pPr>
              <w:pStyle w:val="Footer"/>
              <w:ind w:right="-9"/>
              <w:contextualSpacing/>
              <w:mirrorIndents/>
              <w:jc w:val="center"/>
              <w:rPr>
                <w:rFonts w:ascii="Arial" w:hAnsi="Arial" w:cs="Arial"/>
                <w:sz w:val="20"/>
                <w:szCs w:val="20"/>
                <w:lang w:val="en-US"/>
              </w:rPr>
            </w:pPr>
            <w:r w:rsidRPr="0074154F">
              <w:rPr>
                <w:rFonts w:ascii="Arial" w:hAnsi="Arial" w:cs="Arial"/>
                <w:sz w:val="20"/>
                <w:szCs w:val="20"/>
                <w:lang w:val="en-US"/>
              </w:rPr>
              <w:t>Ing. Tomislav Topic</w:t>
            </w:r>
          </w:p>
        </w:tc>
        <w:tc>
          <w:tcPr>
            <w:tcW w:w="1643" w:type="dxa"/>
          </w:tcPr>
          <w:p w14:paraId="469CE0D8" w14:textId="77777777" w:rsidR="005B10F1" w:rsidRPr="0074154F" w:rsidRDefault="005B10F1" w:rsidP="0064333C">
            <w:pPr>
              <w:pStyle w:val="Footer"/>
              <w:ind w:right="-9"/>
              <w:contextualSpacing/>
              <w:mirrorIndents/>
              <w:jc w:val="center"/>
              <w:rPr>
                <w:rFonts w:ascii="Arial" w:hAnsi="Arial" w:cs="Arial"/>
                <w:sz w:val="20"/>
                <w:szCs w:val="20"/>
                <w:lang w:val="en-US"/>
              </w:rPr>
            </w:pPr>
          </w:p>
        </w:tc>
        <w:tc>
          <w:tcPr>
            <w:tcW w:w="3608" w:type="dxa"/>
            <w:tcBorders>
              <w:top w:val="single" w:sz="4" w:space="0" w:color="auto"/>
            </w:tcBorders>
          </w:tcPr>
          <w:p w14:paraId="0B6A9D68" w14:textId="41A26EC2" w:rsidR="005B10F1" w:rsidRPr="0074154F" w:rsidRDefault="00DB59ED" w:rsidP="0064333C">
            <w:pPr>
              <w:pStyle w:val="Footer"/>
              <w:ind w:right="-9"/>
              <w:contextualSpacing/>
              <w:mirrorIndents/>
              <w:jc w:val="center"/>
              <w:rPr>
                <w:rFonts w:ascii="Arial" w:hAnsi="Arial" w:cs="Arial"/>
                <w:sz w:val="20"/>
                <w:szCs w:val="20"/>
              </w:rPr>
            </w:pPr>
            <w:r w:rsidRPr="0074154F">
              <w:rPr>
                <w:rFonts w:ascii="Arial" w:hAnsi="Arial" w:cs="Arial"/>
                <w:sz w:val="20"/>
                <w:szCs w:val="20"/>
              </w:rPr>
              <w:t xml:space="preserve">CPA. </w:t>
            </w:r>
            <w:r w:rsidR="002D5A87" w:rsidRPr="0074154F">
              <w:rPr>
                <w:rFonts w:ascii="Arial" w:hAnsi="Arial" w:cs="Arial"/>
                <w:sz w:val="20"/>
                <w:szCs w:val="20"/>
              </w:rPr>
              <w:t>Félix</w:t>
            </w:r>
            <w:r w:rsidR="005B10F1" w:rsidRPr="0074154F">
              <w:rPr>
                <w:rFonts w:ascii="Arial" w:hAnsi="Arial" w:cs="Arial"/>
                <w:sz w:val="20"/>
                <w:szCs w:val="20"/>
              </w:rPr>
              <w:t xml:space="preserve"> Valarezo</w:t>
            </w:r>
          </w:p>
        </w:tc>
      </w:tr>
      <w:tr w:rsidR="005B10F1" w:rsidRPr="0074154F" w14:paraId="06C0BFDC" w14:textId="77777777" w:rsidTr="0064333C">
        <w:trPr>
          <w:trHeight w:val="283"/>
          <w:jc w:val="center"/>
        </w:trPr>
        <w:tc>
          <w:tcPr>
            <w:tcW w:w="3821" w:type="dxa"/>
          </w:tcPr>
          <w:p w14:paraId="779D9677" w14:textId="77777777" w:rsidR="005B10F1" w:rsidRPr="0074154F" w:rsidRDefault="005B10F1" w:rsidP="0064333C">
            <w:pPr>
              <w:pStyle w:val="Footer"/>
              <w:ind w:right="-9"/>
              <w:contextualSpacing/>
              <w:mirrorIndents/>
              <w:jc w:val="center"/>
              <w:rPr>
                <w:rFonts w:ascii="Arial" w:hAnsi="Arial" w:cs="Arial"/>
                <w:sz w:val="20"/>
                <w:szCs w:val="20"/>
              </w:rPr>
            </w:pPr>
            <w:r w:rsidRPr="0074154F">
              <w:rPr>
                <w:rFonts w:ascii="Arial" w:hAnsi="Arial" w:cs="Arial"/>
                <w:sz w:val="20"/>
                <w:szCs w:val="20"/>
              </w:rPr>
              <w:t>Gerente General</w:t>
            </w:r>
          </w:p>
        </w:tc>
        <w:tc>
          <w:tcPr>
            <w:tcW w:w="1643" w:type="dxa"/>
          </w:tcPr>
          <w:p w14:paraId="73A23AEE" w14:textId="77777777" w:rsidR="005B10F1" w:rsidRPr="0074154F" w:rsidRDefault="005B10F1" w:rsidP="0064333C">
            <w:pPr>
              <w:pStyle w:val="Footer"/>
              <w:ind w:right="-36"/>
              <w:contextualSpacing/>
              <w:mirrorIndents/>
              <w:jc w:val="center"/>
              <w:rPr>
                <w:rFonts w:ascii="Arial" w:hAnsi="Arial" w:cs="Arial"/>
                <w:sz w:val="20"/>
                <w:szCs w:val="20"/>
              </w:rPr>
            </w:pPr>
          </w:p>
        </w:tc>
        <w:tc>
          <w:tcPr>
            <w:tcW w:w="3608" w:type="dxa"/>
          </w:tcPr>
          <w:p w14:paraId="31BBA549" w14:textId="77777777" w:rsidR="005B10F1" w:rsidRPr="0074154F" w:rsidRDefault="005B10F1" w:rsidP="0064333C">
            <w:pPr>
              <w:pStyle w:val="Footer"/>
              <w:ind w:right="-36"/>
              <w:contextualSpacing/>
              <w:mirrorIndents/>
              <w:jc w:val="center"/>
              <w:rPr>
                <w:rFonts w:ascii="Arial" w:hAnsi="Arial" w:cs="Arial"/>
                <w:sz w:val="20"/>
                <w:szCs w:val="20"/>
              </w:rPr>
            </w:pPr>
            <w:r w:rsidRPr="0074154F">
              <w:rPr>
                <w:rFonts w:ascii="Arial" w:hAnsi="Arial" w:cs="Arial"/>
                <w:sz w:val="20"/>
                <w:szCs w:val="20"/>
              </w:rPr>
              <w:t>Contador General</w:t>
            </w:r>
          </w:p>
        </w:tc>
      </w:tr>
    </w:tbl>
    <w:p w14:paraId="4CBD7046" w14:textId="1190566A" w:rsidR="00904ABF" w:rsidRPr="0074154F" w:rsidRDefault="0011235E" w:rsidP="007827D9">
      <w:pPr>
        <w:spacing w:after="0" w:line="240" w:lineRule="auto"/>
        <w:rPr>
          <w:rFonts w:ascii="Arial" w:hAnsi="Arial" w:cs="Arial"/>
          <w:sz w:val="20"/>
          <w:szCs w:val="20"/>
        </w:rPr>
      </w:pPr>
      <w:r w:rsidRPr="0074154F">
        <w:rPr>
          <w:rFonts w:ascii="Arial" w:hAnsi="Arial" w:cs="Arial"/>
          <w:sz w:val="20"/>
          <w:szCs w:val="20"/>
        </w:rPr>
        <w:t xml:space="preserve"> </w:t>
      </w:r>
    </w:p>
    <w:p w14:paraId="7B8D2E36" w14:textId="4C5E807D" w:rsidR="00646914" w:rsidRPr="0074154F" w:rsidRDefault="00646914" w:rsidP="00413455">
      <w:pPr>
        <w:pBdr>
          <w:bottom w:val="single" w:sz="4" w:space="1" w:color="auto"/>
        </w:pBdr>
        <w:spacing w:after="0" w:line="240" w:lineRule="auto"/>
        <w:contextualSpacing/>
        <w:mirrorIndents/>
        <w:rPr>
          <w:rFonts w:ascii="Arial" w:hAnsi="Arial" w:cs="Arial"/>
          <w:sz w:val="20"/>
          <w:szCs w:val="20"/>
        </w:rPr>
      </w:pPr>
      <w:r w:rsidRPr="0074154F">
        <w:rPr>
          <w:rFonts w:ascii="Arial" w:hAnsi="Arial" w:cs="Arial"/>
          <w:sz w:val="20"/>
          <w:szCs w:val="20"/>
        </w:rPr>
        <w:t xml:space="preserve">Ver notas a los estados financieros </w:t>
      </w:r>
      <w:r w:rsidR="005D1D61">
        <w:rPr>
          <w:rFonts w:ascii="Arial" w:hAnsi="Arial" w:cs="Arial"/>
          <w:sz w:val="20"/>
          <w:szCs w:val="20"/>
        </w:rPr>
        <w:t>y compañía relacionada</w:t>
      </w:r>
    </w:p>
    <w:p w14:paraId="26C80E0F" w14:textId="2A3DB9CE" w:rsidR="00444E6B" w:rsidRPr="0074154F" w:rsidRDefault="005B10F1" w:rsidP="00413455">
      <w:pPr>
        <w:spacing w:after="0" w:line="240" w:lineRule="auto"/>
        <w:ind w:right="-1"/>
        <w:jc w:val="center"/>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893042" w:rsidRPr="0074154F">
        <w:rPr>
          <w:rFonts w:ascii="Arial" w:hAnsi="Arial" w:cs="Arial"/>
          <w:b/>
          <w:sz w:val="20"/>
          <w:szCs w:val="20"/>
          <w:u w:val="single"/>
          <w:lang w:val="es-MX"/>
        </w:rPr>
        <w:t xml:space="preserve"> Y COMPAÑÍA</w:t>
      </w:r>
      <w:r w:rsidR="00190769">
        <w:rPr>
          <w:rFonts w:ascii="Arial" w:hAnsi="Arial" w:cs="Arial"/>
          <w:b/>
          <w:sz w:val="20"/>
          <w:szCs w:val="20"/>
          <w:u w:val="single"/>
          <w:lang w:val="es-MX"/>
        </w:rPr>
        <w:t xml:space="preserve"> RELACIONADA</w:t>
      </w:r>
    </w:p>
    <w:p w14:paraId="63D027DE" w14:textId="77777777" w:rsidR="00F67FFE" w:rsidRPr="0074154F" w:rsidRDefault="00F67FFE" w:rsidP="00413455">
      <w:pPr>
        <w:spacing w:after="0" w:line="240" w:lineRule="auto"/>
        <w:jc w:val="center"/>
        <w:rPr>
          <w:rFonts w:ascii="Arial" w:eastAsia="Times New Roman" w:hAnsi="Arial" w:cs="Arial"/>
          <w:sz w:val="20"/>
          <w:szCs w:val="20"/>
          <w:lang w:val="es-MX"/>
        </w:rPr>
      </w:pPr>
    </w:p>
    <w:p w14:paraId="4396685C" w14:textId="1A08EF2F" w:rsidR="00575521" w:rsidRPr="0074154F" w:rsidRDefault="00692A2E" w:rsidP="00413455">
      <w:pPr>
        <w:keepNext/>
        <w:spacing w:after="0" w:line="240" w:lineRule="auto"/>
        <w:contextualSpacing/>
        <w:mirrorIndents/>
        <w:jc w:val="center"/>
        <w:outlineLvl w:val="2"/>
        <w:rPr>
          <w:rFonts w:ascii="Arial" w:hAnsi="Arial" w:cs="Arial"/>
          <w:sz w:val="20"/>
          <w:szCs w:val="20"/>
        </w:rPr>
      </w:pPr>
      <w:r w:rsidRPr="0074154F">
        <w:rPr>
          <w:rFonts w:ascii="Arial" w:hAnsi="Arial" w:cs="Arial"/>
          <w:sz w:val="20"/>
          <w:szCs w:val="20"/>
        </w:rPr>
        <w:t xml:space="preserve">Estado </w:t>
      </w:r>
      <w:r w:rsidR="00F45378" w:rsidRPr="0074154F">
        <w:rPr>
          <w:rFonts w:ascii="Arial" w:hAnsi="Arial" w:cs="Arial"/>
          <w:sz w:val="20"/>
          <w:szCs w:val="20"/>
        </w:rPr>
        <w:t>Consolidado</w:t>
      </w:r>
      <w:r w:rsidR="00C34297" w:rsidRPr="0074154F">
        <w:rPr>
          <w:rFonts w:ascii="Arial" w:hAnsi="Arial" w:cs="Arial"/>
          <w:sz w:val="20"/>
          <w:szCs w:val="20"/>
        </w:rPr>
        <w:t xml:space="preserve"> </w:t>
      </w:r>
      <w:r w:rsidRPr="0074154F">
        <w:rPr>
          <w:rFonts w:ascii="Arial" w:hAnsi="Arial" w:cs="Arial"/>
          <w:sz w:val="20"/>
          <w:szCs w:val="20"/>
        </w:rPr>
        <w:t>de</w:t>
      </w:r>
      <w:r w:rsidR="00575521" w:rsidRPr="0074154F">
        <w:rPr>
          <w:rFonts w:ascii="Arial" w:hAnsi="Arial" w:cs="Arial"/>
          <w:sz w:val="20"/>
          <w:szCs w:val="20"/>
        </w:rPr>
        <w:t xml:space="preserve"> Cambios en el Patrimonio</w:t>
      </w:r>
      <w:r w:rsidR="00575521" w:rsidRPr="0074154F">
        <w:rPr>
          <w:rFonts w:ascii="Arial" w:hAnsi="Arial" w:cs="Arial"/>
          <w:sz w:val="20"/>
          <w:szCs w:val="20"/>
        </w:rPr>
        <w:br/>
        <w:t xml:space="preserve">Por el año terminado el 31 de </w:t>
      </w:r>
      <w:r w:rsidR="00822ED2" w:rsidRPr="0074154F">
        <w:rPr>
          <w:rFonts w:ascii="Arial" w:hAnsi="Arial" w:cs="Arial"/>
          <w:sz w:val="20"/>
          <w:szCs w:val="20"/>
        </w:rPr>
        <w:t>diciembre del 20</w:t>
      </w:r>
      <w:r w:rsidR="00BA6ABA" w:rsidRPr="0074154F">
        <w:rPr>
          <w:rFonts w:ascii="Arial" w:hAnsi="Arial" w:cs="Arial"/>
          <w:sz w:val="20"/>
          <w:szCs w:val="20"/>
        </w:rPr>
        <w:t>20</w:t>
      </w:r>
    </w:p>
    <w:p w14:paraId="7C2E5CCC" w14:textId="7D41DD83" w:rsidR="00444E6B" w:rsidRPr="0074154F" w:rsidRDefault="00444E6B"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ind w:right="-1"/>
        <w:jc w:val="center"/>
        <w:rPr>
          <w:rFonts w:ascii="Arial" w:hAnsi="Arial" w:cs="Arial"/>
          <w:lang w:val="es-EC" w:eastAsia="es-ES"/>
        </w:rPr>
      </w:pPr>
      <w:r w:rsidRPr="0074154F">
        <w:rPr>
          <w:rFonts w:ascii="Arial" w:hAnsi="Arial" w:cs="Arial"/>
          <w:lang w:val="es-EC" w:eastAsia="es-ES"/>
        </w:rPr>
        <w:t>(En dólares de los Estados Unidos de</w:t>
      </w:r>
      <w:r w:rsidR="000A6E4A" w:rsidRPr="0074154F">
        <w:rPr>
          <w:rFonts w:ascii="Arial" w:hAnsi="Arial" w:cs="Arial"/>
          <w:lang w:val="es-EC" w:eastAsia="es-ES"/>
        </w:rPr>
        <w:t>l</w:t>
      </w:r>
      <w:r w:rsidRPr="0074154F">
        <w:rPr>
          <w:rFonts w:ascii="Arial" w:hAnsi="Arial" w:cs="Arial"/>
          <w:lang w:val="es-EC" w:eastAsia="es-ES"/>
        </w:rPr>
        <w:t xml:space="preserve"> América) </w:t>
      </w:r>
    </w:p>
    <w:p w14:paraId="19AAF3F9" w14:textId="77777777" w:rsidR="00444E6B" w:rsidRPr="0074154F" w:rsidRDefault="00444E6B" w:rsidP="00413455">
      <w:pPr>
        <w:spacing w:after="0" w:line="240" w:lineRule="auto"/>
        <w:rPr>
          <w:rFonts w:ascii="Arial" w:hAnsi="Arial" w:cs="Arial"/>
          <w:sz w:val="20"/>
          <w:szCs w:val="20"/>
        </w:rPr>
      </w:pPr>
    </w:p>
    <w:tbl>
      <w:tblPr>
        <w:tblW w:w="9497" w:type="dxa"/>
        <w:jc w:val="center"/>
        <w:tblLayout w:type="fixed"/>
        <w:tblCellMar>
          <w:left w:w="70" w:type="dxa"/>
          <w:right w:w="70" w:type="dxa"/>
        </w:tblCellMar>
        <w:tblLook w:val="04A0" w:firstRow="1" w:lastRow="0" w:firstColumn="1" w:lastColumn="0" w:noHBand="0" w:noVBand="1"/>
      </w:tblPr>
      <w:tblGrid>
        <w:gridCol w:w="2835"/>
        <w:gridCol w:w="1276"/>
        <w:gridCol w:w="170"/>
        <w:gridCol w:w="1389"/>
        <w:gridCol w:w="170"/>
        <w:gridCol w:w="964"/>
        <w:gridCol w:w="162"/>
        <w:gridCol w:w="1256"/>
        <w:gridCol w:w="170"/>
        <w:gridCol w:w="1105"/>
      </w:tblGrid>
      <w:tr w:rsidR="00E54F53" w:rsidRPr="00FB7FF9" w14:paraId="01C84A19" w14:textId="77777777" w:rsidTr="00BC45BB">
        <w:trPr>
          <w:trHeight w:val="283"/>
          <w:jc w:val="center"/>
        </w:trPr>
        <w:tc>
          <w:tcPr>
            <w:tcW w:w="2835" w:type="dxa"/>
            <w:tcBorders>
              <w:left w:val="nil"/>
              <w:right w:val="nil"/>
            </w:tcBorders>
            <w:shd w:val="clear" w:color="auto" w:fill="auto"/>
            <w:noWrap/>
            <w:vAlign w:val="bottom"/>
            <w:hideMark/>
          </w:tcPr>
          <w:p w14:paraId="5C4AC6B1" w14:textId="77777777" w:rsidR="00E54F53" w:rsidRPr="00FB7FF9" w:rsidRDefault="00E54F53" w:rsidP="00413455">
            <w:pPr>
              <w:spacing w:after="0" w:line="240" w:lineRule="auto"/>
              <w:ind w:left="-75"/>
              <w:jc w:val="center"/>
              <w:rPr>
                <w:rFonts w:ascii="Arial" w:hAnsi="Arial" w:cs="Arial"/>
                <w:b/>
                <w:sz w:val="17"/>
                <w:szCs w:val="17"/>
              </w:rPr>
            </w:pPr>
          </w:p>
        </w:tc>
        <w:tc>
          <w:tcPr>
            <w:tcW w:w="1276" w:type="dxa"/>
            <w:tcBorders>
              <w:left w:val="nil"/>
              <w:bottom w:val="single" w:sz="8" w:space="0" w:color="auto"/>
              <w:right w:val="nil"/>
            </w:tcBorders>
            <w:shd w:val="clear" w:color="auto" w:fill="auto"/>
            <w:noWrap/>
            <w:vAlign w:val="bottom"/>
            <w:hideMark/>
          </w:tcPr>
          <w:p w14:paraId="174A712F" w14:textId="77777777"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Capital</w:t>
            </w:r>
          </w:p>
          <w:p w14:paraId="351091ED" w14:textId="12EFB8E3"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Social</w:t>
            </w:r>
          </w:p>
        </w:tc>
        <w:tc>
          <w:tcPr>
            <w:tcW w:w="170" w:type="dxa"/>
            <w:tcBorders>
              <w:left w:val="nil"/>
              <w:right w:val="nil"/>
            </w:tcBorders>
            <w:vAlign w:val="bottom"/>
          </w:tcPr>
          <w:p w14:paraId="57BAEF83" w14:textId="77777777" w:rsidR="00E54F53" w:rsidRPr="00FB7FF9" w:rsidRDefault="00E54F53" w:rsidP="00413455">
            <w:pPr>
              <w:spacing w:after="0" w:line="240" w:lineRule="auto"/>
              <w:jc w:val="center"/>
              <w:rPr>
                <w:rFonts w:ascii="Arial" w:hAnsi="Arial" w:cs="Arial"/>
                <w:b/>
                <w:sz w:val="17"/>
                <w:szCs w:val="17"/>
              </w:rPr>
            </w:pPr>
          </w:p>
        </w:tc>
        <w:tc>
          <w:tcPr>
            <w:tcW w:w="1389" w:type="dxa"/>
            <w:tcBorders>
              <w:left w:val="nil"/>
              <w:bottom w:val="single" w:sz="8" w:space="0" w:color="auto"/>
              <w:right w:val="nil"/>
            </w:tcBorders>
            <w:vAlign w:val="bottom"/>
          </w:tcPr>
          <w:p w14:paraId="3A154813" w14:textId="25773754"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Aportes para futura</w:t>
            </w:r>
            <w:r w:rsidR="00366181">
              <w:rPr>
                <w:rFonts w:ascii="Arial" w:hAnsi="Arial" w:cs="Arial"/>
                <w:b/>
                <w:sz w:val="17"/>
                <w:szCs w:val="17"/>
              </w:rPr>
              <w:t xml:space="preserve"> </w:t>
            </w:r>
            <w:r w:rsidRPr="00FB7FF9">
              <w:rPr>
                <w:rFonts w:ascii="Arial" w:hAnsi="Arial" w:cs="Arial"/>
                <w:b/>
                <w:sz w:val="17"/>
                <w:szCs w:val="17"/>
              </w:rPr>
              <w:t>capitalización</w:t>
            </w:r>
          </w:p>
        </w:tc>
        <w:tc>
          <w:tcPr>
            <w:tcW w:w="170" w:type="dxa"/>
            <w:tcBorders>
              <w:left w:val="nil"/>
              <w:right w:val="nil"/>
            </w:tcBorders>
            <w:vAlign w:val="bottom"/>
          </w:tcPr>
          <w:p w14:paraId="5D7AE3BB" w14:textId="77777777" w:rsidR="00E54F53" w:rsidRPr="00FB7FF9" w:rsidRDefault="00E54F53" w:rsidP="00413455">
            <w:pPr>
              <w:spacing w:after="0" w:line="240" w:lineRule="auto"/>
              <w:jc w:val="center"/>
              <w:rPr>
                <w:rFonts w:ascii="Arial" w:hAnsi="Arial" w:cs="Arial"/>
                <w:b/>
                <w:sz w:val="17"/>
                <w:szCs w:val="17"/>
              </w:rPr>
            </w:pPr>
          </w:p>
        </w:tc>
        <w:tc>
          <w:tcPr>
            <w:tcW w:w="964" w:type="dxa"/>
            <w:tcBorders>
              <w:left w:val="nil"/>
              <w:bottom w:val="single" w:sz="8" w:space="0" w:color="auto"/>
              <w:right w:val="nil"/>
            </w:tcBorders>
            <w:vAlign w:val="bottom"/>
          </w:tcPr>
          <w:p w14:paraId="07E3D65E" w14:textId="1CC3076A"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Reservas</w:t>
            </w:r>
          </w:p>
        </w:tc>
        <w:tc>
          <w:tcPr>
            <w:tcW w:w="162" w:type="dxa"/>
            <w:tcBorders>
              <w:left w:val="nil"/>
              <w:right w:val="nil"/>
            </w:tcBorders>
          </w:tcPr>
          <w:p w14:paraId="63ACF05A" w14:textId="432BF1B0" w:rsidR="00E54F53" w:rsidRPr="00FB7FF9" w:rsidRDefault="00E54F53" w:rsidP="00413455">
            <w:pPr>
              <w:spacing w:after="0" w:line="240" w:lineRule="auto"/>
              <w:jc w:val="center"/>
              <w:rPr>
                <w:rFonts w:ascii="Arial" w:hAnsi="Arial" w:cs="Arial"/>
                <w:b/>
                <w:sz w:val="17"/>
                <w:szCs w:val="17"/>
              </w:rPr>
            </w:pPr>
          </w:p>
        </w:tc>
        <w:tc>
          <w:tcPr>
            <w:tcW w:w="1256" w:type="dxa"/>
            <w:tcBorders>
              <w:left w:val="nil"/>
              <w:bottom w:val="single" w:sz="8" w:space="0" w:color="auto"/>
              <w:right w:val="nil"/>
            </w:tcBorders>
            <w:shd w:val="clear" w:color="auto" w:fill="auto"/>
            <w:noWrap/>
            <w:vAlign w:val="bottom"/>
            <w:hideMark/>
          </w:tcPr>
          <w:p w14:paraId="4E7F6D2D" w14:textId="5E75AE4F"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Resultados acumulados</w:t>
            </w:r>
          </w:p>
        </w:tc>
        <w:tc>
          <w:tcPr>
            <w:tcW w:w="170" w:type="dxa"/>
            <w:tcBorders>
              <w:left w:val="nil"/>
              <w:right w:val="nil"/>
            </w:tcBorders>
            <w:vAlign w:val="bottom"/>
          </w:tcPr>
          <w:p w14:paraId="098C34F0" w14:textId="77777777" w:rsidR="00E54F53" w:rsidRPr="00FB7FF9" w:rsidRDefault="00E54F53" w:rsidP="00413455">
            <w:pPr>
              <w:spacing w:after="0" w:line="240" w:lineRule="auto"/>
              <w:jc w:val="center"/>
              <w:rPr>
                <w:rFonts w:ascii="Arial" w:hAnsi="Arial" w:cs="Arial"/>
                <w:b/>
                <w:sz w:val="17"/>
                <w:szCs w:val="17"/>
              </w:rPr>
            </w:pPr>
          </w:p>
        </w:tc>
        <w:tc>
          <w:tcPr>
            <w:tcW w:w="1105" w:type="dxa"/>
            <w:tcBorders>
              <w:left w:val="nil"/>
              <w:bottom w:val="single" w:sz="8" w:space="0" w:color="auto"/>
              <w:right w:val="nil"/>
            </w:tcBorders>
            <w:shd w:val="clear" w:color="auto" w:fill="auto"/>
            <w:noWrap/>
            <w:vAlign w:val="bottom"/>
            <w:hideMark/>
          </w:tcPr>
          <w:p w14:paraId="62D789A4" w14:textId="5EF3342F" w:rsidR="00E54F53" w:rsidRPr="00FB7FF9" w:rsidRDefault="00E54F53" w:rsidP="00413455">
            <w:pPr>
              <w:spacing w:after="0" w:line="240" w:lineRule="auto"/>
              <w:jc w:val="center"/>
              <w:rPr>
                <w:rFonts w:ascii="Arial" w:hAnsi="Arial" w:cs="Arial"/>
                <w:b/>
                <w:sz w:val="17"/>
                <w:szCs w:val="17"/>
              </w:rPr>
            </w:pPr>
            <w:r w:rsidRPr="00FB7FF9">
              <w:rPr>
                <w:rFonts w:ascii="Arial" w:hAnsi="Arial" w:cs="Arial"/>
                <w:b/>
                <w:sz w:val="17"/>
                <w:szCs w:val="17"/>
              </w:rPr>
              <w:t>Total</w:t>
            </w:r>
          </w:p>
        </w:tc>
      </w:tr>
      <w:tr w:rsidR="00E54F53" w:rsidRPr="00FB7FF9" w14:paraId="231BFF4F" w14:textId="77777777" w:rsidTr="00BC45BB">
        <w:trPr>
          <w:trHeight w:val="283"/>
          <w:jc w:val="center"/>
        </w:trPr>
        <w:tc>
          <w:tcPr>
            <w:tcW w:w="2835" w:type="dxa"/>
            <w:tcBorders>
              <w:left w:val="nil"/>
              <w:right w:val="nil"/>
            </w:tcBorders>
            <w:shd w:val="clear" w:color="auto" w:fill="auto"/>
            <w:noWrap/>
            <w:vAlign w:val="bottom"/>
          </w:tcPr>
          <w:p w14:paraId="7BCF5BAC" w14:textId="77777777" w:rsidR="00E54F53" w:rsidRPr="00FB7FF9" w:rsidRDefault="00E54F53" w:rsidP="00413455">
            <w:pPr>
              <w:spacing w:after="0" w:line="240" w:lineRule="auto"/>
              <w:ind w:left="-75"/>
              <w:rPr>
                <w:rFonts w:ascii="Arial" w:hAnsi="Arial" w:cs="Arial"/>
                <w:b/>
                <w:sz w:val="17"/>
                <w:szCs w:val="17"/>
              </w:rPr>
            </w:pPr>
          </w:p>
        </w:tc>
        <w:tc>
          <w:tcPr>
            <w:tcW w:w="1276" w:type="dxa"/>
            <w:tcBorders>
              <w:top w:val="single" w:sz="8" w:space="0" w:color="auto"/>
              <w:left w:val="nil"/>
              <w:right w:val="nil"/>
            </w:tcBorders>
            <w:shd w:val="clear" w:color="auto" w:fill="auto"/>
            <w:noWrap/>
            <w:vAlign w:val="bottom"/>
          </w:tcPr>
          <w:p w14:paraId="5CFCD756" w14:textId="77777777" w:rsidR="00E54F53" w:rsidRPr="00FB7FF9" w:rsidRDefault="00E54F53" w:rsidP="00413455">
            <w:pPr>
              <w:spacing w:after="0" w:line="240" w:lineRule="auto"/>
              <w:rPr>
                <w:rFonts w:ascii="Arial" w:hAnsi="Arial" w:cs="Arial"/>
                <w:b/>
                <w:sz w:val="17"/>
                <w:szCs w:val="17"/>
              </w:rPr>
            </w:pPr>
          </w:p>
        </w:tc>
        <w:tc>
          <w:tcPr>
            <w:tcW w:w="170" w:type="dxa"/>
            <w:tcBorders>
              <w:left w:val="nil"/>
              <w:right w:val="nil"/>
            </w:tcBorders>
            <w:vAlign w:val="bottom"/>
          </w:tcPr>
          <w:p w14:paraId="6ADDE6C4" w14:textId="77777777" w:rsidR="00E54F53" w:rsidRPr="00FB7FF9" w:rsidRDefault="00E54F53" w:rsidP="00413455">
            <w:pPr>
              <w:spacing w:after="0" w:line="240" w:lineRule="auto"/>
              <w:rPr>
                <w:rFonts w:ascii="Arial" w:hAnsi="Arial" w:cs="Arial"/>
                <w:b/>
                <w:sz w:val="17"/>
                <w:szCs w:val="17"/>
              </w:rPr>
            </w:pPr>
          </w:p>
        </w:tc>
        <w:tc>
          <w:tcPr>
            <w:tcW w:w="1389" w:type="dxa"/>
            <w:tcBorders>
              <w:top w:val="single" w:sz="8" w:space="0" w:color="auto"/>
              <w:left w:val="nil"/>
              <w:right w:val="nil"/>
            </w:tcBorders>
            <w:vAlign w:val="bottom"/>
          </w:tcPr>
          <w:p w14:paraId="5DEAD5F4" w14:textId="77777777" w:rsidR="00E54F53" w:rsidRPr="00FB7FF9" w:rsidRDefault="00E54F53" w:rsidP="00413455">
            <w:pPr>
              <w:spacing w:after="0" w:line="240" w:lineRule="auto"/>
              <w:rPr>
                <w:rFonts w:ascii="Arial" w:hAnsi="Arial" w:cs="Arial"/>
                <w:b/>
                <w:sz w:val="17"/>
                <w:szCs w:val="17"/>
              </w:rPr>
            </w:pPr>
          </w:p>
        </w:tc>
        <w:tc>
          <w:tcPr>
            <w:tcW w:w="170" w:type="dxa"/>
            <w:tcBorders>
              <w:left w:val="nil"/>
              <w:right w:val="nil"/>
            </w:tcBorders>
            <w:vAlign w:val="bottom"/>
          </w:tcPr>
          <w:p w14:paraId="151EC916" w14:textId="77777777" w:rsidR="00E54F53" w:rsidRPr="00FB7FF9" w:rsidRDefault="00E54F53" w:rsidP="00413455">
            <w:pPr>
              <w:spacing w:after="0" w:line="240" w:lineRule="auto"/>
              <w:rPr>
                <w:rFonts w:ascii="Arial" w:hAnsi="Arial" w:cs="Arial"/>
                <w:b/>
                <w:sz w:val="17"/>
                <w:szCs w:val="17"/>
              </w:rPr>
            </w:pPr>
          </w:p>
        </w:tc>
        <w:tc>
          <w:tcPr>
            <w:tcW w:w="964" w:type="dxa"/>
            <w:tcBorders>
              <w:top w:val="single" w:sz="8" w:space="0" w:color="auto"/>
              <w:left w:val="nil"/>
              <w:right w:val="nil"/>
            </w:tcBorders>
          </w:tcPr>
          <w:p w14:paraId="7C1B9360" w14:textId="77777777" w:rsidR="00E54F53" w:rsidRPr="00FB7FF9" w:rsidRDefault="00E54F53" w:rsidP="00413455">
            <w:pPr>
              <w:spacing w:after="0" w:line="240" w:lineRule="auto"/>
              <w:rPr>
                <w:rFonts w:ascii="Arial" w:hAnsi="Arial" w:cs="Arial"/>
                <w:b/>
                <w:sz w:val="17"/>
                <w:szCs w:val="17"/>
              </w:rPr>
            </w:pPr>
          </w:p>
        </w:tc>
        <w:tc>
          <w:tcPr>
            <w:tcW w:w="162" w:type="dxa"/>
            <w:tcBorders>
              <w:left w:val="nil"/>
              <w:right w:val="nil"/>
            </w:tcBorders>
          </w:tcPr>
          <w:p w14:paraId="5FC7A0E7" w14:textId="4AA37711" w:rsidR="00E54F53" w:rsidRPr="00FB7FF9" w:rsidRDefault="00E54F53" w:rsidP="00413455">
            <w:pPr>
              <w:spacing w:after="0" w:line="240" w:lineRule="auto"/>
              <w:rPr>
                <w:rFonts w:ascii="Arial" w:hAnsi="Arial" w:cs="Arial"/>
                <w:b/>
                <w:sz w:val="17"/>
                <w:szCs w:val="17"/>
              </w:rPr>
            </w:pPr>
          </w:p>
        </w:tc>
        <w:tc>
          <w:tcPr>
            <w:tcW w:w="1256" w:type="dxa"/>
            <w:tcBorders>
              <w:top w:val="single" w:sz="8" w:space="0" w:color="auto"/>
              <w:left w:val="nil"/>
              <w:right w:val="nil"/>
            </w:tcBorders>
            <w:shd w:val="clear" w:color="auto" w:fill="auto"/>
            <w:noWrap/>
            <w:vAlign w:val="bottom"/>
          </w:tcPr>
          <w:p w14:paraId="5915037E" w14:textId="7C8D9CDC" w:rsidR="00E54F53" w:rsidRPr="00FB7FF9" w:rsidRDefault="00E54F53" w:rsidP="00413455">
            <w:pPr>
              <w:spacing w:after="0" w:line="240" w:lineRule="auto"/>
              <w:rPr>
                <w:rFonts w:ascii="Arial" w:hAnsi="Arial" w:cs="Arial"/>
                <w:b/>
                <w:sz w:val="17"/>
                <w:szCs w:val="17"/>
              </w:rPr>
            </w:pPr>
          </w:p>
        </w:tc>
        <w:tc>
          <w:tcPr>
            <w:tcW w:w="170" w:type="dxa"/>
            <w:tcBorders>
              <w:left w:val="nil"/>
              <w:right w:val="nil"/>
            </w:tcBorders>
            <w:vAlign w:val="bottom"/>
          </w:tcPr>
          <w:p w14:paraId="1633E2F3" w14:textId="77777777" w:rsidR="00E54F53" w:rsidRPr="00FB7FF9" w:rsidRDefault="00E54F53" w:rsidP="00413455">
            <w:pPr>
              <w:spacing w:after="0" w:line="240" w:lineRule="auto"/>
              <w:rPr>
                <w:rFonts w:ascii="Arial" w:hAnsi="Arial" w:cs="Arial"/>
                <w:b/>
                <w:sz w:val="17"/>
                <w:szCs w:val="17"/>
              </w:rPr>
            </w:pPr>
          </w:p>
        </w:tc>
        <w:tc>
          <w:tcPr>
            <w:tcW w:w="1105" w:type="dxa"/>
            <w:tcBorders>
              <w:top w:val="single" w:sz="8" w:space="0" w:color="auto"/>
              <w:left w:val="nil"/>
              <w:right w:val="nil"/>
            </w:tcBorders>
            <w:shd w:val="clear" w:color="auto" w:fill="auto"/>
            <w:noWrap/>
            <w:vAlign w:val="bottom"/>
          </w:tcPr>
          <w:p w14:paraId="5F964683" w14:textId="4E4B6BA4" w:rsidR="00E54F53" w:rsidRPr="00FB7FF9" w:rsidRDefault="00E54F53" w:rsidP="00413455">
            <w:pPr>
              <w:spacing w:after="0" w:line="240" w:lineRule="auto"/>
              <w:rPr>
                <w:rFonts w:ascii="Arial" w:hAnsi="Arial" w:cs="Arial"/>
                <w:b/>
                <w:sz w:val="17"/>
                <w:szCs w:val="17"/>
              </w:rPr>
            </w:pPr>
          </w:p>
        </w:tc>
      </w:tr>
      <w:tr w:rsidR="00E54F53" w:rsidRPr="00FB7FF9" w14:paraId="6447DA34" w14:textId="77777777" w:rsidTr="00BC45BB">
        <w:trPr>
          <w:trHeight w:val="283"/>
          <w:jc w:val="center"/>
        </w:trPr>
        <w:tc>
          <w:tcPr>
            <w:tcW w:w="2835" w:type="dxa"/>
            <w:tcBorders>
              <w:top w:val="nil"/>
              <w:left w:val="nil"/>
              <w:bottom w:val="nil"/>
              <w:right w:val="nil"/>
            </w:tcBorders>
            <w:shd w:val="clear" w:color="auto" w:fill="auto"/>
            <w:noWrap/>
            <w:vAlign w:val="bottom"/>
          </w:tcPr>
          <w:p w14:paraId="041E4CE0" w14:textId="1AB16CA8" w:rsidR="00E54F53" w:rsidRPr="00FB7FF9" w:rsidRDefault="00E54F53" w:rsidP="00BA6ABA">
            <w:pPr>
              <w:spacing w:after="0" w:line="240" w:lineRule="auto"/>
              <w:ind w:left="-75"/>
              <w:rPr>
                <w:rFonts w:ascii="Arial" w:hAnsi="Arial" w:cs="Arial"/>
                <w:sz w:val="17"/>
                <w:szCs w:val="17"/>
              </w:rPr>
            </w:pPr>
            <w:r w:rsidRPr="00FB7FF9">
              <w:rPr>
                <w:rFonts w:ascii="Arial" w:hAnsi="Arial" w:cs="Arial"/>
                <w:sz w:val="17"/>
                <w:szCs w:val="17"/>
              </w:rPr>
              <w:t>ENERO 1, 2019</w:t>
            </w:r>
          </w:p>
        </w:tc>
        <w:tc>
          <w:tcPr>
            <w:tcW w:w="1276" w:type="dxa"/>
            <w:tcBorders>
              <w:left w:val="nil"/>
              <w:bottom w:val="nil"/>
              <w:right w:val="nil"/>
            </w:tcBorders>
            <w:shd w:val="clear" w:color="auto" w:fill="auto"/>
            <w:noWrap/>
            <w:vAlign w:val="bottom"/>
          </w:tcPr>
          <w:p w14:paraId="1977D251" w14:textId="6355B7E3" w:rsidR="00E54F53" w:rsidRPr="00FB7FF9" w:rsidRDefault="00E54F53" w:rsidP="00A23C70">
            <w:pPr>
              <w:tabs>
                <w:tab w:val="decimal" w:pos="1069"/>
              </w:tabs>
              <w:spacing w:after="0" w:line="240" w:lineRule="auto"/>
              <w:ind w:right="33"/>
              <w:jc w:val="right"/>
              <w:rPr>
                <w:rFonts w:ascii="Arial" w:hAnsi="Arial" w:cs="Arial"/>
                <w:sz w:val="17"/>
                <w:szCs w:val="17"/>
              </w:rPr>
            </w:pPr>
            <w:r w:rsidRPr="00FB7FF9">
              <w:rPr>
                <w:rFonts w:ascii="Arial" w:hAnsi="Arial" w:cs="Arial"/>
                <w:sz w:val="17"/>
                <w:szCs w:val="17"/>
              </w:rPr>
              <w:t>48,201,989</w:t>
            </w:r>
          </w:p>
        </w:tc>
        <w:tc>
          <w:tcPr>
            <w:tcW w:w="170" w:type="dxa"/>
            <w:tcBorders>
              <w:left w:val="nil"/>
              <w:bottom w:val="nil"/>
              <w:right w:val="nil"/>
            </w:tcBorders>
            <w:vAlign w:val="bottom"/>
          </w:tcPr>
          <w:p w14:paraId="24CC35F5" w14:textId="77777777" w:rsidR="00E54F53" w:rsidRPr="00FB7FF9" w:rsidRDefault="00E54F53" w:rsidP="00BA6ABA">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493ECB40" w14:textId="606252BB" w:rsidR="00E54F53" w:rsidRPr="00FB7FF9" w:rsidRDefault="00E54F53" w:rsidP="001623EC">
            <w:pPr>
              <w:tabs>
                <w:tab w:val="decimal" w:pos="1254"/>
              </w:tabs>
              <w:spacing w:after="0" w:line="240" w:lineRule="auto"/>
              <w:ind w:right="72"/>
              <w:jc w:val="right"/>
              <w:rPr>
                <w:rFonts w:ascii="Arial" w:hAnsi="Arial" w:cs="Arial"/>
                <w:sz w:val="17"/>
                <w:szCs w:val="17"/>
              </w:rPr>
            </w:pPr>
            <w:r w:rsidRPr="00FB7FF9">
              <w:rPr>
                <w:rFonts w:ascii="Arial" w:hAnsi="Arial" w:cs="Arial"/>
                <w:sz w:val="17"/>
                <w:szCs w:val="17"/>
              </w:rPr>
              <w:t>920</w:t>
            </w:r>
          </w:p>
        </w:tc>
        <w:tc>
          <w:tcPr>
            <w:tcW w:w="170" w:type="dxa"/>
            <w:tcBorders>
              <w:left w:val="nil"/>
              <w:bottom w:val="nil"/>
              <w:right w:val="nil"/>
            </w:tcBorders>
            <w:vAlign w:val="bottom"/>
          </w:tcPr>
          <w:p w14:paraId="09082886" w14:textId="77777777" w:rsidR="00E54F53" w:rsidRPr="00FB7FF9" w:rsidRDefault="00E54F53" w:rsidP="00BA6ABA">
            <w:pPr>
              <w:spacing w:after="0" w:line="240" w:lineRule="auto"/>
              <w:rPr>
                <w:rFonts w:ascii="Arial" w:hAnsi="Arial" w:cs="Arial"/>
                <w:sz w:val="17"/>
                <w:szCs w:val="17"/>
              </w:rPr>
            </w:pPr>
          </w:p>
        </w:tc>
        <w:tc>
          <w:tcPr>
            <w:tcW w:w="964" w:type="dxa"/>
            <w:tcBorders>
              <w:left w:val="nil"/>
              <w:bottom w:val="nil"/>
              <w:right w:val="nil"/>
            </w:tcBorders>
            <w:vAlign w:val="bottom"/>
          </w:tcPr>
          <w:p w14:paraId="7D52A4E9" w14:textId="2BDF4BAC" w:rsidR="00E54F53" w:rsidRPr="00FB7FF9" w:rsidRDefault="00133C7A" w:rsidP="00742404">
            <w:pPr>
              <w:tabs>
                <w:tab w:val="decimal" w:pos="1179"/>
              </w:tabs>
              <w:spacing w:after="0" w:line="240" w:lineRule="auto"/>
              <w:rPr>
                <w:rFonts w:ascii="Arial" w:hAnsi="Arial" w:cs="Arial"/>
                <w:sz w:val="17"/>
                <w:szCs w:val="17"/>
              </w:rPr>
            </w:pPr>
            <w:r w:rsidRPr="00FB7FF9">
              <w:rPr>
                <w:rFonts w:ascii="Arial" w:hAnsi="Arial" w:cs="Arial"/>
                <w:sz w:val="17"/>
                <w:szCs w:val="17"/>
              </w:rPr>
              <w:t>6,823,382</w:t>
            </w:r>
          </w:p>
        </w:tc>
        <w:tc>
          <w:tcPr>
            <w:tcW w:w="162" w:type="dxa"/>
            <w:tcBorders>
              <w:left w:val="nil"/>
              <w:bottom w:val="nil"/>
              <w:right w:val="nil"/>
            </w:tcBorders>
          </w:tcPr>
          <w:p w14:paraId="7BCC40B2" w14:textId="48F1BFA9" w:rsidR="00E54F53" w:rsidRPr="00FB7FF9" w:rsidRDefault="00E54F53" w:rsidP="00742404">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19076118" w14:textId="0C9090F3" w:rsidR="00E54F53" w:rsidRPr="00FB7FF9" w:rsidRDefault="00E54F53" w:rsidP="00742404">
            <w:pPr>
              <w:tabs>
                <w:tab w:val="decimal" w:pos="1179"/>
              </w:tabs>
              <w:spacing w:after="0" w:line="240" w:lineRule="auto"/>
              <w:rPr>
                <w:rFonts w:ascii="Arial" w:hAnsi="Arial" w:cs="Arial"/>
                <w:sz w:val="17"/>
                <w:szCs w:val="17"/>
              </w:rPr>
            </w:pPr>
            <w:r w:rsidRPr="00FB7FF9">
              <w:rPr>
                <w:rFonts w:ascii="Arial" w:hAnsi="Arial" w:cs="Arial"/>
                <w:sz w:val="17"/>
                <w:szCs w:val="17"/>
              </w:rPr>
              <w:t>3</w:t>
            </w:r>
            <w:r w:rsidR="00103751">
              <w:rPr>
                <w:rFonts w:ascii="Arial" w:hAnsi="Arial" w:cs="Arial"/>
                <w:sz w:val="17"/>
                <w:szCs w:val="17"/>
              </w:rPr>
              <w:t>5</w:t>
            </w:r>
            <w:r w:rsidR="00BF7C5F" w:rsidRPr="00FB7FF9">
              <w:rPr>
                <w:rFonts w:ascii="Arial" w:hAnsi="Arial" w:cs="Arial"/>
                <w:sz w:val="17"/>
                <w:szCs w:val="17"/>
              </w:rPr>
              <w:t>,</w:t>
            </w:r>
            <w:r w:rsidR="00103751">
              <w:rPr>
                <w:rFonts w:ascii="Arial" w:hAnsi="Arial" w:cs="Arial"/>
                <w:sz w:val="17"/>
                <w:szCs w:val="17"/>
              </w:rPr>
              <w:t>070</w:t>
            </w:r>
            <w:r w:rsidR="004C2DAF" w:rsidRPr="00FB7FF9">
              <w:rPr>
                <w:rFonts w:ascii="Arial" w:hAnsi="Arial" w:cs="Arial"/>
                <w:sz w:val="17"/>
                <w:szCs w:val="17"/>
              </w:rPr>
              <w:t>,</w:t>
            </w:r>
            <w:r w:rsidR="00103751">
              <w:rPr>
                <w:rFonts w:ascii="Arial" w:hAnsi="Arial" w:cs="Arial"/>
                <w:sz w:val="17"/>
                <w:szCs w:val="17"/>
              </w:rPr>
              <w:t>4</w:t>
            </w:r>
            <w:r w:rsidR="00D96688" w:rsidRPr="00FB7FF9">
              <w:rPr>
                <w:rFonts w:ascii="Arial" w:hAnsi="Arial" w:cs="Arial"/>
                <w:sz w:val="17"/>
                <w:szCs w:val="17"/>
              </w:rPr>
              <w:t>3</w:t>
            </w:r>
            <w:r w:rsidR="00EA5F8C">
              <w:rPr>
                <w:rFonts w:ascii="Arial" w:hAnsi="Arial" w:cs="Arial"/>
                <w:sz w:val="17"/>
                <w:szCs w:val="17"/>
              </w:rPr>
              <w:t>0</w:t>
            </w:r>
          </w:p>
        </w:tc>
        <w:tc>
          <w:tcPr>
            <w:tcW w:w="170" w:type="dxa"/>
            <w:tcBorders>
              <w:left w:val="nil"/>
              <w:bottom w:val="nil"/>
              <w:right w:val="nil"/>
            </w:tcBorders>
            <w:vAlign w:val="bottom"/>
          </w:tcPr>
          <w:p w14:paraId="4B2482FA" w14:textId="77777777" w:rsidR="00E54F53" w:rsidRPr="00FB7FF9" w:rsidRDefault="00E54F53" w:rsidP="00BA6ABA">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52C17F92" w14:textId="4FEC4218" w:rsidR="00E54F53" w:rsidRPr="00FB7FF9" w:rsidRDefault="00EA5F8C" w:rsidP="00A23C70">
            <w:pPr>
              <w:tabs>
                <w:tab w:val="decimal" w:pos="1037"/>
              </w:tabs>
              <w:spacing w:after="0" w:line="240" w:lineRule="auto"/>
              <w:jc w:val="right"/>
              <w:rPr>
                <w:rFonts w:ascii="Arial" w:hAnsi="Arial" w:cs="Arial"/>
                <w:sz w:val="17"/>
                <w:szCs w:val="17"/>
              </w:rPr>
            </w:pPr>
            <w:r>
              <w:rPr>
                <w:rFonts w:ascii="Arial" w:hAnsi="Arial" w:cs="Arial"/>
                <w:sz w:val="17"/>
                <w:szCs w:val="17"/>
              </w:rPr>
              <w:t>90,096,721</w:t>
            </w:r>
          </w:p>
        </w:tc>
      </w:tr>
      <w:tr w:rsidR="00E54F53" w:rsidRPr="00FB7FF9" w14:paraId="46B26326" w14:textId="77777777" w:rsidTr="00BC45BB">
        <w:trPr>
          <w:trHeight w:val="283"/>
          <w:jc w:val="center"/>
        </w:trPr>
        <w:tc>
          <w:tcPr>
            <w:tcW w:w="2835" w:type="dxa"/>
            <w:tcBorders>
              <w:top w:val="nil"/>
              <w:left w:val="nil"/>
              <w:bottom w:val="nil"/>
              <w:right w:val="nil"/>
            </w:tcBorders>
            <w:shd w:val="clear" w:color="auto" w:fill="auto"/>
            <w:noWrap/>
            <w:vAlign w:val="bottom"/>
          </w:tcPr>
          <w:p w14:paraId="338AF8C0" w14:textId="77777777" w:rsidR="00E54F53" w:rsidRPr="00FB7FF9" w:rsidRDefault="00E54F53" w:rsidP="00413455">
            <w:pPr>
              <w:spacing w:after="0" w:line="240" w:lineRule="auto"/>
              <w:ind w:left="-75"/>
              <w:rPr>
                <w:rFonts w:ascii="Arial" w:hAnsi="Arial" w:cs="Arial"/>
                <w:sz w:val="17"/>
                <w:szCs w:val="17"/>
              </w:rPr>
            </w:pPr>
          </w:p>
        </w:tc>
        <w:tc>
          <w:tcPr>
            <w:tcW w:w="1276" w:type="dxa"/>
            <w:tcBorders>
              <w:left w:val="nil"/>
              <w:bottom w:val="nil"/>
              <w:right w:val="nil"/>
            </w:tcBorders>
            <w:shd w:val="clear" w:color="auto" w:fill="auto"/>
            <w:noWrap/>
            <w:vAlign w:val="bottom"/>
          </w:tcPr>
          <w:p w14:paraId="75759AE3" w14:textId="77777777" w:rsidR="00E54F53" w:rsidRPr="00FB7FF9" w:rsidRDefault="00E54F53" w:rsidP="00A23C70">
            <w:pPr>
              <w:tabs>
                <w:tab w:val="decimal" w:pos="1332"/>
              </w:tabs>
              <w:spacing w:after="0" w:line="240" w:lineRule="auto"/>
              <w:ind w:right="33"/>
              <w:jc w:val="right"/>
              <w:rPr>
                <w:rFonts w:ascii="Arial" w:hAnsi="Arial" w:cs="Arial"/>
                <w:sz w:val="17"/>
                <w:szCs w:val="17"/>
              </w:rPr>
            </w:pPr>
          </w:p>
        </w:tc>
        <w:tc>
          <w:tcPr>
            <w:tcW w:w="170" w:type="dxa"/>
            <w:tcBorders>
              <w:left w:val="nil"/>
              <w:bottom w:val="nil"/>
              <w:right w:val="nil"/>
            </w:tcBorders>
            <w:vAlign w:val="bottom"/>
          </w:tcPr>
          <w:p w14:paraId="3BC3FF0F" w14:textId="77777777" w:rsidR="00E54F53" w:rsidRPr="00FB7FF9" w:rsidRDefault="00E54F53" w:rsidP="00413455">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691CC162" w14:textId="77777777" w:rsidR="00E54F53" w:rsidRPr="00FB7FF9" w:rsidRDefault="00E54F53" w:rsidP="00742404">
            <w:pPr>
              <w:tabs>
                <w:tab w:val="decimal" w:pos="1332"/>
              </w:tabs>
              <w:spacing w:after="0" w:line="240" w:lineRule="auto"/>
              <w:ind w:right="72"/>
              <w:rPr>
                <w:rFonts w:ascii="Arial" w:hAnsi="Arial" w:cs="Arial"/>
                <w:b/>
                <w:sz w:val="17"/>
                <w:szCs w:val="17"/>
              </w:rPr>
            </w:pPr>
          </w:p>
        </w:tc>
        <w:tc>
          <w:tcPr>
            <w:tcW w:w="170" w:type="dxa"/>
            <w:tcBorders>
              <w:left w:val="nil"/>
              <w:bottom w:val="nil"/>
              <w:right w:val="nil"/>
            </w:tcBorders>
            <w:vAlign w:val="bottom"/>
          </w:tcPr>
          <w:p w14:paraId="0F33ABC4" w14:textId="77777777" w:rsidR="00E54F53" w:rsidRPr="00FB7FF9" w:rsidRDefault="00E54F53" w:rsidP="00413455">
            <w:pPr>
              <w:spacing w:after="0" w:line="240" w:lineRule="auto"/>
              <w:rPr>
                <w:rFonts w:ascii="Arial" w:hAnsi="Arial" w:cs="Arial"/>
                <w:sz w:val="17"/>
                <w:szCs w:val="17"/>
              </w:rPr>
            </w:pPr>
          </w:p>
        </w:tc>
        <w:tc>
          <w:tcPr>
            <w:tcW w:w="964" w:type="dxa"/>
            <w:tcBorders>
              <w:left w:val="nil"/>
              <w:bottom w:val="nil"/>
              <w:right w:val="nil"/>
            </w:tcBorders>
          </w:tcPr>
          <w:p w14:paraId="5CD241F4" w14:textId="77777777" w:rsidR="00E54F53" w:rsidRPr="00FB7FF9" w:rsidRDefault="00E54F53" w:rsidP="00742404">
            <w:pPr>
              <w:tabs>
                <w:tab w:val="decimal" w:pos="1179"/>
              </w:tabs>
              <w:spacing w:after="0" w:line="240" w:lineRule="auto"/>
              <w:rPr>
                <w:rFonts w:ascii="Arial" w:hAnsi="Arial" w:cs="Arial"/>
                <w:b/>
                <w:sz w:val="17"/>
                <w:szCs w:val="17"/>
              </w:rPr>
            </w:pPr>
          </w:p>
        </w:tc>
        <w:tc>
          <w:tcPr>
            <w:tcW w:w="162" w:type="dxa"/>
            <w:tcBorders>
              <w:left w:val="nil"/>
              <w:bottom w:val="nil"/>
              <w:right w:val="nil"/>
            </w:tcBorders>
          </w:tcPr>
          <w:p w14:paraId="1C560009" w14:textId="668D7BC6" w:rsidR="00E54F53" w:rsidRPr="00FB7FF9" w:rsidRDefault="00E54F53" w:rsidP="00742404">
            <w:pPr>
              <w:tabs>
                <w:tab w:val="decimal" w:pos="1179"/>
              </w:tabs>
              <w:spacing w:after="0" w:line="240" w:lineRule="auto"/>
              <w:rPr>
                <w:rFonts w:ascii="Arial" w:hAnsi="Arial" w:cs="Arial"/>
                <w:b/>
                <w:sz w:val="17"/>
                <w:szCs w:val="17"/>
              </w:rPr>
            </w:pPr>
          </w:p>
        </w:tc>
        <w:tc>
          <w:tcPr>
            <w:tcW w:w="1256" w:type="dxa"/>
            <w:tcBorders>
              <w:left w:val="nil"/>
              <w:bottom w:val="nil"/>
              <w:right w:val="nil"/>
            </w:tcBorders>
            <w:shd w:val="clear" w:color="auto" w:fill="auto"/>
            <w:noWrap/>
            <w:vAlign w:val="bottom"/>
          </w:tcPr>
          <w:p w14:paraId="4C51258A" w14:textId="65DAF781" w:rsidR="00E54F53" w:rsidRPr="00FB7FF9" w:rsidRDefault="00E54F53" w:rsidP="00742404">
            <w:pPr>
              <w:tabs>
                <w:tab w:val="decimal" w:pos="1179"/>
              </w:tabs>
              <w:spacing w:after="0" w:line="240" w:lineRule="auto"/>
              <w:rPr>
                <w:rFonts w:ascii="Arial" w:hAnsi="Arial" w:cs="Arial"/>
                <w:b/>
                <w:sz w:val="17"/>
                <w:szCs w:val="17"/>
              </w:rPr>
            </w:pPr>
          </w:p>
        </w:tc>
        <w:tc>
          <w:tcPr>
            <w:tcW w:w="170" w:type="dxa"/>
            <w:tcBorders>
              <w:left w:val="nil"/>
              <w:bottom w:val="nil"/>
              <w:right w:val="nil"/>
            </w:tcBorders>
            <w:vAlign w:val="bottom"/>
          </w:tcPr>
          <w:p w14:paraId="601A06D5" w14:textId="77777777" w:rsidR="00E54F53" w:rsidRPr="00FB7FF9" w:rsidRDefault="00E54F53" w:rsidP="00413455">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61850234" w14:textId="4FCD872F" w:rsidR="00E54F53" w:rsidRPr="00FB7FF9" w:rsidRDefault="00E54F53" w:rsidP="00A23C70">
            <w:pPr>
              <w:tabs>
                <w:tab w:val="decimal" w:pos="1037"/>
              </w:tabs>
              <w:spacing w:after="0" w:line="240" w:lineRule="auto"/>
              <w:jc w:val="right"/>
              <w:rPr>
                <w:rFonts w:ascii="Arial" w:hAnsi="Arial" w:cs="Arial"/>
                <w:sz w:val="17"/>
                <w:szCs w:val="17"/>
              </w:rPr>
            </w:pPr>
          </w:p>
        </w:tc>
      </w:tr>
      <w:tr w:rsidR="00E54F53" w:rsidRPr="00FB7FF9" w14:paraId="3DE6C48E" w14:textId="77777777" w:rsidTr="00BC45BB">
        <w:trPr>
          <w:trHeight w:val="283"/>
          <w:jc w:val="center"/>
        </w:trPr>
        <w:tc>
          <w:tcPr>
            <w:tcW w:w="2835" w:type="dxa"/>
            <w:tcBorders>
              <w:top w:val="nil"/>
              <w:left w:val="nil"/>
              <w:bottom w:val="nil"/>
              <w:right w:val="nil"/>
            </w:tcBorders>
            <w:shd w:val="clear" w:color="auto" w:fill="auto"/>
            <w:noWrap/>
            <w:vAlign w:val="bottom"/>
          </w:tcPr>
          <w:p w14:paraId="4490FE82" w14:textId="66400A70" w:rsidR="00E54F53" w:rsidRPr="00FB7FF9" w:rsidRDefault="00E54F53" w:rsidP="00702FC1">
            <w:pPr>
              <w:spacing w:after="0" w:line="240" w:lineRule="auto"/>
              <w:ind w:left="-75"/>
              <w:rPr>
                <w:rFonts w:ascii="Arial" w:hAnsi="Arial" w:cs="Arial"/>
                <w:sz w:val="17"/>
                <w:szCs w:val="17"/>
              </w:rPr>
            </w:pPr>
            <w:r w:rsidRPr="00FB7FF9">
              <w:rPr>
                <w:rFonts w:ascii="Arial" w:hAnsi="Arial" w:cs="Arial"/>
                <w:sz w:val="17"/>
                <w:szCs w:val="17"/>
              </w:rPr>
              <w:t>Utilidad del año</w:t>
            </w:r>
          </w:p>
        </w:tc>
        <w:tc>
          <w:tcPr>
            <w:tcW w:w="1276" w:type="dxa"/>
            <w:tcBorders>
              <w:left w:val="nil"/>
              <w:bottom w:val="nil"/>
              <w:right w:val="nil"/>
            </w:tcBorders>
            <w:shd w:val="clear" w:color="auto" w:fill="auto"/>
            <w:noWrap/>
            <w:vAlign w:val="bottom"/>
          </w:tcPr>
          <w:p w14:paraId="0980A9AE" w14:textId="539B05D3" w:rsidR="00E54F53" w:rsidRPr="00FB7FF9" w:rsidRDefault="00977E23" w:rsidP="00A23C70">
            <w:pPr>
              <w:tabs>
                <w:tab w:val="decimal" w:pos="133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vAlign w:val="bottom"/>
          </w:tcPr>
          <w:p w14:paraId="27FA33A2" w14:textId="77777777" w:rsidR="00E54F53" w:rsidRPr="00FB7FF9" w:rsidRDefault="00E54F53" w:rsidP="00702FC1">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449B82E7" w14:textId="7D3B5840" w:rsidR="00E54F53" w:rsidRPr="00FB7FF9" w:rsidRDefault="00977E23" w:rsidP="00702FC1">
            <w:pPr>
              <w:tabs>
                <w:tab w:val="decimal" w:pos="1332"/>
              </w:tabs>
              <w:spacing w:after="0" w:line="240" w:lineRule="auto"/>
              <w:ind w:right="72"/>
              <w:rPr>
                <w:rFonts w:ascii="Arial" w:hAnsi="Arial" w:cs="Arial"/>
                <w:bCs/>
                <w:sz w:val="17"/>
                <w:szCs w:val="17"/>
              </w:rPr>
            </w:pPr>
            <w:r w:rsidRPr="00FB7FF9">
              <w:rPr>
                <w:rFonts w:ascii="Arial" w:hAnsi="Arial" w:cs="Arial"/>
                <w:bCs/>
                <w:sz w:val="17"/>
                <w:szCs w:val="17"/>
              </w:rPr>
              <w:t>-</w:t>
            </w:r>
          </w:p>
        </w:tc>
        <w:tc>
          <w:tcPr>
            <w:tcW w:w="170" w:type="dxa"/>
            <w:tcBorders>
              <w:left w:val="nil"/>
              <w:bottom w:val="nil"/>
              <w:right w:val="nil"/>
            </w:tcBorders>
            <w:vAlign w:val="bottom"/>
          </w:tcPr>
          <w:p w14:paraId="1CF9A279" w14:textId="77777777" w:rsidR="00E54F53" w:rsidRPr="00FB7FF9" w:rsidRDefault="00E54F53" w:rsidP="00702FC1">
            <w:pPr>
              <w:spacing w:after="0" w:line="240" w:lineRule="auto"/>
              <w:rPr>
                <w:rFonts w:ascii="Arial" w:hAnsi="Arial" w:cs="Arial"/>
                <w:sz w:val="17"/>
                <w:szCs w:val="17"/>
              </w:rPr>
            </w:pPr>
          </w:p>
        </w:tc>
        <w:tc>
          <w:tcPr>
            <w:tcW w:w="964" w:type="dxa"/>
            <w:tcBorders>
              <w:left w:val="nil"/>
              <w:bottom w:val="nil"/>
              <w:right w:val="nil"/>
            </w:tcBorders>
            <w:vAlign w:val="bottom"/>
          </w:tcPr>
          <w:p w14:paraId="2FDACB88" w14:textId="68B57EF7" w:rsidR="00E54F53" w:rsidRPr="00FB7FF9" w:rsidRDefault="00977E23" w:rsidP="00702FC1">
            <w:pPr>
              <w:tabs>
                <w:tab w:val="decimal" w:pos="1179"/>
              </w:tabs>
              <w:spacing w:after="0" w:line="240" w:lineRule="auto"/>
              <w:rPr>
                <w:rFonts w:ascii="Arial" w:hAnsi="Arial" w:cs="Arial"/>
                <w:bCs/>
                <w:sz w:val="17"/>
                <w:szCs w:val="17"/>
              </w:rPr>
            </w:pPr>
            <w:r w:rsidRPr="00FB7FF9">
              <w:rPr>
                <w:rFonts w:ascii="Arial" w:hAnsi="Arial" w:cs="Arial"/>
                <w:bCs/>
                <w:sz w:val="17"/>
                <w:szCs w:val="17"/>
              </w:rPr>
              <w:t>-</w:t>
            </w:r>
          </w:p>
        </w:tc>
        <w:tc>
          <w:tcPr>
            <w:tcW w:w="162" w:type="dxa"/>
            <w:tcBorders>
              <w:left w:val="nil"/>
              <w:bottom w:val="nil"/>
              <w:right w:val="nil"/>
            </w:tcBorders>
          </w:tcPr>
          <w:p w14:paraId="77BEF67F" w14:textId="77777777" w:rsidR="00E54F53" w:rsidRPr="00FB7FF9" w:rsidRDefault="00E54F53" w:rsidP="00702FC1">
            <w:pPr>
              <w:tabs>
                <w:tab w:val="decimal" w:pos="1179"/>
              </w:tabs>
              <w:spacing w:after="0" w:line="240" w:lineRule="auto"/>
              <w:rPr>
                <w:rFonts w:ascii="Arial" w:hAnsi="Arial" w:cs="Arial"/>
                <w:b/>
                <w:sz w:val="17"/>
                <w:szCs w:val="17"/>
              </w:rPr>
            </w:pPr>
          </w:p>
        </w:tc>
        <w:tc>
          <w:tcPr>
            <w:tcW w:w="1256" w:type="dxa"/>
            <w:tcBorders>
              <w:left w:val="nil"/>
              <w:bottom w:val="nil"/>
              <w:right w:val="nil"/>
            </w:tcBorders>
            <w:shd w:val="clear" w:color="auto" w:fill="auto"/>
            <w:noWrap/>
            <w:vAlign w:val="bottom"/>
          </w:tcPr>
          <w:p w14:paraId="74035B06" w14:textId="661DF857" w:rsidR="00E54F53" w:rsidRPr="00FB7FF9" w:rsidRDefault="00E54F53" w:rsidP="00702FC1">
            <w:pPr>
              <w:tabs>
                <w:tab w:val="decimal" w:pos="1179"/>
              </w:tabs>
              <w:spacing w:after="0" w:line="240" w:lineRule="auto"/>
              <w:rPr>
                <w:rFonts w:ascii="Arial" w:hAnsi="Arial" w:cs="Arial"/>
                <w:bCs/>
                <w:sz w:val="17"/>
                <w:szCs w:val="17"/>
              </w:rPr>
            </w:pPr>
            <w:r w:rsidRPr="00FB7FF9">
              <w:rPr>
                <w:rFonts w:ascii="Arial" w:hAnsi="Arial" w:cs="Arial"/>
                <w:bCs/>
                <w:sz w:val="17"/>
                <w:szCs w:val="17"/>
              </w:rPr>
              <w:t>24,071,384</w:t>
            </w:r>
          </w:p>
        </w:tc>
        <w:tc>
          <w:tcPr>
            <w:tcW w:w="170" w:type="dxa"/>
            <w:tcBorders>
              <w:left w:val="nil"/>
              <w:bottom w:val="nil"/>
              <w:right w:val="nil"/>
            </w:tcBorders>
            <w:vAlign w:val="bottom"/>
          </w:tcPr>
          <w:p w14:paraId="3FC7DCCE" w14:textId="77777777" w:rsidR="00E54F53" w:rsidRPr="00FB7FF9" w:rsidRDefault="00E54F53" w:rsidP="00702FC1">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716EACC4" w14:textId="0D815B69" w:rsidR="00E54F53" w:rsidRPr="00FB7FF9" w:rsidRDefault="00412B82" w:rsidP="00A23C70">
            <w:pPr>
              <w:tabs>
                <w:tab w:val="decimal" w:pos="1037"/>
              </w:tabs>
              <w:spacing w:after="0" w:line="240" w:lineRule="auto"/>
              <w:jc w:val="right"/>
              <w:rPr>
                <w:rFonts w:ascii="Arial" w:hAnsi="Arial" w:cs="Arial"/>
                <w:sz w:val="17"/>
                <w:szCs w:val="17"/>
              </w:rPr>
            </w:pPr>
            <w:r w:rsidRPr="00FB7FF9">
              <w:rPr>
                <w:rFonts w:ascii="Arial" w:hAnsi="Arial" w:cs="Arial"/>
                <w:sz w:val="17"/>
                <w:szCs w:val="17"/>
              </w:rPr>
              <w:t>24,071,384</w:t>
            </w:r>
          </w:p>
        </w:tc>
      </w:tr>
      <w:tr w:rsidR="00E54F53" w:rsidRPr="00FB7FF9" w14:paraId="7B1F7F2C" w14:textId="77777777" w:rsidTr="00BC45BB">
        <w:trPr>
          <w:trHeight w:val="283"/>
          <w:jc w:val="center"/>
        </w:trPr>
        <w:tc>
          <w:tcPr>
            <w:tcW w:w="2835" w:type="dxa"/>
            <w:tcBorders>
              <w:top w:val="nil"/>
              <w:left w:val="nil"/>
              <w:bottom w:val="nil"/>
              <w:right w:val="nil"/>
            </w:tcBorders>
            <w:shd w:val="clear" w:color="auto" w:fill="auto"/>
            <w:noWrap/>
            <w:vAlign w:val="bottom"/>
          </w:tcPr>
          <w:p w14:paraId="4844F733" w14:textId="637BB687" w:rsidR="00E54F53" w:rsidRPr="00FB7FF9" w:rsidRDefault="00E54F53" w:rsidP="00B137E1">
            <w:pPr>
              <w:spacing w:after="0" w:line="240" w:lineRule="auto"/>
              <w:ind w:left="-75"/>
              <w:rPr>
                <w:rFonts w:ascii="Arial" w:hAnsi="Arial" w:cs="Arial"/>
                <w:sz w:val="17"/>
                <w:szCs w:val="17"/>
              </w:rPr>
            </w:pPr>
            <w:r w:rsidRPr="00FB7FF9">
              <w:rPr>
                <w:rFonts w:ascii="Arial" w:hAnsi="Arial" w:cs="Arial"/>
                <w:sz w:val="17"/>
                <w:szCs w:val="17"/>
              </w:rPr>
              <w:t>Aumento de capital, Nota 25</w:t>
            </w:r>
          </w:p>
        </w:tc>
        <w:tc>
          <w:tcPr>
            <w:tcW w:w="1276" w:type="dxa"/>
            <w:tcBorders>
              <w:left w:val="nil"/>
              <w:bottom w:val="nil"/>
              <w:right w:val="nil"/>
            </w:tcBorders>
            <w:shd w:val="clear" w:color="auto" w:fill="auto"/>
            <w:noWrap/>
            <w:vAlign w:val="bottom"/>
          </w:tcPr>
          <w:p w14:paraId="18CC2C08" w14:textId="62F907D0" w:rsidR="00E54F53" w:rsidRPr="00FB7FF9" w:rsidRDefault="00E54F53" w:rsidP="00B137E1">
            <w:pPr>
              <w:tabs>
                <w:tab w:val="decimal" w:pos="1332"/>
              </w:tabs>
              <w:spacing w:after="0" w:line="240" w:lineRule="auto"/>
              <w:ind w:right="33"/>
              <w:jc w:val="right"/>
              <w:rPr>
                <w:rFonts w:ascii="Arial" w:hAnsi="Arial" w:cs="Arial"/>
                <w:sz w:val="17"/>
                <w:szCs w:val="17"/>
              </w:rPr>
            </w:pPr>
            <w:r w:rsidRPr="00FB7FF9">
              <w:rPr>
                <w:rFonts w:ascii="Arial" w:hAnsi="Arial" w:cs="Arial"/>
                <w:sz w:val="17"/>
                <w:szCs w:val="17"/>
              </w:rPr>
              <w:t>8,215,675</w:t>
            </w:r>
          </w:p>
        </w:tc>
        <w:tc>
          <w:tcPr>
            <w:tcW w:w="170" w:type="dxa"/>
            <w:tcBorders>
              <w:left w:val="nil"/>
              <w:bottom w:val="nil"/>
              <w:right w:val="nil"/>
            </w:tcBorders>
            <w:vAlign w:val="bottom"/>
          </w:tcPr>
          <w:p w14:paraId="6BC1F3D7" w14:textId="77777777" w:rsidR="00E54F53" w:rsidRPr="00FB7FF9" w:rsidRDefault="00E54F53" w:rsidP="00B137E1">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0AB45D25" w14:textId="71D5FC44" w:rsidR="00E54F53" w:rsidRPr="00FB7FF9" w:rsidRDefault="00E54F53" w:rsidP="00B137E1">
            <w:pPr>
              <w:tabs>
                <w:tab w:val="decimal" w:pos="1332"/>
              </w:tabs>
              <w:spacing w:after="0" w:line="240" w:lineRule="auto"/>
              <w:ind w:right="72"/>
              <w:rPr>
                <w:rFonts w:ascii="Arial" w:hAnsi="Arial" w:cs="Arial"/>
                <w:bCs/>
                <w:sz w:val="17"/>
                <w:szCs w:val="17"/>
              </w:rPr>
            </w:pPr>
          </w:p>
        </w:tc>
        <w:tc>
          <w:tcPr>
            <w:tcW w:w="170" w:type="dxa"/>
            <w:tcBorders>
              <w:left w:val="nil"/>
              <w:bottom w:val="nil"/>
              <w:right w:val="nil"/>
            </w:tcBorders>
            <w:vAlign w:val="bottom"/>
          </w:tcPr>
          <w:p w14:paraId="4466066B" w14:textId="77777777" w:rsidR="00E54F53" w:rsidRPr="00FB7FF9" w:rsidRDefault="00E54F53" w:rsidP="00B137E1">
            <w:pPr>
              <w:spacing w:after="0" w:line="240" w:lineRule="auto"/>
              <w:rPr>
                <w:rFonts w:ascii="Arial" w:hAnsi="Arial" w:cs="Arial"/>
                <w:sz w:val="17"/>
                <w:szCs w:val="17"/>
              </w:rPr>
            </w:pPr>
          </w:p>
        </w:tc>
        <w:tc>
          <w:tcPr>
            <w:tcW w:w="964" w:type="dxa"/>
            <w:tcBorders>
              <w:left w:val="nil"/>
              <w:bottom w:val="nil"/>
              <w:right w:val="nil"/>
            </w:tcBorders>
            <w:vAlign w:val="bottom"/>
          </w:tcPr>
          <w:p w14:paraId="7039394E" w14:textId="15D4C358" w:rsidR="00E54F53" w:rsidRPr="00FB7FF9" w:rsidRDefault="00977E23" w:rsidP="00B137E1">
            <w:pPr>
              <w:tabs>
                <w:tab w:val="decimal" w:pos="1179"/>
              </w:tabs>
              <w:spacing w:after="0" w:line="240" w:lineRule="auto"/>
              <w:rPr>
                <w:rFonts w:ascii="Arial" w:hAnsi="Arial" w:cs="Arial"/>
                <w:bCs/>
                <w:sz w:val="17"/>
                <w:szCs w:val="17"/>
              </w:rPr>
            </w:pPr>
            <w:r w:rsidRPr="00FB7FF9">
              <w:rPr>
                <w:rFonts w:ascii="Arial" w:hAnsi="Arial" w:cs="Arial"/>
                <w:bCs/>
                <w:sz w:val="17"/>
                <w:szCs w:val="17"/>
              </w:rPr>
              <w:t>-</w:t>
            </w:r>
          </w:p>
        </w:tc>
        <w:tc>
          <w:tcPr>
            <w:tcW w:w="162" w:type="dxa"/>
            <w:tcBorders>
              <w:left w:val="nil"/>
              <w:bottom w:val="nil"/>
              <w:right w:val="nil"/>
            </w:tcBorders>
          </w:tcPr>
          <w:p w14:paraId="4216329F" w14:textId="0939247B" w:rsidR="00E54F53" w:rsidRPr="00FB7FF9" w:rsidRDefault="00E54F53" w:rsidP="00B137E1">
            <w:pPr>
              <w:tabs>
                <w:tab w:val="decimal" w:pos="1179"/>
              </w:tabs>
              <w:spacing w:after="0" w:line="240" w:lineRule="auto"/>
              <w:rPr>
                <w:rFonts w:ascii="Arial" w:hAnsi="Arial" w:cs="Arial"/>
                <w:b/>
                <w:sz w:val="17"/>
                <w:szCs w:val="17"/>
              </w:rPr>
            </w:pPr>
          </w:p>
        </w:tc>
        <w:tc>
          <w:tcPr>
            <w:tcW w:w="1256" w:type="dxa"/>
            <w:tcBorders>
              <w:left w:val="nil"/>
              <w:bottom w:val="nil"/>
              <w:right w:val="nil"/>
            </w:tcBorders>
            <w:shd w:val="clear" w:color="auto" w:fill="auto"/>
            <w:noWrap/>
            <w:vAlign w:val="bottom"/>
          </w:tcPr>
          <w:p w14:paraId="191116A2" w14:textId="41C0D453" w:rsidR="00E54F53" w:rsidRPr="00FB7FF9" w:rsidRDefault="00E54F53" w:rsidP="00B137E1">
            <w:pPr>
              <w:tabs>
                <w:tab w:val="decimal" w:pos="1179"/>
              </w:tabs>
              <w:spacing w:after="0" w:line="240" w:lineRule="auto"/>
              <w:rPr>
                <w:rFonts w:ascii="Arial" w:hAnsi="Arial" w:cs="Arial"/>
                <w:bCs/>
                <w:sz w:val="17"/>
                <w:szCs w:val="17"/>
              </w:rPr>
            </w:pPr>
            <w:r w:rsidRPr="00FB7FF9">
              <w:rPr>
                <w:rFonts w:ascii="Arial" w:hAnsi="Arial" w:cs="Arial"/>
                <w:bCs/>
                <w:sz w:val="17"/>
                <w:szCs w:val="17"/>
              </w:rPr>
              <w:t>(8,21</w:t>
            </w:r>
            <w:r w:rsidR="0005523E" w:rsidRPr="00FB7FF9">
              <w:rPr>
                <w:rFonts w:ascii="Arial" w:hAnsi="Arial" w:cs="Arial"/>
                <w:bCs/>
                <w:sz w:val="17"/>
                <w:szCs w:val="17"/>
              </w:rPr>
              <w:t>5</w:t>
            </w:r>
            <w:r w:rsidRPr="00FB7FF9">
              <w:rPr>
                <w:rFonts w:ascii="Arial" w:hAnsi="Arial" w:cs="Arial"/>
                <w:bCs/>
                <w:sz w:val="17"/>
                <w:szCs w:val="17"/>
              </w:rPr>
              <w:t>,675)</w:t>
            </w:r>
          </w:p>
        </w:tc>
        <w:tc>
          <w:tcPr>
            <w:tcW w:w="170" w:type="dxa"/>
            <w:tcBorders>
              <w:left w:val="nil"/>
              <w:bottom w:val="nil"/>
              <w:right w:val="nil"/>
            </w:tcBorders>
            <w:vAlign w:val="bottom"/>
          </w:tcPr>
          <w:p w14:paraId="3F9DFD93" w14:textId="77777777" w:rsidR="00E54F53" w:rsidRPr="00FB7FF9" w:rsidRDefault="00E54F53" w:rsidP="00B137E1">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2B15B723" w14:textId="369C89EF" w:rsidR="00E54F53" w:rsidRPr="00FB7FF9" w:rsidRDefault="00412B82" w:rsidP="00B137E1">
            <w:pPr>
              <w:tabs>
                <w:tab w:val="decimal" w:pos="1037"/>
              </w:tabs>
              <w:spacing w:after="0" w:line="240" w:lineRule="auto"/>
              <w:jc w:val="right"/>
              <w:rPr>
                <w:rFonts w:ascii="Arial" w:hAnsi="Arial" w:cs="Arial"/>
                <w:sz w:val="17"/>
                <w:szCs w:val="17"/>
              </w:rPr>
            </w:pPr>
            <w:r w:rsidRPr="00FB7FF9">
              <w:rPr>
                <w:rFonts w:ascii="Arial" w:hAnsi="Arial" w:cs="Arial"/>
                <w:sz w:val="17"/>
                <w:szCs w:val="17"/>
              </w:rPr>
              <w:t>-</w:t>
            </w:r>
          </w:p>
        </w:tc>
      </w:tr>
      <w:tr w:rsidR="00E54F53" w:rsidRPr="00FB7FF9" w14:paraId="15A00184" w14:textId="77777777" w:rsidTr="00BC45BB">
        <w:trPr>
          <w:trHeight w:val="283"/>
          <w:jc w:val="center"/>
        </w:trPr>
        <w:tc>
          <w:tcPr>
            <w:tcW w:w="2835" w:type="dxa"/>
            <w:tcBorders>
              <w:top w:val="nil"/>
              <w:left w:val="nil"/>
              <w:bottom w:val="nil"/>
              <w:right w:val="nil"/>
            </w:tcBorders>
            <w:shd w:val="clear" w:color="auto" w:fill="auto"/>
            <w:noWrap/>
            <w:vAlign w:val="bottom"/>
          </w:tcPr>
          <w:p w14:paraId="14AA95DC" w14:textId="00138791" w:rsidR="00E54F53" w:rsidRPr="00FB7FF9" w:rsidRDefault="00E54F53" w:rsidP="00B137E1">
            <w:pPr>
              <w:spacing w:after="0" w:line="240" w:lineRule="auto"/>
              <w:ind w:left="-75"/>
              <w:rPr>
                <w:rFonts w:ascii="Arial" w:hAnsi="Arial" w:cs="Arial"/>
                <w:sz w:val="17"/>
                <w:szCs w:val="17"/>
              </w:rPr>
            </w:pPr>
            <w:r w:rsidRPr="00FB7FF9">
              <w:rPr>
                <w:rFonts w:ascii="Arial" w:hAnsi="Arial" w:cs="Arial"/>
                <w:sz w:val="17"/>
                <w:szCs w:val="17"/>
              </w:rPr>
              <w:t>Efecto implementación NIIF 16</w:t>
            </w:r>
          </w:p>
        </w:tc>
        <w:tc>
          <w:tcPr>
            <w:tcW w:w="1276" w:type="dxa"/>
            <w:tcBorders>
              <w:left w:val="nil"/>
              <w:bottom w:val="nil"/>
              <w:right w:val="nil"/>
            </w:tcBorders>
            <w:shd w:val="clear" w:color="auto" w:fill="auto"/>
            <w:noWrap/>
            <w:vAlign w:val="bottom"/>
          </w:tcPr>
          <w:p w14:paraId="6F43D10A" w14:textId="54C116EA" w:rsidR="00E54F53" w:rsidRPr="00FB7FF9" w:rsidRDefault="00E54F53" w:rsidP="00B137E1">
            <w:pPr>
              <w:tabs>
                <w:tab w:val="decimal" w:pos="1332"/>
              </w:tabs>
              <w:spacing w:after="0" w:line="240" w:lineRule="auto"/>
              <w:ind w:right="33"/>
              <w:jc w:val="right"/>
              <w:rPr>
                <w:rFonts w:ascii="Arial" w:hAnsi="Arial" w:cs="Arial"/>
                <w:sz w:val="17"/>
                <w:szCs w:val="17"/>
              </w:rPr>
            </w:pPr>
          </w:p>
        </w:tc>
        <w:tc>
          <w:tcPr>
            <w:tcW w:w="170" w:type="dxa"/>
            <w:tcBorders>
              <w:left w:val="nil"/>
              <w:bottom w:val="nil"/>
              <w:right w:val="nil"/>
            </w:tcBorders>
            <w:vAlign w:val="bottom"/>
          </w:tcPr>
          <w:p w14:paraId="17B76EB6" w14:textId="77777777" w:rsidR="00E54F53" w:rsidRPr="00FB7FF9" w:rsidRDefault="00E54F53" w:rsidP="00B137E1">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731EFC2E" w14:textId="7F192625" w:rsidR="00E54F53" w:rsidRPr="00FB7FF9" w:rsidRDefault="00977E23" w:rsidP="00B137E1">
            <w:pPr>
              <w:tabs>
                <w:tab w:val="decimal" w:pos="1332"/>
              </w:tabs>
              <w:spacing w:after="0" w:line="240" w:lineRule="auto"/>
              <w:ind w:right="72"/>
              <w:rPr>
                <w:rFonts w:ascii="Arial" w:hAnsi="Arial" w:cs="Arial"/>
                <w:bCs/>
                <w:sz w:val="17"/>
                <w:szCs w:val="17"/>
              </w:rPr>
            </w:pPr>
            <w:r w:rsidRPr="00FB7FF9">
              <w:rPr>
                <w:rFonts w:ascii="Arial" w:hAnsi="Arial" w:cs="Arial"/>
                <w:bCs/>
                <w:sz w:val="17"/>
                <w:szCs w:val="17"/>
              </w:rPr>
              <w:t>-</w:t>
            </w:r>
          </w:p>
        </w:tc>
        <w:tc>
          <w:tcPr>
            <w:tcW w:w="170" w:type="dxa"/>
            <w:tcBorders>
              <w:left w:val="nil"/>
              <w:bottom w:val="nil"/>
              <w:right w:val="nil"/>
            </w:tcBorders>
            <w:vAlign w:val="bottom"/>
          </w:tcPr>
          <w:p w14:paraId="06BD562B" w14:textId="77777777" w:rsidR="00E54F53" w:rsidRPr="00FB7FF9" w:rsidRDefault="00E54F53" w:rsidP="00B137E1">
            <w:pPr>
              <w:spacing w:after="0" w:line="240" w:lineRule="auto"/>
              <w:rPr>
                <w:rFonts w:ascii="Arial" w:hAnsi="Arial" w:cs="Arial"/>
                <w:sz w:val="17"/>
                <w:szCs w:val="17"/>
              </w:rPr>
            </w:pPr>
          </w:p>
        </w:tc>
        <w:tc>
          <w:tcPr>
            <w:tcW w:w="964" w:type="dxa"/>
            <w:tcBorders>
              <w:left w:val="nil"/>
              <w:bottom w:val="nil"/>
              <w:right w:val="nil"/>
            </w:tcBorders>
            <w:vAlign w:val="bottom"/>
          </w:tcPr>
          <w:p w14:paraId="289F6100" w14:textId="1E56B2E1" w:rsidR="00E54F53" w:rsidRPr="00FB7FF9" w:rsidRDefault="00977E23" w:rsidP="00B137E1">
            <w:pPr>
              <w:tabs>
                <w:tab w:val="decimal" w:pos="1179"/>
              </w:tabs>
              <w:spacing w:after="0" w:line="240" w:lineRule="auto"/>
              <w:rPr>
                <w:rFonts w:ascii="Arial" w:hAnsi="Arial" w:cs="Arial"/>
                <w:bCs/>
                <w:sz w:val="17"/>
                <w:szCs w:val="17"/>
              </w:rPr>
            </w:pPr>
            <w:r w:rsidRPr="00FB7FF9">
              <w:rPr>
                <w:rFonts w:ascii="Arial" w:hAnsi="Arial" w:cs="Arial"/>
                <w:bCs/>
                <w:sz w:val="17"/>
                <w:szCs w:val="17"/>
              </w:rPr>
              <w:t>-</w:t>
            </w:r>
          </w:p>
        </w:tc>
        <w:tc>
          <w:tcPr>
            <w:tcW w:w="162" w:type="dxa"/>
            <w:tcBorders>
              <w:left w:val="nil"/>
              <w:bottom w:val="nil"/>
              <w:right w:val="nil"/>
            </w:tcBorders>
          </w:tcPr>
          <w:p w14:paraId="05590B61" w14:textId="77777777" w:rsidR="00E54F53" w:rsidRPr="00FB7FF9" w:rsidRDefault="00E54F53" w:rsidP="00B137E1">
            <w:pPr>
              <w:tabs>
                <w:tab w:val="decimal" w:pos="1179"/>
              </w:tabs>
              <w:spacing w:after="0" w:line="240" w:lineRule="auto"/>
              <w:rPr>
                <w:rFonts w:ascii="Arial" w:hAnsi="Arial" w:cs="Arial"/>
                <w:b/>
                <w:sz w:val="17"/>
                <w:szCs w:val="17"/>
              </w:rPr>
            </w:pPr>
          </w:p>
        </w:tc>
        <w:tc>
          <w:tcPr>
            <w:tcW w:w="1256" w:type="dxa"/>
            <w:tcBorders>
              <w:left w:val="nil"/>
              <w:bottom w:val="nil"/>
              <w:right w:val="nil"/>
            </w:tcBorders>
            <w:shd w:val="clear" w:color="auto" w:fill="auto"/>
            <w:noWrap/>
            <w:vAlign w:val="bottom"/>
          </w:tcPr>
          <w:p w14:paraId="44163B90" w14:textId="06E04C17" w:rsidR="00E54F53" w:rsidRPr="00FB7FF9" w:rsidRDefault="00E54F53" w:rsidP="00B137E1">
            <w:pPr>
              <w:tabs>
                <w:tab w:val="decimal" w:pos="1179"/>
              </w:tabs>
              <w:spacing w:after="0" w:line="240" w:lineRule="auto"/>
              <w:rPr>
                <w:rFonts w:ascii="Arial" w:hAnsi="Arial" w:cs="Arial"/>
                <w:sz w:val="17"/>
                <w:szCs w:val="17"/>
              </w:rPr>
            </w:pPr>
            <w:r w:rsidRPr="00FB7FF9">
              <w:rPr>
                <w:rFonts w:ascii="Arial" w:hAnsi="Arial" w:cs="Arial"/>
                <w:sz w:val="17"/>
                <w:szCs w:val="17"/>
              </w:rPr>
              <w:t>(1,881,937)</w:t>
            </w:r>
          </w:p>
        </w:tc>
        <w:tc>
          <w:tcPr>
            <w:tcW w:w="170" w:type="dxa"/>
            <w:tcBorders>
              <w:left w:val="nil"/>
              <w:bottom w:val="nil"/>
              <w:right w:val="nil"/>
            </w:tcBorders>
            <w:vAlign w:val="bottom"/>
          </w:tcPr>
          <w:p w14:paraId="23F7ED6A" w14:textId="77777777" w:rsidR="00E54F53" w:rsidRPr="00FB7FF9" w:rsidRDefault="00E54F53" w:rsidP="00B137E1">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4E7FBDC5" w14:textId="6841C327" w:rsidR="00E54F53" w:rsidRPr="00FB7FF9" w:rsidRDefault="00412B82" w:rsidP="00B137E1">
            <w:pPr>
              <w:tabs>
                <w:tab w:val="decimal" w:pos="1037"/>
              </w:tabs>
              <w:spacing w:after="0" w:line="240" w:lineRule="auto"/>
              <w:jc w:val="right"/>
              <w:rPr>
                <w:rFonts w:ascii="Arial" w:hAnsi="Arial" w:cs="Arial"/>
                <w:sz w:val="17"/>
                <w:szCs w:val="17"/>
              </w:rPr>
            </w:pPr>
            <w:r w:rsidRPr="00FB7FF9">
              <w:rPr>
                <w:rFonts w:ascii="Arial" w:hAnsi="Arial" w:cs="Arial"/>
                <w:sz w:val="17"/>
                <w:szCs w:val="17"/>
              </w:rPr>
              <w:t>(1,881,937)</w:t>
            </w:r>
          </w:p>
        </w:tc>
      </w:tr>
      <w:tr w:rsidR="00E54F53" w:rsidRPr="00FB7FF9" w14:paraId="2066BE09" w14:textId="77777777" w:rsidTr="00BC45BB">
        <w:trPr>
          <w:trHeight w:val="283"/>
          <w:jc w:val="center"/>
        </w:trPr>
        <w:tc>
          <w:tcPr>
            <w:tcW w:w="2835" w:type="dxa"/>
            <w:tcBorders>
              <w:top w:val="nil"/>
              <w:left w:val="nil"/>
              <w:bottom w:val="nil"/>
              <w:right w:val="nil"/>
            </w:tcBorders>
            <w:shd w:val="clear" w:color="auto" w:fill="auto"/>
            <w:noWrap/>
            <w:vAlign w:val="bottom"/>
          </w:tcPr>
          <w:p w14:paraId="449295FA" w14:textId="50B0C8A5" w:rsidR="00E54F53" w:rsidRPr="00FB7FF9" w:rsidRDefault="00E54F53" w:rsidP="00B137E1">
            <w:pPr>
              <w:spacing w:after="0" w:line="240" w:lineRule="auto"/>
              <w:ind w:left="-75"/>
              <w:rPr>
                <w:rFonts w:ascii="Arial" w:hAnsi="Arial" w:cs="Arial"/>
                <w:sz w:val="17"/>
                <w:szCs w:val="17"/>
              </w:rPr>
            </w:pPr>
            <w:r w:rsidRPr="00FB7FF9">
              <w:rPr>
                <w:rFonts w:ascii="Arial" w:hAnsi="Arial" w:cs="Arial"/>
                <w:sz w:val="17"/>
                <w:szCs w:val="17"/>
              </w:rPr>
              <w:t>Baja de capital</w:t>
            </w:r>
          </w:p>
        </w:tc>
        <w:tc>
          <w:tcPr>
            <w:tcW w:w="1276" w:type="dxa"/>
            <w:tcBorders>
              <w:left w:val="nil"/>
              <w:right w:val="nil"/>
            </w:tcBorders>
            <w:shd w:val="clear" w:color="auto" w:fill="auto"/>
            <w:noWrap/>
            <w:vAlign w:val="bottom"/>
          </w:tcPr>
          <w:p w14:paraId="4690643F" w14:textId="3FC538B3" w:rsidR="00E54F53" w:rsidRPr="00FB7FF9" w:rsidRDefault="00E54F53" w:rsidP="00B137E1">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(6,115,000)</w:t>
            </w:r>
          </w:p>
        </w:tc>
        <w:tc>
          <w:tcPr>
            <w:tcW w:w="170" w:type="dxa"/>
            <w:tcBorders>
              <w:left w:val="nil"/>
              <w:right w:val="nil"/>
            </w:tcBorders>
          </w:tcPr>
          <w:p w14:paraId="2C62A938" w14:textId="77777777" w:rsidR="00E54F53" w:rsidRPr="00FB7FF9" w:rsidRDefault="00E54F53" w:rsidP="00B137E1">
            <w:pPr>
              <w:spacing w:after="0" w:line="240" w:lineRule="auto"/>
              <w:ind w:right="214"/>
              <w:rPr>
                <w:rFonts w:ascii="Arial" w:hAnsi="Arial" w:cs="Arial"/>
                <w:sz w:val="17"/>
                <w:szCs w:val="17"/>
              </w:rPr>
            </w:pPr>
          </w:p>
        </w:tc>
        <w:tc>
          <w:tcPr>
            <w:tcW w:w="1389" w:type="dxa"/>
            <w:tcBorders>
              <w:left w:val="nil"/>
              <w:right w:val="nil"/>
            </w:tcBorders>
            <w:vAlign w:val="bottom"/>
          </w:tcPr>
          <w:p w14:paraId="60028523" w14:textId="0C4E17EF" w:rsidR="00E54F53" w:rsidRPr="00FB7FF9" w:rsidRDefault="00E54F53" w:rsidP="00B137E1">
            <w:pPr>
              <w:tabs>
                <w:tab w:val="decimal" w:pos="1254"/>
              </w:tabs>
              <w:spacing w:after="0" w:line="240" w:lineRule="auto"/>
              <w:ind w:right="72"/>
              <w:jc w:val="right"/>
              <w:rPr>
                <w:rFonts w:ascii="Arial" w:hAnsi="Arial" w:cs="Arial"/>
                <w:sz w:val="17"/>
                <w:szCs w:val="17"/>
              </w:rPr>
            </w:pPr>
            <w:r w:rsidRPr="00FB7FF9">
              <w:rPr>
                <w:rFonts w:ascii="Arial" w:hAnsi="Arial" w:cs="Arial"/>
                <w:sz w:val="17"/>
                <w:szCs w:val="17"/>
              </w:rPr>
              <w:t>6,115,000</w:t>
            </w:r>
          </w:p>
        </w:tc>
        <w:tc>
          <w:tcPr>
            <w:tcW w:w="170" w:type="dxa"/>
            <w:tcBorders>
              <w:left w:val="nil"/>
              <w:right w:val="nil"/>
            </w:tcBorders>
            <w:vAlign w:val="bottom"/>
          </w:tcPr>
          <w:p w14:paraId="5BBA679B" w14:textId="77777777" w:rsidR="00E54F53" w:rsidRPr="00FB7FF9" w:rsidRDefault="00E54F53" w:rsidP="00B137E1">
            <w:pPr>
              <w:spacing w:after="0" w:line="240" w:lineRule="auto"/>
              <w:rPr>
                <w:rFonts w:ascii="Arial" w:hAnsi="Arial" w:cs="Arial"/>
                <w:sz w:val="17"/>
                <w:szCs w:val="17"/>
              </w:rPr>
            </w:pPr>
          </w:p>
        </w:tc>
        <w:tc>
          <w:tcPr>
            <w:tcW w:w="964" w:type="dxa"/>
            <w:tcBorders>
              <w:left w:val="nil"/>
              <w:right w:val="nil"/>
            </w:tcBorders>
            <w:vAlign w:val="bottom"/>
          </w:tcPr>
          <w:p w14:paraId="7CE0B778" w14:textId="02D9536E" w:rsidR="00E54F53" w:rsidRPr="00FB7FF9" w:rsidRDefault="00977E23" w:rsidP="00B137E1">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right w:val="nil"/>
            </w:tcBorders>
          </w:tcPr>
          <w:p w14:paraId="7B3A3A9C" w14:textId="5E584F22" w:rsidR="00E54F53" w:rsidRPr="00FB7FF9" w:rsidRDefault="00E54F53" w:rsidP="00B137E1">
            <w:pPr>
              <w:tabs>
                <w:tab w:val="decimal" w:pos="1179"/>
              </w:tabs>
              <w:spacing w:after="0" w:line="240" w:lineRule="auto"/>
              <w:rPr>
                <w:rFonts w:ascii="Arial" w:hAnsi="Arial" w:cs="Arial"/>
                <w:sz w:val="17"/>
                <w:szCs w:val="17"/>
              </w:rPr>
            </w:pPr>
          </w:p>
        </w:tc>
        <w:tc>
          <w:tcPr>
            <w:tcW w:w="1256" w:type="dxa"/>
            <w:tcBorders>
              <w:left w:val="nil"/>
              <w:right w:val="nil"/>
            </w:tcBorders>
            <w:shd w:val="clear" w:color="auto" w:fill="auto"/>
            <w:noWrap/>
            <w:vAlign w:val="bottom"/>
          </w:tcPr>
          <w:p w14:paraId="1925819F" w14:textId="66624B58" w:rsidR="00E54F53" w:rsidRPr="00FB7FF9" w:rsidRDefault="00977E23" w:rsidP="00B137E1">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70" w:type="dxa"/>
            <w:tcBorders>
              <w:left w:val="nil"/>
              <w:right w:val="nil"/>
            </w:tcBorders>
            <w:vAlign w:val="bottom"/>
          </w:tcPr>
          <w:p w14:paraId="4EEA8235" w14:textId="77777777" w:rsidR="00E54F53" w:rsidRPr="00FB7FF9" w:rsidRDefault="00E54F53" w:rsidP="00B137E1">
            <w:pPr>
              <w:spacing w:after="0" w:line="240" w:lineRule="auto"/>
              <w:ind w:right="214"/>
              <w:rPr>
                <w:rFonts w:ascii="Arial" w:hAnsi="Arial" w:cs="Arial"/>
                <w:sz w:val="17"/>
                <w:szCs w:val="17"/>
              </w:rPr>
            </w:pPr>
          </w:p>
        </w:tc>
        <w:tc>
          <w:tcPr>
            <w:tcW w:w="1105" w:type="dxa"/>
            <w:tcBorders>
              <w:left w:val="nil"/>
              <w:right w:val="nil"/>
            </w:tcBorders>
            <w:shd w:val="clear" w:color="auto" w:fill="auto"/>
            <w:noWrap/>
            <w:vAlign w:val="bottom"/>
          </w:tcPr>
          <w:p w14:paraId="1592161B" w14:textId="3DE8AF5F" w:rsidR="00E54F53" w:rsidRPr="00FB7FF9" w:rsidRDefault="00412B82" w:rsidP="00B137E1">
            <w:pPr>
              <w:tabs>
                <w:tab w:val="decimal" w:pos="1037"/>
              </w:tabs>
              <w:spacing w:after="0" w:line="240" w:lineRule="auto"/>
              <w:jc w:val="right"/>
              <w:rPr>
                <w:rFonts w:ascii="Arial" w:hAnsi="Arial" w:cs="Arial"/>
                <w:sz w:val="17"/>
                <w:szCs w:val="17"/>
              </w:rPr>
            </w:pPr>
            <w:r w:rsidRPr="00FB7FF9">
              <w:rPr>
                <w:rFonts w:ascii="Arial" w:hAnsi="Arial" w:cs="Arial"/>
                <w:sz w:val="17"/>
                <w:szCs w:val="17"/>
              </w:rPr>
              <w:t>-</w:t>
            </w:r>
          </w:p>
        </w:tc>
      </w:tr>
      <w:tr w:rsidR="00E54F53" w:rsidRPr="00FB7FF9" w14:paraId="41251626" w14:textId="77777777" w:rsidTr="00BC45BB">
        <w:trPr>
          <w:trHeight w:val="283"/>
          <w:jc w:val="center"/>
        </w:trPr>
        <w:tc>
          <w:tcPr>
            <w:tcW w:w="2835" w:type="dxa"/>
            <w:tcBorders>
              <w:top w:val="nil"/>
              <w:left w:val="nil"/>
              <w:bottom w:val="nil"/>
              <w:right w:val="nil"/>
            </w:tcBorders>
            <w:shd w:val="clear" w:color="auto" w:fill="auto"/>
            <w:noWrap/>
            <w:vAlign w:val="bottom"/>
          </w:tcPr>
          <w:p w14:paraId="209529E6" w14:textId="4E129706"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Dividendos pagados, Nota 25</w:t>
            </w:r>
          </w:p>
        </w:tc>
        <w:tc>
          <w:tcPr>
            <w:tcW w:w="1276" w:type="dxa"/>
            <w:tcBorders>
              <w:left w:val="nil"/>
              <w:right w:val="nil"/>
            </w:tcBorders>
            <w:shd w:val="clear" w:color="auto" w:fill="auto"/>
            <w:noWrap/>
            <w:vAlign w:val="bottom"/>
          </w:tcPr>
          <w:p w14:paraId="1575331A" w14:textId="63F16B80" w:rsidR="00E54F53" w:rsidRPr="00FB7FF9" w:rsidRDefault="00977E23"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right w:val="nil"/>
            </w:tcBorders>
          </w:tcPr>
          <w:p w14:paraId="4C36180E" w14:textId="77777777" w:rsidR="00E54F53" w:rsidRPr="00FB7FF9" w:rsidRDefault="00E54F53" w:rsidP="0025763F">
            <w:pPr>
              <w:tabs>
                <w:tab w:val="decimal" w:pos="1142"/>
              </w:tabs>
              <w:spacing w:after="0" w:line="240" w:lineRule="auto"/>
              <w:ind w:right="214"/>
              <w:rPr>
                <w:rFonts w:ascii="Arial" w:hAnsi="Arial" w:cs="Arial"/>
                <w:sz w:val="17"/>
                <w:szCs w:val="17"/>
              </w:rPr>
            </w:pPr>
          </w:p>
        </w:tc>
        <w:tc>
          <w:tcPr>
            <w:tcW w:w="1389" w:type="dxa"/>
            <w:tcBorders>
              <w:left w:val="nil"/>
              <w:right w:val="nil"/>
            </w:tcBorders>
            <w:vAlign w:val="bottom"/>
          </w:tcPr>
          <w:p w14:paraId="52459FFC" w14:textId="36D869F5" w:rsidR="00E54F53" w:rsidRPr="00FB7FF9" w:rsidRDefault="00977E23"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right w:val="nil"/>
            </w:tcBorders>
            <w:vAlign w:val="bottom"/>
          </w:tcPr>
          <w:p w14:paraId="54176AA6" w14:textId="77777777" w:rsidR="00E54F53" w:rsidRPr="00FB7FF9" w:rsidRDefault="00E54F53" w:rsidP="0025763F">
            <w:pPr>
              <w:spacing w:after="0" w:line="240" w:lineRule="auto"/>
              <w:rPr>
                <w:rFonts w:ascii="Arial" w:hAnsi="Arial" w:cs="Arial"/>
                <w:sz w:val="17"/>
                <w:szCs w:val="17"/>
              </w:rPr>
            </w:pPr>
          </w:p>
        </w:tc>
        <w:tc>
          <w:tcPr>
            <w:tcW w:w="964" w:type="dxa"/>
            <w:tcBorders>
              <w:left w:val="nil"/>
              <w:right w:val="nil"/>
            </w:tcBorders>
            <w:vAlign w:val="bottom"/>
          </w:tcPr>
          <w:p w14:paraId="0BD75AD2" w14:textId="2E401841" w:rsidR="00E54F53" w:rsidRPr="00FB7FF9" w:rsidRDefault="00977E23" w:rsidP="0025763F">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right w:val="nil"/>
            </w:tcBorders>
          </w:tcPr>
          <w:p w14:paraId="5EC4C8DA" w14:textId="53EB7AEB"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right w:val="nil"/>
            </w:tcBorders>
            <w:shd w:val="clear" w:color="auto" w:fill="auto"/>
            <w:noWrap/>
            <w:vAlign w:val="bottom"/>
          </w:tcPr>
          <w:p w14:paraId="216355EC" w14:textId="79E30E80" w:rsidR="00E54F53" w:rsidRPr="00FB7FF9" w:rsidRDefault="00E54F53" w:rsidP="0025763F">
            <w:pPr>
              <w:tabs>
                <w:tab w:val="decimal" w:pos="1179"/>
              </w:tabs>
              <w:spacing w:after="0" w:line="240" w:lineRule="auto"/>
              <w:rPr>
                <w:rFonts w:ascii="Arial" w:hAnsi="Arial" w:cs="Arial"/>
                <w:sz w:val="17"/>
                <w:szCs w:val="17"/>
              </w:rPr>
            </w:pPr>
            <w:r w:rsidRPr="00FB7FF9">
              <w:rPr>
                <w:rFonts w:ascii="Arial" w:hAnsi="Arial" w:cs="Arial"/>
                <w:sz w:val="17"/>
                <w:szCs w:val="17"/>
              </w:rPr>
              <w:t>(8,861,058)</w:t>
            </w:r>
          </w:p>
        </w:tc>
        <w:tc>
          <w:tcPr>
            <w:tcW w:w="170" w:type="dxa"/>
            <w:tcBorders>
              <w:left w:val="nil"/>
              <w:right w:val="nil"/>
            </w:tcBorders>
            <w:vAlign w:val="bottom"/>
          </w:tcPr>
          <w:p w14:paraId="7AE3FC9F" w14:textId="77777777" w:rsidR="00E54F53" w:rsidRPr="00FB7FF9" w:rsidRDefault="00E54F53" w:rsidP="0025763F">
            <w:pPr>
              <w:spacing w:after="0" w:line="240" w:lineRule="auto"/>
              <w:ind w:right="214"/>
              <w:rPr>
                <w:rFonts w:ascii="Arial" w:hAnsi="Arial" w:cs="Arial"/>
                <w:sz w:val="17"/>
                <w:szCs w:val="17"/>
              </w:rPr>
            </w:pPr>
          </w:p>
        </w:tc>
        <w:tc>
          <w:tcPr>
            <w:tcW w:w="1105" w:type="dxa"/>
            <w:tcBorders>
              <w:left w:val="nil"/>
              <w:right w:val="nil"/>
            </w:tcBorders>
            <w:shd w:val="clear" w:color="auto" w:fill="auto"/>
            <w:noWrap/>
            <w:vAlign w:val="bottom"/>
          </w:tcPr>
          <w:p w14:paraId="175F6151" w14:textId="76384914" w:rsidR="00E54F53" w:rsidRPr="00FB7FF9" w:rsidRDefault="00412B82" w:rsidP="0025763F">
            <w:pPr>
              <w:tabs>
                <w:tab w:val="decimal" w:pos="1037"/>
              </w:tabs>
              <w:spacing w:after="0" w:line="240" w:lineRule="auto"/>
              <w:jc w:val="right"/>
              <w:rPr>
                <w:rFonts w:ascii="Arial" w:hAnsi="Arial" w:cs="Arial"/>
                <w:sz w:val="17"/>
                <w:szCs w:val="17"/>
              </w:rPr>
            </w:pPr>
            <w:r w:rsidRPr="00FB7FF9">
              <w:rPr>
                <w:rFonts w:ascii="Arial" w:hAnsi="Arial" w:cs="Arial"/>
                <w:sz w:val="17"/>
                <w:szCs w:val="17"/>
              </w:rPr>
              <w:t>(8,861,058)</w:t>
            </w:r>
          </w:p>
        </w:tc>
      </w:tr>
      <w:tr w:rsidR="00E54F53" w:rsidRPr="00FB7FF9" w14:paraId="4DDDF017" w14:textId="77777777" w:rsidTr="00BC45BB">
        <w:trPr>
          <w:trHeight w:val="283"/>
          <w:jc w:val="center"/>
        </w:trPr>
        <w:tc>
          <w:tcPr>
            <w:tcW w:w="2835" w:type="dxa"/>
            <w:tcBorders>
              <w:top w:val="nil"/>
              <w:left w:val="nil"/>
              <w:bottom w:val="nil"/>
              <w:right w:val="nil"/>
            </w:tcBorders>
            <w:shd w:val="clear" w:color="auto" w:fill="auto"/>
            <w:noWrap/>
            <w:vAlign w:val="bottom"/>
          </w:tcPr>
          <w:p w14:paraId="2C86844B" w14:textId="61DDD1BE"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Apropiación</w:t>
            </w:r>
            <w:r w:rsidR="00BE2776">
              <w:rPr>
                <w:rFonts w:ascii="Arial" w:hAnsi="Arial" w:cs="Arial"/>
                <w:sz w:val="17"/>
                <w:szCs w:val="17"/>
              </w:rPr>
              <w:t>, Nota 25</w:t>
            </w:r>
            <w:r w:rsidRPr="00FB7FF9">
              <w:rPr>
                <w:rFonts w:ascii="Arial" w:hAnsi="Arial" w:cs="Arial"/>
                <w:sz w:val="17"/>
                <w:szCs w:val="17"/>
              </w:rPr>
              <w:t xml:space="preserve"> </w:t>
            </w:r>
          </w:p>
        </w:tc>
        <w:tc>
          <w:tcPr>
            <w:tcW w:w="1276" w:type="dxa"/>
            <w:tcBorders>
              <w:left w:val="nil"/>
              <w:right w:val="nil"/>
            </w:tcBorders>
            <w:shd w:val="clear" w:color="auto" w:fill="auto"/>
            <w:noWrap/>
            <w:vAlign w:val="bottom"/>
          </w:tcPr>
          <w:p w14:paraId="3F8E0F22" w14:textId="3FB5F9FF" w:rsidR="00E54F53" w:rsidRPr="00FB7FF9" w:rsidRDefault="00977E23"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right w:val="nil"/>
            </w:tcBorders>
          </w:tcPr>
          <w:p w14:paraId="47E755AE" w14:textId="77777777" w:rsidR="00E54F53" w:rsidRPr="00FB7FF9" w:rsidRDefault="00E54F53" w:rsidP="0025763F">
            <w:pPr>
              <w:tabs>
                <w:tab w:val="decimal" w:pos="1142"/>
              </w:tabs>
              <w:spacing w:after="0" w:line="240" w:lineRule="auto"/>
              <w:ind w:right="214"/>
              <w:rPr>
                <w:rFonts w:ascii="Arial" w:hAnsi="Arial" w:cs="Arial"/>
                <w:sz w:val="17"/>
                <w:szCs w:val="17"/>
              </w:rPr>
            </w:pPr>
          </w:p>
        </w:tc>
        <w:tc>
          <w:tcPr>
            <w:tcW w:w="1389" w:type="dxa"/>
            <w:tcBorders>
              <w:left w:val="nil"/>
              <w:right w:val="nil"/>
            </w:tcBorders>
            <w:vAlign w:val="bottom"/>
          </w:tcPr>
          <w:p w14:paraId="10CED53F" w14:textId="2765BACA" w:rsidR="00E54F53" w:rsidRPr="00FB7FF9" w:rsidRDefault="00977E23"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right w:val="nil"/>
            </w:tcBorders>
            <w:vAlign w:val="bottom"/>
          </w:tcPr>
          <w:p w14:paraId="69D78DFA" w14:textId="77777777" w:rsidR="00E54F53" w:rsidRPr="00FB7FF9" w:rsidRDefault="00E54F53" w:rsidP="0025763F">
            <w:pPr>
              <w:spacing w:after="0" w:line="240" w:lineRule="auto"/>
              <w:rPr>
                <w:rFonts w:ascii="Arial" w:hAnsi="Arial" w:cs="Arial"/>
                <w:sz w:val="17"/>
                <w:szCs w:val="17"/>
              </w:rPr>
            </w:pPr>
          </w:p>
        </w:tc>
        <w:tc>
          <w:tcPr>
            <w:tcW w:w="964" w:type="dxa"/>
            <w:tcBorders>
              <w:left w:val="nil"/>
              <w:right w:val="nil"/>
            </w:tcBorders>
            <w:vAlign w:val="bottom"/>
          </w:tcPr>
          <w:p w14:paraId="0D6EA397" w14:textId="124E4506" w:rsidR="00E54F53" w:rsidRPr="00FB7FF9" w:rsidRDefault="00E54F53" w:rsidP="0025763F">
            <w:pPr>
              <w:tabs>
                <w:tab w:val="decimal" w:pos="1179"/>
              </w:tabs>
              <w:spacing w:after="0" w:line="240" w:lineRule="auto"/>
              <w:rPr>
                <w:rFonts w:ascii="Arial" w:hAnsi="Arial" w:cs="Arial"/>
                <w:sz w:val="17"/>
                <w:szCs w:val="17"/>
              </w:rPr>
            </w:pPr>
            <w:r w:rsidRPr="00FB7FF9">
              <w:rPr>
                <w:rFonts w:ascii="Arial" w:hAnsi="Arial" w:cs="Arial"/>
                <w:sz w:val="17"/>
                <w:szCs w:val="17"/>
              </w:rPr>
              <w:t>1,287,634</w:t>
            </w:r>
          </w:p>
        </w:tc>
        <w:tc>
          <w:tcPr>
            <w:tcW w:w="162" w:type="dxa"/>
            <w:tcBorders>
              <w:left w:val="nil"/>
              <w:right w:val="nil"/>
            </w:tcBorders>
          </w:tcPr>
          <w:p w14:paraId="68867D51" w14:textId="77777777"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right w:val="nil"/>
            </w:tcBorders>
            <w:shd w:val="clear" w:color="auto" w:fill="auto"/>
            <w:noWrap/>
            <w:vAlign w:val="bottom"/>
          </w:tcPr>
          <w:p w14:paraId="0A8285BD" w14:textId="20F470BB" w:rsidR="00E54F53" w:rsidRPr="00FB7FF9" w:rsidRDefault="00E54F53" w:rsidP="0025763F">
            <w:pPr>
              <w:tabs>
                <w:tab w:val="decimal" w:pos="1179"/>
              </w:tabs>
              <w:spacing w:after="0" w:line="240" w:lineRule="auto"/>
              <w:rPr>
                <w:rFonts w:ascii="Arial" w:hAnsi="Arial" w:cs="Arial"/>
                <w:sz w:val="17"/>
                <w:szCs w:val="17"/>
              </w:rPr>
            </w:pPr>
            <w:r w:rsidRPr="00FB7FF9">
              <w:rPr>
                <w:rFonts w:ascii="Arial" w:hAnsi="Arial" w:cs="Arial"/>
                <w:sz w:val="17"/>
                <w:szCs w:val="17"/>
              </w:rPr>
              <w:t>(1,287,634)</w:t>
            </w:r>
          </w:p>
        </w:tc>
        <w:tc>
          <w:tcPr>
            <w:tcW w:w="170" w:type="dxa"/>
            <w:tcBorders>
              <w:left w:val="nil"/>
              <w:right w:val="nil"/>
            </w:tcBorders>
            <w:vAlign w:val="bottom"/>
          </w:tcPr>
          <w:p w14:paraId="4C515A0F" w14:textId="77777777" w:rsidR="00E54F53" w:rsidRPr="00FB7FF9" w:rsidRDefault="00E54F53" w:rsidP="0025763F">
            <w:pPr>
              <w:spacing w:after="0" w:line="240" w:lineRule="auto"/>
              <w:ind w:right="214"/>
              <w:rPr>
                <w:rFonts w:ascii="Arial" w:hAnsi="Arial" w:cs="Arial"/>
                <w:sz w:val="17"/>
                <w:szCs w:val="17"/>
              </w:rPr>
            </w:pPr>
          </w:p>
        </w:tc>
        <w:tc>
          <w:tcPr>
            <w:tcW w:w="1105" w:type="dxa"/>
            <w:tcBorders>
              <w:left w:val="nil"/>
              <w:right w:val="nil"/>
            </w:tcBorders>
            <w:shd w:val="clear" w:color="auto" w:fill="auto"/>
            <w:noWrap/>
            <w:vAlign w:val="bottom"/>
          </w:tcPr>
          <w:p w14:paraId="67F8C657" w14:textId="68587BC6" w:rsidR="00E54F53" w:rsidRPr="00FB7FF9" w:rsidRDefault="00412B82" w:rsidP="0025763F">
            <w:pPr>
              <w:tabs>
                <w:tab w:val="decimal" w:pos="1037"/>
              </w:tabs>
              <w:spacing w:after="0" w:line="240" w:lineRule="auto"/>
              <w:rPr>
                <w:rFonts w:ascii="Arial" w:hAnsi="Arial" w:cs="Arial"/>
                <w:sz w:val="17"/>
                <w:szCs w:val="17"/>
              </w:rPr>
            </w:pPr>
            <w:r w:rsidRPr="00FB7FF9">
              <w:rPr>
                <w:rFonts w:ascii="Arial" w:hAnsi="Arial" w:cs="Arial"/>
                <w:sz w:val="17"/>
                <w:szCs w:val="17"/>
              </w:rPr>
              <w:t>-</w:t>
            </w:r>
          </w:p>
        </w:tc>
      </w:tr>
      <w:tr w:rsidR="00EA5F8C" w:rsidRPr="00FB7FF9" w14:paraId="3BB7CA45" w14:textId="77777777" w:rsidTr="00BC45BB">
        <w:trPr>
          <w:trHeight w:val="283"/>
          <w:jc w:val="center"/>
        </w:trPr>
        <w:tc>
          <w:tcPr>
            <w:tcW w:w="2835" w:type="dxa"/>
            <w:tcBorders>
              <w:top w:val="nil"/>
              <w:left w:val="nil"/>
              <w:bottom w:val="nil"/>
              <w:right w:val="nil"/>
            </w:tcBorders>
            <w:shd w:val="clear" w:color="auto" w:fill="auto"/>
            <w:noWrap/>
            <w:vAlign w:val="bottom"/>
          </w:tcPr>
          <w:p w14:paraId="4F08AC7C" w14:textId="2954ABA4" w:rsidR="00EA5F8C" w:rsidRPr="00FB7FF9" w:rsidRDefault="00EA5F8C" w:rsidP="0025763F">
            <w:pPr>
              <w:spacing w:after="0" w:line="240" w:lineRule="auto"/>
              <w:ind w:left="-75"/>
              <w:rPr>
                <w:rFonts w:ascii="Arial" w:hAnsi="Arial" w:cs="Arial"/>
                <w:sz w:val="17"/>
                <w:szCs w:val="17"/>
              </w:rPr>
            </w:pPr>
            <w:r>
              <w:rPr>
                <w:rFonts w:ascii="Arial" w:hAnsi="Arial" w:cs="Arial"/>
                <w:sz w:val="17"/>
                <w:szCs w:val="17"/>
              </w:rPr>
              <w:t>Ajustes años anteriores, Nota 19</w:t>
            </w:r>
          </w:p>
        </w:tc>
        <w:tc>
          <w:tcPr>
            <w:tcW w:w="1276" w:type="dxa"/>
            <w:tcBorders>
              <w:left w:val="nil"/>
              <w:right w:val="nil"/>
            </w:tcBorders>
            <w:shd w:val="clear" w:color="auto" w:fill="auto"/>
            <w:noWrap/>
            <w:vAlign w:val="bottom"/>
          </w:tcPr>
          <w:p w14:paraId="1ACDEBA3" w14:textId="089DF9A1" w:rsidR="00EA5F8C" w:rsidRPr="00FB7FF9" w:rsidRDefault="0090119B" w:rsidP="0025763F">
            <w:pPr>
              <w:tabs>
                <w:tab w:val="decimal" w:pos="1142"/>
              </w:tabs>
              <w:spacing w:after="0" w:line="240" w:lineRule="auto"/>
              <w:ind w:right="33"/>
              <w:jc w:val="right"/>
              <w:rPr>
                <w:rFonts w:ascii="Arial" w:hAnsi="Arial" w:cs="Arial"/>
                <w:sz w:val="17"/>
                <w:szCs w:val="17"/>
              </w:rPr>
            </w:pPr>
            <w:r>
              <w:rPr>
                <w:rFonts w:ascii="Arial" w:hAnsi="Arial" w:cs="Arial"/>
                <w:sz w:val="17"/>
                <w:szCs w:val="17"/>
              </w:rPr>
              <w:t>-</w:t>
            </w:r>
          </w:p>
        </w:tc>
        <w:tc>
          <w:tcPr>
            <w:tcW w:w="170" w:type="dxa"/>
            <w:tcBorders>
              <w:left w:val="nil"/>
              <w:right w:val="nil"/>
            </w:tcBorders>
          </w:tcPr>
          <w:p w14:paraId="68D596D7" w14:textId="77777777" w:rsidR="00EA5F8C" w:rsidRPr="00FB7FF9" w:rsidRDefault="00EA5F8C" w:rsidP="0025763F">
            <w:pPr>
              <w:tabs>
                <w:tab w:val="decimal" w:pos="1142"/>
              </w:tabs>
              <w:spacing w:after="0" w:line="240" w:lineRule="auto"/>
              <w:ind w:right="214"/>
              <w:rPr>
                <w:rFonts w:ascii="Arial" w:hAnsi="Arial" w:cs="Arial"/>
                <w:sz w:val="17"/>
                <w:szCs w:val="17"/>
              </w:rPr>
            </w:pPr>
          </w:p>
        </w:tc>
        <w:tc>
          <w:tcPr>
            <w:tcW w:w="1389" w:type="dxa"/>
            <w:tcBorders>
              <w:left w:val="nil"/>
              <w:right w:val="nil"/>
            </w:tcBorders>
            <w:vAlign w:val="bottom"/>
          </w:tcPr>
          <w:p w14:paraId="6508B302" w14:textId="2F7E5C86" w:rsidR="00EA5F8C" w:rsidRPr="00FB7FF9" w:rsidRDefault="0090119B" w:rsidP="0025763F">
            <w:pPr>
              <w:tabs>
                <w:tab w:val="decimal" w:pos="1254"/>
              </w:tabs>
              <w:spacing w:after="0" w:line="240" w:lineRule="auto"/>
              <w:ind w:right="72"/>
              <w:rPr>
                <w:rFonts w:ascii="Arial" w:hAnsi="Arial" w:cs="Arial"/>
                <w:sz w:val="17"/>
                <w:szCs w:val="17"/>
              </w:rPr>
            </w:pPr>
            <w:r>
              <w:rPr>
                <w:rFonts w:ascii="Arial" w:hAnsi="Arial" w:cs="Arial"/>
                <w:sz w:val="17"/>
                <w:szCs w:val="17"/>
              </w:rPr>
              <w:t>-</w:t>
            </w:r>
          </w:p>
        </w:tc>
        <w:tc>
          <w:tcPr>
            <w:tcW w:w="170" w:type="dxa"/>
            <w:tcBorders>
              <w:left w:val="nil"/>
              <w:right w:val="nil"/>
            </w:tcBorders>
            <w:vAlign w:val="bottom"/>
          </w:tcPr>
          <w:p w14:paraId="19C84C10" w14:textId="77777777" w:rsidR="00EA5F8C" w:rsidRPr="00FB7FF9" w:rsidRDefault="00EA5F8C" w:rsidP="0025763F">
            <w:pPr>
              <w:spacing w:after="0" w:line="240" w:lineRule="auto"/>
              <w:rPr>
                <w:rFonts w:ascii="Arial" w:hAnsi="Arial" w:cs="Arial"/>
                <w:sz w:val="17"/>
                <w:szCs w:val="17"/>
              </w:rPr>
            </w:pPr>
          </w:p>
        </w:tc>
        <w:tc>
          <w:tcPr>
            <w:tcW w:w="964" w:type="dxa"/>
            <w:tcBorders>
              <w:left w:val="nil"/>
              <w:right w:val="nil"/>
            </w:tcBorders>
            <w:vAlign w:val="bottom"/>
          </w:tcPr>
          <w:p w14:paraId="341AD0B7" w14:textId="1DB03BA7" w:rsidR="00EA5F8C" w:rsidRPr="00FB7FF9" w:rsidRDefault="0090119B" w:rsidP="0025763F">
            <w:pPr>
              <w:tabs>
                <w:tab w:val="decimal" w:pos="1179"/>
              </w:tabs>
              <w:spacing w:after="0" w:line="240" w:lineRule="auto"/>
              <w:rPr>
                <w:rFonts w:ascii="Arial" w:hAnsi="Arial" w:cs="Arial"/>
                <w:sz w:val="17"/>
                <w:szCs w:val="17"/>
              </w:rPr>
            </w:pPr>
            <w:r>
              <w:rPr>
                <w:rFonts w:ascii="Arial" w:hAnsi="Arial" w:cs="Arial"/>
                <w:sz w:val="17"/>
                <w:szCs w:val="17"/>
              </w:rPr>
              <w:t>-</w:t>
            </w:r>
          </w:p>
        </w:tc>
        <w:tc>
          <w:tcPr>
            <w:tcW w:w="162" w:type="dxa"/>
            <w:tcBorders>
              <w:left w:val="nil"/>
              <w:right w:val="nil"/>
            </w:tcBorders>
          </w:tcPr>
          <w:p w14:paraId="03C5BA3A" w14:textId="77777777" w:rsidR="00EA5F8C" w:rsidRPr="00FB7FF9" w:rsidRDefault="00EA5F8C" w:rsidP="0025763F">
            <w:pPr>
              <w:tabs>
                <w:tab w:val="decimal" w:pos="1179"/>
              </w:tabs>
              <w:spacing w:after="0" w:line="240" w:lineRule="auto"/>
              <w:rPr>
                <w:rFonts w:ascii="Arial" w:hAnsi="Arial" w:cs="Arial"/>
                <w:sz w:val="17"/>
                <w:szCs w:val="17"/>
              </w:rPr>
            </w:pPr>
          </w:p>
        </w:tc>
        <w:tc>
          <w:tcPr>
            <w:tcW w:w="1256" w:type="dxa"/>
            <w:tcBorders>
              <w:left w:val="nil"/>
              <w:right w:val="nil"/>
            </w:tcBorders>
            <w:shd w:val="clear" w:color="auto" w:fill="auto"/>
            <w:noWrap/>
            <w:vAlign w:val="bottom"/>
          </w:tcPr>
          <w:p w14:paraId="5385E9F5" w14:textId="0F1D1943" w:rsidR="00EA5F8C" w:rsidRPr="00FB7FF9" w:rsidRDefault="00EA5F8C" w:rsidP="0025763F">
            <w:pPr>
              <w:tabs>
                <w:tab w:val="decimal" w:pos="1179"/>
              </w:tabs>
              <w:spacing w:after="0" w:line="240" w:lineRule="auto"/>
              <w:rPr>
                <w:rFonts w:ascii="Arial" w:hAnsi="Arial" w:cs="Arial"/>
                <w:sz w:val="17"/>
                <w:szCs w:val="17"/>
              </w:rPr>
            </w:pPr>
            <w:r>
              <w:rPr>
                <w:rFonts w:ascii="Arial" w:hAnsi="Arial" w:cs="Arial"/>
                <w:sz w:val="17"/>
                <w:szCs w:val="17"/>
              </w:rPr>
              <w:t>(2,806,067)</w:t>
            </w:r>
          </w:p>
        </w:tc>
        <w:tc>
          <w:tcPr>
            <w:tcW w:w="170" w:type="dxa"/>
            <w:tcBorders>
              <w:left w:val="nil"/>
              <w:right w:val="nil"/>
            </w:tcBorders>
            <w:vAlign w:val="bottom"/>
          </w:tcPr>
          <w:p w14:paraId="536D4042" w14:textId="77777777" w:rsidR="00EA5F8C" w:rsidRPr="00FB7FF9" w:rsidRDefault="00EA5F8C" w:rsidP="0025763F">
            <w:pPr>
              <w:spacing w:after="0" w:line="240" w:lineRule="auto"/>
              <w:ind w:right="214"/>
              <w:rPr>
                <w:rFonts w:ascii="Arial" w:hAnsi="Arial" w:cs="Arial"/>
                <w:sz w:val="17"/>
                <w:szCs w:val="17"/>
              </w:rPr>
            </w:pPr>
          </w:p>
        </w:tc>
        <w:tc>
          <w:tcPr>
            <w:tcW w:w="1105" w:type="dxa"/>
            <w:tcBorders>
              <w:left w:val="nil"/>
              <w:right w:val="nil"/>
            </w:tcBorders>
            <w:shd w:val="clear" w:color="auto" w:fill="auto"/>
            <w:noWrap/>
            <w:vAlign w:val="bottom"/>
          </w:tcPr>
          <w:p w14:paraId="2146FF2B" w14:textId="5653E4DC" w:rsidR="00EA5F8C" w:rsidRPr="00FB7FF9" w:rsidRDefault="00EA5F8C" w:rsidP="0025763F">
            <w:pPr>
              <w:tabs>
                <w:tab w:val="decimal" w:pos="1037"/>
              </w:tabs>
              <w:spacing w:after="0" w:line="240" w:lineRule="auto"/>
              <w:rPr>
                <w:rFonts w:ascii="Arial" w:hAnsi="Arial" w:cs="Arial"/>
                <w:sz w:val="17"/>
                <w:szCs w:val="17"/>
              </w:rPr>
            </w:pPr>
            <w:r>
              <w:rPr>
                <w:rFonts w:ascii="Arial" w:hAnsi="Arial" w:cs="Arial"/>
                <w:sz w:val="17"/>
                <w:szCs w:val="17"/>
              </w:rPr>
              <w:t>(2,806,067)</w:t>
            </w:r>
          </w:p>
        </w:tc>
      </w:tr>
      <w:tr w:rsidR="00E54F53" w:rsidRPr="00FB7FF9" w14:paraId="5DBDF2F2" w14:textId="77777777" w:rsidTr="00BC45BB">
        <w:trPr>
          <w:trHeight w:val="283"/>
          <w:jc w:val="center"/>
        </w:trPr>
        <w:tc>
          <w:tcPr>
            <w:tcW w:w="2835" w:type="dxa"/>
            <w:tcBorders>
              <w:top w:val="nil"/>
              <w:left w:val="nil"/>
              <w:bottom w:val="nil"/>
              <w:right w:val="nil"/>
            </w:tcBorders>
            <w:shd w:val="clear" w:color="auto" w:fill="auto"/>
            <w:noWrap/>
            <w:vAlign w:val="bottom"/>
          </w:tcPr>
          <w:p w14:paraId="6CD37177" w14:textId="4E4F3A23"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Otros resultados integrales, Nota 18</w:t>
            </w:r>
          </w:p>
        </w:tc>
        <w:tc>
          <w:tcPr>
            <w:tcW w:w="1276" w:type="dxa"/>
            <w:tcBorders>
              <w:left w:val="nil"/>
              <w:right w:val="nil"/>
            </w:tcBorders>
            <w:shd w:val="clear" w:color="auto" w:fill="auto"/>
            <w:noWrap/>
            <w:vAlign w:val="bottom"/>
          </w:tcPr>
          <w:p w14:paraId="06B4D95F" w14:textId="43448613" w:rsidR="00E54F53" w:rsidRPr="00FB7FF9" w:rsidRDefault="00977E23"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right w:val="nil"/>
            </w:tcBorders>
          </w:tcPr>
          <w:p w14:paraId="6303BDCB" w14:textId="77777777" w:rsidR="00E54F53" w:rsidRPr="00FB7FF9" w:rsidRDefault="00E54F53" w:rsidP="0025763F">
            <w:pPr>
              <w:tabs>
                <w:tab w:val="decimal" w:pos="1142"/>
              </w:tabs>
              <w:spacing w:after="0" w:line="240" w:lineRule="auto"/>
              <w:ind w:right="214"/>
              <w:rPr>
                <w:rFonts w:ascii="Arial" w:hAnsi="Arial" w:cs="Arial"/>
                <w:sz w:val="17"/>
                <w:szCs w:val="17"/>
              </w:rPr>
            </w:pPr>
          </w:p>
        </w:tc>
        <w:tc>
          <w:tcPr>
            <w:tcW w:w="1389" w:type="dxa"/>
            <w:tcBorders>
              <w:left w:val="nil"/>
              <w:right w:val="nil"/>
            </w:tcBorders>
            <w:vAlign w:val="bottom"/>
          </w:tcPr>
          <w:p w14:paraId="2194FC00" w14:textId="04BBA89C" w:rsidR="00E54F53" w:rsidRPr="00FB7FF9" w:rsidRDefault="00977E23"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right w:val="nil"/>
            </w:tcBorders>
            <w:vAlign w:val="bottom"/>
          </w:tcPr>
          <w:p w14:paraId="6B944B03" w14:textId="77777777" w:rsidR="00E54F53" w:rsidRPr="00FB7FF9" w:rsidRDefault="00E54F53" w:rsidP="0025763F">
            <w:pPr>
              <w:spacing w:after="0" w:line="240" w:lineRule="auto"/>
              <w:rPr>
                <w:rFonts w:ascii="Arial" w:hAnsi="Arial" w:cs="Arial"/>
                <w:sz w:val="17"/>
                <w:szCs w:val="17"/>
              </w:rPr>
            </w:pPr>
          </w:p>
        </w:tc>
        <w:tc>
          <w:tcPr>
            <w:tcW w:w="964" w:type="dxa"/>
            <w:tcBorders>
              <w:left w:val="nil"/>
              <w:right w:val="nil"/>
            </w:tcBorders>
            <w:vAlign w:val="bottom"/>
          </w:tcPr>
          <w:p w14:paraId="330EA914" w14:textId="641E4074" w:rsidR="00E54F53" w:rsidRPr="00FB7FF9" w:rsidRDefault="00133C7A" w:rsidP="0025763F">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right w:val="nil"/>
            </w:tcBorders>
          </w:tcPr>
          <w:p w14:paraId="547928D3" w14:textId="77777777"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right w:val="nil"/>
            </w:tcBorders>
            <w:shd w:val="clear" w:color="auto" w:fill="auto"/>
            <w:noWrap/>
            <w:vAlign w:val="bottom"/>
          </w:tcPr>
          <w:p w14:paraId="47200835" w14:textId="3556CA3E" w:rsidR="00E54F53" w:rsidRPr="00FB7FF9" w:rsidRDefault="00E54F53" w:rsidP="0025763F">
            <w:pPr>
              <w:tabs>
                <w:tab w:val="decimal" w:pos="1179"/>
              </w:tabs>
              <w:spacing w:after="0" w:line="240" w:lineRule="auto"/>
              <w:rPr>
                <w:rFonts w:ascii="Arial" w:hAnsi="Arial" w:cs="Arial"/>
                <w:sz w:val="17"/>
                <w:szCs w:val="17"/>
              </w:rPr>
            </w:pPr>
            <w:r w:rsidRPr="00FB7FF9">
              <w:rPr>
                <w:rFonts w:ascii="Arial" w:hAnsi="Arial" w:cs="Arial"/>
                <w:sz w:val="17"/>
                <w:szCs w:val="17"/>
              </w:rPr>
              <w:t>(1,115,437)</w:t>
            </w:r>
          </w:p>
        </w:tc>
        <w:tc>
          <w:tcPr>
            <w:tcW w:w="170" w:type="dxa"/>
            <w:tcBorders>
              <w:left w:val="nil"/>
              <w:right w:val="nil"/>
            </w:tcBorders>
            <w:vAlign w:val="bottom"/>
          </w:tcPr>
          <w:p w14:paraId="32E7C620" w14:textId="77777777" w:rsidR="00E54F53" w:rsidRPr="00FB7FF9" w:rsidRDefault="00E54F53" w:rsidP="0025763F">
            <w:pPr>
              <w:spacing w:after="0" w:line="240" w:lineRule="auto"/>
              <w:ind w:right="214"/>
              <w:rPr>
                <w:rFonts w:ascii="Arial" w:hAnsi="Arial" w:cs="Arial"/>
                <w:sz w:val="17"/>
                <w:szCs w:val="17"/>
              </w:rPr>
            </w:pPr>
          </w:p>
        </w:tc>
        <w:tc>
          <w:tcPr>
            <w:tcW w:w="1105" w:type="dxa"/>
            <w:tcBorders>
              <w:left w:val="nil"/>
              <w:right w:val="nil"/>
            </w:tcBorders>
            <w:shd w:val="clear" w:color="auto" w:fill="auto"/>
            <w:noWrap/>
            <w:vAlign w:val="bottom"/>
          </w:tcPr>
          <w:p w14:paraId="00A8908C" w14:textId="64773ACE" w:rsidR="00E54F53" w:rsidRPr="00FB7FF9" w:rsidRDefault="00412B82" w:rsidP="0025763F">
            <w:pPr>
              <w:tabs>
                <w:tab w:val="decimal" w:pos="1037"/>
              </w:tabs>
              <w:spacing w:after="0" w:line="240" w:lineRule="auto"/>
              <w:jc w:val="right"/>
              <w:rPr>
                <w:rFonts w:ascii="Arial" w:hAnsi="Arial" w:cs="Arial"/>
                <w:sz w:val="17"/>
                <w:szCs w:val="17"/>
              </w:rPr>
            </w:pPr>
            <w:r w:rsidRPr="00FB7FF9">
              <w:rPr>
                <w:rFonts w:ascii="Arial" w:hAnsi="Arial" w:cs="Arial"/>
                <w:sz w:val="17"/>
                <w:szCs w:val="17"/>
              </w:rPr>
              <w:t>(1,115,437)</w:t>
            </w:r>
          </w:p>
        </w:tc>
      </w:tr>
      <w:tr w:rsidR="00E54F53" w:rsidRPr="00FB7FF9" w14:paraId="46F7DEF8" w14:textId="77777777" w:rsidTr="00BC45BB">
        <w:trPr>
          <w:trHeight w:val="283"/>
          <w:jc w:val="center"/>
        </w:trPr>
        <w:tc>
          <w:tcPr>
            <w:tcW w:w="2835" w:type="dxa"/>
            <w:tcBorders>
              <w:top w:val="nil"/>
              <w:left w:val="nil"/>
              <w:bottom w:val="nil"/>
              <w:right w:val="nil"/>
            </w:tcBorders>
            <w:shd w:val="clear" w:color="auto" w:fill="auto"/>
            <w:noWrap/>
            <w:vAlign w:val="bottom"/>
          </w:tcPr>
          <w:p w14:paraId="52F45061" w14:textId="77777777" w:rsidR="00E54F53" w:rsidRPr="00FB7FF9" w:rsidRDefault="00E54F53" w:rsidP="0025763F">
            <w:pPr>
              <w:spacing w:after="0" w:line="240" w:lineRule="auto"/>
              <w:ind w:left="-75"/>
              <w:rPr>
                <w:rFonts w:ascii="Arial" w:hAnsi="Arial" w:cs="Arial"/>
                <w:sz w:val="17"/>
                <w:szCs w:val="17"/>
              </w:rPr>
            </w:pPr>
          </w:p>
        </w:tc>
        <w:tc>
          <w:tcPr>
            <w:tcW w:w="1276" w:type="dxa"/>
            <w:tcBorders>
              <w:top w:val="single" w:sz="4" w:space="0" w:color="auto"/>
              <w:left w:val="nil"/>
              <w:bottom w:val="nil"/>
              <w:right w:val="nil"/>
            </w:tcBorders>
            <w:shd w:val="clear" w:color="auto" w:fill="auto"/>
            <w:noWrap/>
            <w:vAlign w:val="bottom"/>
          </w:tcPr>
          <w:p w14:paraId="01BC782D" w14:textId="77777777" w:rsidR="00E54F53" w:rsidRPr="00FB7FF9" w:rsidRDefault="00E54F53" w:rsidP="0025763F">
            <w:pPr>
              <w:tabs>
                <w:tab w:val="decimal" w:pos="1332"/>
              </w:tabs>
              <w:spacing w:after="0" w:line="240" w:lineRule="auto"/>
              <w:ind w:right="33"/>
              <w:jc w:val="right"/>
              <w:rPr>
                <w:rFonts w:ascii="Arial" w:hAnsi="Arial" w:cs="Arial"/>
                <w:sz w:val="17"/>
                <w:szCs w:val="17"/>
              </w:rPr>
            </w:pPr>
          </w:p>
        </w:tc>
        <w:tc>
          <w:tcPr>
            <w:tcW w:w="170" w:type="dxa"/>
            <w:tcBorders>
              <w:left w:val="nil"/>
              <w:bottom w:val="nil"/>
              <w:right w:val="nil"/>
            </w:tcBorders>
            <w:vAlign w:val="bottom"/>
          </w:tcPr>
          <w:p w14:paraId="365B0F25" w14:textId="77777777" w:rsidR="00E54F53" w:rsidRPr="00FB7FF9" w:rsidRDefault="00E54F53" w:rsidP="0025763F">
            <w:pPr>
              <w:spacing w:after="0" w:line="240" w:lineRule="auto"/>
              <w:ind w:right="214"/>
              <w:rPr>
                <w:rFonts w:ascii="Arial" w:hAnsi="Arial" w:cs="Arial"/>
                <w:sz w:val="17"/>
                <w:szCs w:val="17"/>
              </w:rPr>
            </w:pPr>
          </w:p>
        </w:tc>
        <w:tc>
          <w:tcPr>
            <w:tcW w:w="1389" w:type="dxa"/>
            <w:tcBorders>
              <w:top w:val="single" w:sz="4" w:space="0" w:color="auto"/>
              <w:left w:val="nil"/>
              <w:bottom w:val="nil"/>
              <w:right w:val="nil"/>
            </w:tcBorders>
            <w:vAlign w:val="bottom"/>
          </w:tcPr>
          <w:p w14:paraId="5E60CC25" w14:textId="77777777" w:rsidR="00E54F53" w:rsidRPr="00FB7FF9" w:rsidRDefault="00E54F53" w:rsidP="0025763F">
            <w:pPr>
              <w:tabs>
                <w:tab w:val="decimal" w:pos="1332"/>
              </w:tabs>
              <w:spacing w:after="0" w:line="240" w:lineRule="auto"/>
              <w:ind w:right="72"/>
              <w:rPr>
                <w:rFonts w:ascii="Arial" w:hAnsi="Arial" w:cs="Arial"/>
                <w:sz w:val="17"/>
                <w:szCs w:val="17"/>
              </w:rPr>
            </w:pPr>
          </w:p>
        </w:tc>
        <w:tc>
          <w:tcPr>
            <w:tcW w:w="170" w:type="dxa"/>
            <w:tcBorders>
              <w:left w:val="nil"/>
              <w:bottom w:val="nil"/>
              <w:right w:val="nil"/>
            </w:tcBorders>
            <w:vAlign w:val="bottom"/>
          </w:tcPr>
          <w:p w14:paraId="42847FC8" w14:textId="77777777" w:rsidR="00E54F53" w:rsidRPr="00FB7FF9" w:rsidRDefault="00E54F53" w:rsidP="0025763F">
            <w:pPr>
              <w:spacing w:after="0" w:line="240" w:lineRule="auto"/>
              <w:rPr>
                <w:rFonts w:ascii="Arial" w:hAnsi="Arial" w:cs="Arial"/>
                <w:sz w:val="17"/>
                <w:szCs w:val="17"/>
              </w:rPr>
            </w:pPr>
          </w:p>
        </w:tc>
        <w:tc>
          <w:tcPr>
            <w:tcW w:w="964" w:type="dxa"/>
            <w:tcBorders>
              <w:top w:val="single" w:sz="6" w:space="0" w:color="auto"/>
              <w:left w:val="nil"/>
              <w:bottom w:val="nil"/>
              <w:right w:val="nil"/>
            </w:tcBorders>
          </w:tcPr>
          <w:p w14:paraId="1F78CE75" w14:textId="77777777" w:rsidR="00E54F53" w:rsidRPr="00FB7FF9" w:rsidRDefault="00E54F53" w:rsidP="0025763F">
            <w:pPr>
              <w:tabs>
                <w:tab w:val="decimal" w:pos="1179"/>
              </w:tabs>
              <w:spacing w:after="0" w:line="240" w:lineRule="auto"/>
              <w:rPr>
                <w:rFonts w:ascii="Arial" w:hAnsi="Arial" w:cs="Arial"/>
                <w:sz w:val="17"/>
                <w:szCs w:val="17"/>
              </w:rPr>
            </w:pPr>
          </w:p>
        </w:tc>
        <w:tc>
          <w:tcPr>
            <w:tcW w:w="162" w:type="dxa"/>
            <w:tcBorders>
              <w:left w:val="nil"/>
              <w:bottom w:val="nil"/>
              <w:right w:val="nil"/>
            </w:tcBorders>
          </w:tcPr>
          <w:p w14:paraId="195B9D7F" w14:textId="330344F2"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top w:val="single" w:sz="4" w:space="0" w:color="auto"/>
              <w:left w:val="nil"/>
              <w:bottom w:val="nil"/>
              <w:right w:val="nil"/>
            </w:tcBorders>
            <w:shd w:val="clear" w:color="auto" w:fill="auto"/>
            <w:noWrap/>
            <w:vAlign w:val="bottom"/>
          </w:tcPr>
          <w:p w14:paraId="7026FB69" w14:textId="2A6C573E" w:rsidR="00E54F53" w:rsidRPr="00FB7FF9" w:rsidRDefault="00E54F53" w:rsidP="0025763F">
            <w:pPr>
              <w:tabs>
                <w:tab w:val="decimal" w:pos="1179"/>
              </w:tabs>
              <w:spacing w:after="0" w:line="240" w:lineRule="auto"/>
              <w:rPr>
                <w:rFonts w:ascii="Arial" w:hAnsi="Arial" w:cs="Arial"/>
                <w:sz w:val="17"/>
                <w:szCs w:val="17"/>
              </w:rPr>
            </w:pPr>
          </w:p>
        </w:tc>
        <w:tc>
          <w:tcPr>
            <w:tcW w:w="170" w:type="dxa"/>
            <w:tcBorders>
              <w:left w:val="nil"/>
              <w:bottom w:val="nil"/>
              <w:right w:val="nil"/>
            </w:tcBorders>
            <w:vAlign w:val="bottom"/>
          </w:tcPr>
          <w:p w14:paraId="2287F098" w14:textId="77777777" w:rsidR="00E54F53" w:rsidRPr="00FB7FF9" w:rsidRDefault="00E54F53" w:rsidP="0025763F">
            <w:pPr>
              <w:spacing w:after="0" w:line="240" w:lineRule="auto"/>
              <w:ind w:right="214"/>
              <w:rPr>
                <w:rFonts w:ascii="Arial" w:hAnsi="Arial" w:cs="Arial"/>
                <w:sz w:val="17"/>
                <w:szCs w:val="17"/>
              </w:rPr>
            </w:pPr>
          </w:p>
        </w:tc>
        <w:tc>
          <w:tcPr>
            <w:tcW w:w="1105" w:type="dxa"/>
            <w:tcBorders>
              <w:top w:val="single" w:sz="4" w:space="0" w:color="auto"/>
              <w:left w:val="nil"/>
              <w:bottom w:val="nil"/>
              <w:right w:val="nil"/>
            </w:tcBorders>
            <w:shd w:val="clear" w:color="auto" w:fill="auto"/>
            <w:noWrap/>
            <w:vAlign w:val="bottom"/>
          </w:tcPr>
          <w:p w14:paraId="5425BE06" w14:textId="6B05775E" w:rsidR="00E54F53" w:rsidRPr="00FB7FF9" w:rsidRDefault="00E54F53" w:rsidP="0025763F">
            <w:pPr>
              <w:tabs>
                <w:tab w:val="decimal" w:pos="1037"/>
              </w:tabs>
              <w:spacing w:after="0" w:line="240" w:lineRule="auto"/>
              <w:jc w:val="right"/>
              <w:rPr>
                <w:rFonts w:ascii="Arial" w:hAnsi="Arial" w:cs="Arial"/>
                <w:sz w:val="17"/>
                <w:szCs w:val="17"/>
              </w:rPr>
            </w:pPr>
          </w:p>
        </w:tc>
      </w:tr>
      <w:tr w:rsidR="00E54F53" w:rsidRPr="00FB7FF9" w14:paraId="3A8CF76E" w14:textId="77777777" w:rsidTr="00BC45BB">
        <w:trPr>
          <w:trHeight w:val="283"/>
          <w:jc w:val="center"/>
        </w:trPr>
        <w:tc>
          <w:tcPr>
            <w:tcW w:w="2835" w:type="dxa"/>
            <w:tcBorders>
              <w:top w:val="nil"/>
              <w:left w:val="nil"/>
              <w:bottom w:val="nil"/>
              <w:right w:val="nil"/>
            </w:tcBorders>
            <w:shd w:val="clear" w:color="auto" w:fill="auto"/>
            <w:noWrap/>
            <w:vAlign w:val="bottom"/>
            <w:hideMark/>
          </w:tcPr>
          <w:p w14:paraId="2E31B46D" w14:textId="7A4FE13C"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DICIEMBRE 31, 2019</w:t>
            </w:r>
          </w:p>
        </w:tc>
        <w:tc>
          <w:tcPr>
            <w:tcW w:w="1276" w:type="dxa"/>
            <w:tcBorders>
              <w:left w:val="nil"/>
              <w:bottom w:val="nil"/>
              <w:right w:val="nil"/>
            </w:tcBorders>
            <w:shd w:val="clear" w:color="auto" w:fill="auto"/>
            <w:noWrap/>
            <w:vAlign w:val="bottom"/>
          </w:tcPr>
          <w:p w14:paraId="43E37564" w14:textId="139505B6" w:rsidR="00E54F53" w:rsidRPr="00FB7FF9" w:rsidRDefault="00E54F53" w:rsidP="0025763F">
            <w:pPr>
              <w:tabs>
                <w:tab w:val="decimal" w:pos="1069"/>
              </w:tabs>
              <w:spacing w:after="0" w:line="240" w:lineRule="auto"/>
              <w:ind w:right="33"/>
              <w:jc w:val="right"/>
              <w:rPr>
                <w:rFonts w:ascii="Arial" w:hAnsi="Arial" w:cs="Arial"/>
                <w:sz w:val="17"/>
                <w:szCs w:val="17"/>
              </w:rPr>
            </w:pPr>
            <w:r w:rsidRPr="00FB7FF9">
              <w:rPr>
                <w:rFonts w:ascii="Arial" w:hAnsi="Arial" w:cs="Arial"/>
                <w:sz w:val="17"/>
                <w:szCs w:val="17"/>
              </w:rPr>
              <w:t>50,302,664</w:t>
            </w:r>
          </w:p>
        </w:tc>
        <w:tc>
          <w:tcPr>
            <w:tcW w:w="170" w:type="dxa"/>
            <w:tcBorders>
              <w:left w:val="nil"/>
              <w:bottom w:val="nil"/>
              <w:right w:val="nil"/>
            </w:tcBorders>
            <w:vAlign w:val="bottom"/>
          </w:tcPr>
          <w:p w14:paraId="081B5539" w14:textId="77777777" w:rsidR="00E54F53" w:rsidRPr="00FB7FF9" w:rsidRDefault="00E54F53" w:rsidP="0025763F">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1BA121A8" w14:textId="13D508BE" w:rsidR="00E54F53" w:rsidRPr="00FB7FF9" w:rsidRDefault="00E54F53"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6,115,920</w:t>
            </w:r>
          </w:p>
        </w:tc>
        <w:tc>
          <w:tcPr>
            <w:tcW w:w="170" w:type="dxa"/>
            <w:tcBorders>
              <w:left w:val="nil"/>
              <w:bottom w:val="nil"/>
              <w:right w:val="nil"/>
            </w:tcBorders>
            <w:vAlign w:val="bottom"/>
          </w:tcPr>
          <w:p w14:paraId="0F94FB7B" w14:textId="77777777" w:rsidR="00E54F53" w:rsidRPr="00FB7FF9" w:rsidRDefault="00E54F53" w:rsidP="0025763F">
            <w:pPr>
              <w:spacing w:after="0" w:line="240" w:lineRule="auto"/>
              <w:rPr>
                <w:rFonts w:ascii="Arial" w:hAnsi="Arial" w:cs="Arial"/>
                <w:sz w:val="17"/>
                <w:szCs w:val="17"/>
              </w:rPr>
            </w:pPr>
          </w:p>
        </w:tc>
        <w:tc>
          <w:tcPr>
            <w:tcW w:w="964" w:type="dxa"/>
            <w:tcBorders>
              <w:left w:val="nil"/>
              <w:bottom w:val="nil"/>
              <w:right w:val="nil"/>
            </w:tcBorders>
            <w:vAlign w:val="bottom"/>
          </w:tcPr>
          <w:p w14:paraId="0E718739" w14:textId="1B5DBBFD" w:rsidR="00E54F53" w:rsidRPr="00FB7FF9" w:rsidRDefault="00E54F53" w:rsidP="0025763F">
            <w:pPr>
              <w:tabs>
                <w:tab w:val="decimal" w:pos="1179"/>
              </w:tabs>
              <w:spacing w:after="0" w:line="240" w:lineRule="auto"/>
              <w:rPr>
                <w:rFonts w:ascii="Arial" w:hAnsi="Arial" w:cs="Arial"/>
                <w:sz w:val="17"/>
                <w:szCs w:val="17"/>
              </w:rPr>
            </w:pPr>
            <w:r w:rsidRPr="00FB7FF9">
              <w:rPr>
                <w:rFonts w:ascii="Arial" w:hAnsi="Arial" w:cs="Arial"/>
                <w:sz w:val="17"/>
                <w:szCs w:val="17"/>
              </w:rPr>
              <w:t>8,</w:t>
            </w:r>
            <w:r w:rsidR="00136B48" w:rsidRPr="00FB7FF9">
              <w:rPr>
                <w:rFonts w:ascii="Arial" w:hAnsi="Arial" w:cs="Arial"/>
                <w:sz w:val="17"/>
                <w:szCs w:val="17"/>
              </w:rPr>
              <w:t>111,016</w:t>
            </w:r>
          </w:p>
        </w:tc>
        <w:tc>
          <w:tcPr>
            <w:tcW w:w="162" w:type="dxa"/>
            <w:tcBorders>
              <w:left w:val="nil"/>
              <w:bottom w:val="nil"/>
              <w:right w:val="nil"/>
            </w:tcBorders>
          </w:tcPr>
          <w:p w14:paraId="5E357F50" w14:textId="78953079"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6180622B" w14:textId="53D599C8" w:rsidR="00E54F53" w:rsidRPr="00FB7FF9" w:rsidRDefault="004C2DAF" w:rsidP="0025763F">
            <w:pPr>
              <w:tabs>
                <w:tab w:val="decimal" w:pos="1179"/>
              </w:tabs>
              <w:spacing w:after="0" w:line="240" w:lineRule="auto"/>
              <w:rPr>
                <w:rFonts w:ascii="Arial" w:hAnsi="Arial" w:cs="Arial"/>
                <w:sz w:val="17"/>
                <w:szCs w:val="17"/>
              </w:rPr>
            </w:pPr>
            <w:r w:rsidRPr="00FB7FF9">
              <w:rPr>
                <w:rFonts w:ascii="Arial" w:hAnsi="Arial" w:cs="Arial"/>
                <w:sz w:val="17"/>
                <w:szCs w:val="17"/>
              </w:rPr>
              <w:t>34,974,00</w:t>
            </w:r>
            <w:r w:rsidR="00D96688" w:rsidRPr="00FB7FF9">
              <w:rPr>
                <w:rFonts w:ascii="Arial" w:hAnsi="Arial" w:cs="Arial"/>
                <w:sz w:val="17"/>
                <w:szCs w:val="17"/>
              </w:rPr>
              <w:t>6</w:t>
            </w:r>
          </w:p>
        </w:tc>
        <w:tc>
          <w:tcPr>
            <w:tcW w:w="170" w:type="dxa"/>
            <w:tcBorders>
              <w:left w:val="nil"/>
              <w:bottom w:val="nil"/>
              <w:right w:val="nil"/>
            </w:tcBorders>
            <w:vAlign w:val="bottom"/>
          </w:tcPr>
          <w:p w14:paraId="1542E636" w14:textId="77777777" w:rsidR="00E54F53" w:rsidRPr="00FB7FF9" w:rsidRDefault="00E54F53" w:rsidP="0025763F">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4286703F" w14:textId="5659B004" w:rsidR="00E54F53" w:rsidRPr="00FB7FF9" w:rsidRDefault="0005523E" w:rsidP="0025763F">
            <w:pPr>
              <w:tabs>
                <w:tab w:val="decimal" w:pos="1037"/>
              </w:tabs>
              <w:spacing w:after="0" w:line="240" w:lineRule="auto"/>
              <w:jc w:val="right"/>
              <w:rPr>
                <w:rFonts w:ascii="Arial" w:hAnsi="Arial" w:cs="Arial"/>
                <w:sz w:val="17"/>
                <w:szCs w:val="17"/>
              </w:rPr>
            </w:pPr>
            <w:r w:rsidRPr="00FB7FF9">
              <w:rPr>
                <w:rFonts w:ascii="Arial" w:hAnsi="Arial" w:cs="Arial"/>
                <w:sz w:val="17"/>
                <w:szCs w:val="17"/>
              </w:rPr>
              <w:t>99,503,60</w:t>
            </w:r>
            <w:r w:rsidR="00D96688" w:rsidRPr="00FB7FF9">
              <w:rPr>
                <w:rFonts w:ascii="Arial" w:hAnsi="Arial" w:cs="Arial"/>
                <w:sz w:val="17"/>
                <w:szCs w:val="17"/>
              </w:rPr>
              <w:t>6</w:t>
            </w:r>
          </w:p>
        </w:tc>
      </w:tr>
      <w:tr w:rsidR="00E54F53" w:rsidRPr="00FB7FF9" w14:paraId="122AE3F3" w14:textId="77777777" w:rsidTr="00BC45BB">
        <w:trPr>
          <w:trHeight w:val="283"/>
          <w:jc w:val="center"/>
        </w:trPr>
        <w:tc>
          <w:tcPr>
            <w:tcW w:w="2835" w:type="dxa"/>
            <w:tcBorders>
              <w:top w:val="nil"/>
              <w:left w:val="nil"/>
              <w:bottom w:val="nil"/>
              <w:right w:val="nil"/>
            </w:tcBorders>
            <w:shd w:val="clear" w:color="auto" w:fill="auto"/>
            <w:noWrap/>
            <w:vAlign w:val="bottom"/>
          </w:tcPr>
          <w:p w14:paraId="4CFD08EF" w14:textId="77777777" w:rsidR="00E54F53" w:rsidRPr="00FB7FF9" w:rsidRDefault="00E54F53" w:rsidP="0025763F">
            <w:pPr>
              <w:spacing w:after="0" w:line="240" w:lineRule="auto"/>
              <w:ind w:left="-75"/>
              <w:rPr>
                <w:rFonts w:ascii="Arial" w:hAnsi="Arial" w:cs="Arial"/>
                <w:sz w:val="17"/>
                <w:szCs w:val="17"/>
              </w:rPr>
            </w:pPr>
          </w:p>
        </w:tc>
        <w:tc>
          <w:tcPr>
            <w:tcW w:w="1276" w:type="dxa"/>
            <w:tcBorders>
              <w:left w:val="nil"/>
              <w:bottom w:val="nil"/>
              <w:right w:val="nil"/>
            </w:tcBorders>
            <w:shd w:val="clear" w:color="auto" w:fill="auto"/>
            <w:noWrap/>
            <w:vAlign w:val="bottom"/>
          </w:tcPr>
          <w:p w14:paraId="224C87BA" w14:textId="77777777" w:rsidR="00E54F53" w:rsidRPr="00FB7FF9" w:rsidRDefault="00E54F53" w:rsidP="0025763F">
            <w:pPr>
              <w:tabs>
                <w:tab w:val="decimal" w:pos="1332"/>
              </w:tabs>
              <w:spacing w:after="0" w:line="240" w:lineRule="auto"/>
              <w:ind w:right="33"/>
              <w:jc w:val="right"/>
              <w:rPr>
                <w:rFonts w:ascii="Arial" w:hAnsi="Arial" w:cs="Arial"/>
                <w:sz w:val="17"/>
                <w:szCs w:val="17"/>
              </w:rPr>
            </w:pPr>
          </w:p>
        </w:tc>
        <w:tc>
          <w:tcPr>
            <w:tcW w:w="170" w:type="dxa"/>
            <w:tcBorders>
              <w:left w:val="nil"/>
              <w:bottom w:val="nil"/>
              <w:right w:val="nil"/>
            </w:tcBorders>
            <w:vAlign w:val="bottom"/>
          </w:tcPr>
          <w:p w14:paraId="6CFFA84F" w14:textId="77777777" w:rsidR="00E54F53" w:rsidRPr="00FB7FF9" w:rsidRDefault="00E54F53" w:rsidP="0025763F">
            <w:pPr>
              <w:spacing w:after="0" w:line="240" w:lineRule="auto"/>
              <w:ind w:right="214"/>
              <w:rPr>
                <w:rFonts w:ascii="Arial" w:hAnsi="Arial" w:cs="Arial"/>
                <w:sz w:val="17"/>
                <w:szCs w:val="17"/>
              </w:rPr>
            </w:pPr>
          </w:p>
        </w:tc>
        <w:tc>
          <w:tcPr>
            <w:tcW w:w="1389" w:type="dxa"/>
            <w:tcBorders>
              <w:left w:val="nil"/>
              <w:bottom w:val="nil"/>
              <w:right w:val="nil"/>
            </w:tcBorders>
            <w:vAlign w:val="bottom"/>
          </w:tcPr>
          <w:p w14:paraId="26E8D251" w14:textId="77777777" w:rsidR="00E54F53" w:rsidRPr="00FB7FF9" w:rsidRDefault="00E54F53" w:rsidP="0025763F">
            <w:pPr>
              <w:tabs>
                <w:tab w:val="decimal" w:pos="1332"/>
              </w:tabs>
              <w:spacing w:after="0" w:line="240" w:lineRule="auto"/>
              <w:ind w:right="72"/>
              <w:rPr>
                <w:rFonts w:ascii="Arial" w:hAnsi="Arial" w:cs="Arial"/>
                <w:sz w:val="17"/>
                <w:szCs w:val="17"/>
              </w:rPr>
            </w:pPr>
          </w:p>
        </w:tc>
        <w:tc>
          <w:tcPr>
            <w:tcW w:w="170" w:type="dxa"/>
            <w:tcBorders>
              <w:left w:val="nil"/>
              <w:bottom w:val="nil"/>
              <w:right w:val="nil"/>
            </w:tcBorders>
            <w:vAlign w:val="bottom"/>
          </w:tcPr>
          <w:p w14:paraId="4CD92B64" w14:textId="77777777" w:rsidR="00E54F53" w:rsidRPr="00FB7FF9" w:rsidRDefault="00E54F53" w:rsidP="0025763F">
            <w:pPr>
              <w:spacing w:after="0" w:line="240" w:lineRule="auto"/>
              <w:rPr>
                <w:rFonts w:ascii="Arial" w:hAnsi="Arial" w:cs="Arial"/>
                <w:sz w:val="17"/>
                <w:szCs w:val="17"/>
              </w:rPr>
            </w:pPr>
          </w:p>
        </w:tc>
        <w:tc>
          <w:tcPr>
            <w:tcW w:w="964" w:type="dxa"/>
            <w:tcBorders>
              <w:left w:val="nil"/>
              <w:bottom w:val="nil"/>
              <w:right w:val="nil"/>
            </w:tcBorders>
          </w:tcPr>
          <w:p w14:paraId="7B5A0FE5" w14:textId="77777777" w:rsidR="00E54F53" w:rsidRPr="00FB7FF9" w:rsidRDefault="00E54F53" w:rsidP="0025763F">
            <w:pPr>
              <w:tabs>
                <w:tab w:val="decimal" w:pos="1179"/>
              </w:tabs>
              <w:spacing w:after="0" w:line="240" w:lineRule="auto"/>
              <w:rPr>
                <w:rFonts w:ascii="Arial" w:hAnsi="Arial" w:cs="Arial"/>
                <w:sz w:val="17"/>
                <w:szCs w:val="17"/>
              </w:rPr>
            </w:pPr>
          </w:p>
        </w:tc>
        <w:tc>
          <w:tcPr>
            <w:tcW w:w="162" w:type="dxa"/>
            <w:tcBorders>
              <w:left w:val="nil"/>
              <w:bottom w:val="nil"/>
              <w:right w:val="nil"/>
            </w:tcBorders>
          </w:tcPr>
          <w:p w14:paraId="5C5DB1D6" w14:textId="345D5386"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42627D7C" w14:textId="456204C4" w:rsidR="00E54F53" w:rsidRPr="00FB7FF9" w:rsidRDefault="00E54F53" w:rsidP="0025763F">
            <w:pPr>
              <w:tabs>
                <w:tab w:val="decimal" w:pos="1179"/>
              </w:tabs>
              <w:spacing w:after="0" w:line="240" w:lineRule="auto"/>
              <w:rPr>
                <w:rFonts w:ascii="Arial" w:hAnsi="Arial" w:cs="Arial"/>
                <w:sz w:val="17"/>
                <w:szCs w:val="17"/>
              </w:rPr>
            </w:pPr>
          </w:p>
        </w:tc>
        <w:tc>
          <w:tcPr>
            <w:tcW w:w="170" w:type="dxa"/>
            <w:tcBorders>
              <w:left w:val="nil"/>
              <w:bottom w:val="nil"/>
              <w:right w:val="nil"/>
            </w:tcBorders>
            <w:vAlign w:val="bottom"/>
          </w:tcPr>
          <w:p w14:paraId="5774D5F0" w14:textId="77777777" w:rsidR="00E54F53" w:rsidRPr="00FB7FF9" w:rsidRDefault="00E54F53" w:rsidP="0025763F">
            <w:pPr>
              <w:spacing w:after="0" w:line="240" w:lineRule="auto"/>
              <w:ind w:right="214"/>
              <w:rPr>
                <w:rFonts w:ascii="Arial" w:hAnsi="Arial" w:cs="Arial"/>
                <w:sz w:val="17"/>
                <w:szCs w:val="17"/>
              </w:rPr>
            </w:pPr>
          </w:p>
        </w:tc>
        <w:tc>
          <w:tcPr>
            <w:tcW w:w="1105" w:type="dxa"/>
            <w:tcBorders>
              <w:left w:val="nil"/>
              <w:bottom w:val="nil"/>
              <w:right w:val="nil"/>
            </w:tcBorders>
            <w:shd w:val="clear" w:color="auto" w:fill="auto"/>
            <w:noWrap/>
            <w:vAlign w:val="bottom"/>
          </w:tcPr>
          <w:p w14:paraId="38403480" w14:textId="72FFB31A" w:rsidR="00E54F53" w:rsidRPr="00FB7FF9" w:rsidRDefault="00E54F53" w:rsidP="0025763F">
            <w:pPr>
              <w:tabs>
                <w:tab w:val="decimal" w:pos="1037"/>
              </w:tabs>
              <w:spacing w:after="0" w:line="240" w:lineRule="auto"/>
              <w:jc w:val="right"/>
              <w:rPr>
                <w:rFonts w:ascii="Arial" w:hAnsi="Arial" w:cs="Arial"/>
                <w:sz w:val="17"/>
                <w:szCs w:val="17"/>
              </w:rPr>
            </w:pPr>
          </w:p>
        </w:tc>
      </w:tr>
      <w:tr w:rsidR="00E54F53" w:rsidRPr="00FB7FF9" w14:paraId="0C0BB57D" w14:textId="77777777" w:rsidTr="00BC45BB">
        <w:trPr>
          <w:trHeight w:val="283"/>
          <w:jc w:val="center"/>
        </w:trPr>
        <w:tc>
          <w:tcPr>
            <w:tcW w:w="2835" w:type="dxa"/>
            <w:tcBorders>
              <w:top w:val="nil"/>
              <w:left w:val="nil"/>
              <w:bottom w:val="nil"/>
              <w:right w:val="nil"/>
            </w:tcBorders>
            <w:shd w:val="clear" w:color="auto" w:fill="auto"/>
            <w:noWrap/>
            <w:vAlign w:val="bottom"/>
          </w:tcPr>
          <w:p w14:paraId="5E010FE2" w14:textId="60D0B078"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Utilidad del año</w:t>
            </w:r>
          </w:p>
        </w:tc>
        <w:tc>
          <w:tcPr>
            <w:tcW w:w="1276" w:type="dxa"/>
            <w:tcBorders>
              <w:left w:val="nil"/>
              <w:bottom w:val="nil"/>
              <w:right w:val="nil"/>
            </w:tcBorders>
            <w:shd w:val="clear" w:color="auto" w:fill="auto"/>
            <w:noWrap/>
            <w:vAlign w:val="bottom"/>
          </w:tcPr>
          <w:p w14:paraId="69CB477C" w14:textId="12528A6B" w:rsidR="00E54F53" w:rsidRPr="00FB7FF9" w:rsidRDefault="00FB7FF9"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36825FF3" w14:textId="77777777" w:rsidR="00E54F53" w:rsidRPr="00FB7FF9" w:rsidRDefault="00E54F53" w:rsidP="0025763F">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42A7C970" w14:textId="0394EA90" w:rsidR="00E54F53" w:rsidRPr="00FB7FF9" w:rsidRDefault="00FB7FF9"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39E7B790" w14:textId="77777777" w:rsidR="00E54F53" w:rsidRPr="00FB7FF9" w:rsidRDefault="00E54F53" w:rsidP="0025763F">
            <w:pPr>
              <w:spacing w:after="0" w:line="240" w:lineRule="auto"/>
              <w:rPr>
                <w:rFonts w:ascii="Arial" w:hAnsi="Arial" w:cs="Arial"/>
                <w:sz w:val="17"/>
                <w:szCs w:val="17"/>
              </w:rPr>
            </w:pPr>
          </w:p>
        </w:tc>
        <w:tc>
          <w:tcPr>
            <w:tcW w:w="964" w:type="dxa"/>
            <w:tcBorders>
              <w:left w:val="nil"/>
              <w:bottom w:val="nil"/>
              <w:right w:val="nil"/>
            </w:tcBorders>
            <w:vAlign w:val="bottom"/>
          </w:tcPr>
          <w:p w14:paraId="0979DC0B" w14:textId="02F758EE" w:rsidR="00E54F53" w:rsidRPr="00FB7FF9" w:rsidRDefault="00FB7FF9" w:rsidP="0025763F">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22FB4579" w14:textId="77777777"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1CA504A2" w14:textId="05E3E19A" w:rsidR="00E54F53" w:rsidRPr="00FB7FF9" w:rsidRDefault="00FB7FF9" w:rsidP="0025763F">
            <w:pPr>
              <w:tabs>
                <w:tab w:val="decimal" w:pos="1179"/>
              </w:tabs>
              <w:spacing w:after="0" w:line="240" w:lineRule="auto"/>
              <w:rPr>
                <w:rFonts w:ascii="Arial" w:hAnsi="Arial" w:cs="Arial"/>
                <w:sz w:val="17"/>
                <w:szCs w:val="17"/>
              </w:rPr>
            </w:pPr>
            <w:r w:rsidRPr="00FB7FF9">
              <w:rPr>
                <w:rFonts w:ascii="Arial" w:hAnsi="Arial" w:cs="Arial"/>
                <w:sz w:val="17"/>
                <w:szCs w:val="17"/>
              </w:rPr>
              <w:t>39,055,411</w:t>
            </w:r>
          </w:p>
        </w:tc>
        <w:tc>
          <w:tcPr>
            <w:tcW w:w="170" w:type="dxa"/>
            <w:tcBorders>
              <w:left w:val="nil"/>
              <w:bottom w:val="nil"/>
              <w:right w:val="nil"/>
            </w:tcBorders>
            <w:shd w:val="clear" w:color="auto" w:fill="auto"/>
            <w:vAlign w:val="bottom"/>
          </w:tcPr>
          <w:p w14:paraId="01AF6DE2" w14:textId="77777777" w:rsidR="00E54F53" w:rsidRPr="00FB7FF9" w:rsidRDefault="00E54F53" w:rsidP="0025763F">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42171EF7" w14:textId="51F3C87F" w:rsidR="00E54F53" w:rsidRPr="00FB7FF9" w:rsidRDefault="00C4636E" w:rsidP="0025763F">
            <w:pPr>
              <w:tabs>
                <w:tab w:val="decimal" w:pos="1037"/>
              </w:tabs>
              <w:spacing w:after="0" w:line="240" w:lineRule="auto"/>
              <w:jc w:val="right"/>
              <w:rPr>
                <w:rFonts w:ascii="Arial" w:hAnsi="Arial" w:cs="Arial"/>
                <w:sz w:val="17"/>
                <w:szCs w:val="17"/>
              </w:rPr>
            </w:pPr>
            <w:r>
              <w:rPr>
                <w:rFonts w:ascii="Arial" w:hAnsi="Arial" w:cs="Arial"/>
                <w:sz w:val="17"/>
                <w:szCs w:val="17"/>
              </w:rPr>
              <w:t>39,055,411</w:t>
            </w:r>
          </w:p>
        </w:tc>
      </w:tr>
      <w:tr w:rsidR="00E54F53" w:rsidRPr="00FB7FF9" w14:paraId="213AEDEA" w14:textId="77777777" w:rsidTr="00BC45BB">
        <w:trPr>
          <w:trHeight w:val="283"/>
          <w:jc w:val="center"/>
        </w:trPr>
        <w:tc>
          <w:tcPr>
            <w:tcW w:w="2835" w:type="dxa"/>
            <w:tcBorders>
              <w:top w:val="nil"/>
              <w:left w:val="nil"/>
              <w:bottom w:val="nil"/>
              <w:right w:val="nil"/>
            </w:tcBorders>
            <w:shd w:val="clear" w:color="auto" w:fill="auto"/>
            <w:noWrap/>
            <w:vAlign w:val="bottom"/>
          </w:tcPr>
          <w:p w14:paraId="1277A5C4" w14:textId="35611CB1"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Aumento de capital, Nota 25</w:t>
            </w:r>
          </w:p>
        </w:tc>
        <w:tc>
          <w:tcPr>
            <w:tcW w:w="1276" w:type="dxa"/>
            <w:tcBorders>
              <w:left w:val="nil"/>
              <w:bottom w:val="nil"/>
              <w:right w:val="nil"/>
            </w:tcBorders>
            <w:shd w:val="clear" w:color="auto" w:fill="auto"/>
            <w:noWrap/>
            <w:vAlign w:val="bottom"/>
          </w:tcPr>
          <w:p w14:paraId="131F046E" w14:textId="0F3F6F2D" w:rsidR="00E54F53" w:rsidRPr="00FB7FF9" w:rsidRDefault="000F4CFF"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11,519,856</w:t>
            </w:r>
          </w:p>
        </w:tc>
        <w:tc>
          <w:tcPr>
            <w:tcW w:w="170" w:type="dxa"/>
            <w:tcBorders>
              <w:left w:val="nil"/>
              <w:bottom w:val="nil"/>
              <w:right w:val="nil"/>
            </w:tcBorders>
            <w:shd w:val="clear" w:color="auto" w:fill="auto"/>
            <w:vAlign w:val="bottom"/>
          </w:tcPr>
          <w:p w14:paraId="27F9BA97" w14:textId="1A258CC8" w:rsidR="00E54F53" w:rsidRPr="00FB7FF9" w:rsidRDefault="00E54F53" w:rsidP="0025763F">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32780966" w14:textId="349919FA" w:rsidR="00E54F53" w:rsidRPr="00FB7FF9" w:rsidRDefault="00C4636E" w:rsidP="0025763F">
            <w:pPr>
              <w:tabs>
                <w:tab w:val="decimal" w:pos="1254"/>
              </w:tabs>
              <w:spacing w:after="0" w:line="240" w:lineRule="auto"/>
              <w:ind w:right="72"/>
              <w:rPr>
                <w:rFonts w:ascii="Arial" w:hAnsi="Arial" w:cs="Arial"/>
                <w:sz w:val="17"/>
                <w:szCs w:val="17"/>
              </w:rPr>
            </w:pPr>
            <w:r>
              <w:rPr>
                <w:rFonts w:ascii="Arial" w:hAnsi="Arial" w:cs="Arial"/>
                <w:sz w:val="17"/>
                <w:szCs w:val="17"/>
              </w:rPr>
              <w:t>(6,115,000)</w:t>
            </w:r>
          </w:p>
        </w:tc>
        <w:tc>
          <w:tcPr>
            <w:tcW w:w="170" w:type="dxa"/>
            <w:tcBorders>
              <w:left w:val="nil"/>
              <w:bottom w:val="nil"/>
              <w:right w:val="nil"/>
            </w:tcBorders>
            <w:shd w:val="clear" w:color="auto" w:fill="auto"/>
            <w:vAlign w:val="bottom"/>
          </w:tcPr>
          <w:p w14:paraId="420D6007" w14:textId="77777777" w:rsidR="00E54F53" w:rsidRPr="00FB7FF9" w:rsidRDefault="00E54F53" w:rsidP="0025763F">
            <w:pPr>
              <w:spacing w:after="0" w:line="240" w:lineRule="auto"/>
              <w:rPr>
                <w:rFonts w:ascii="Arial" w:hAnsi="Arial" w:cs="Arial"/>
                <w:sz w:val="17"/>
                <w:szCs w:val="17"/>
              </w:rPr>
            </w:pPr>
          </w:p>
        </w:tc>
        <w:tc>
          <w:tcPr>
            <w:tcW w:w="964" w:type="dxa"/>
            <w:tcBorders>
              <w:left w:val="nil"/>
              <w:bottom w:val="nil"/>
              <w:right w:val="nil"/>
            </w:tcBorders>
            <w:vAlign w:val="bottom"/>
          </w:tcPr>
          <w:p w14:paraId="0A0C9D94" w14:textId="708668BB" w:rsidR="00E54F53" w:rsidRPr="00FB7FF9" w:rsidRDefault="00C4636E" w:rsidP="0025763F">
            <w:pPr>
              <w:tabs>
                <w:tab w:val="decimal" w:pos="1179"/>
              </w:tabs>
              <w:spacing w:after="0" w:line="240" w:lineRule="auto"/>
              <w:rPr>
                <w:rFonts w:ascii="Arial" w:hAnsi="Arial" w:cs="Arial"/>
                <w:sz w:val="17"/>
                <w:szCs w:val="17"/>
              </w:rPr>
            </w:pPr>
            <w:r>
              <w:rPr>
                <w:rFonts w:ascii="Arial" w:hAnsi="Arial" w:cs="Arial"/>
                <w:sz w:val="17"/>
                <w:szCs w:val="17"/>
              </w:rPr>
              <w:t>-</w:t>
            </w:r>
          </w:p>
        </w:tc>
        <w:tc>
          <w:tcPr>
            <w:tcW w:w="162" w:type="dxa"/>
            <w:tcBorders>
              <w:left w:val="nil"/>
              <w:bottom w:val="nil"/>
              <w:right w:val="nil"/>
            </w:tcBorders>
            <w:vAlign w:val="bottom"/>
          </w:tcPr>
          <w:p w14:paraId="67F20283" w14:textId="4920CAB0"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1629BB72" w14:textId="5EA4F1C1" w:rsidR="00E54F53" w:rsidRPr="00FB7FF9" w:rsidRDefault="00C4636E" w:rsidP="0025763F">
            <w:pPr>
              <w:tabs>
                <w:tab w:val="decimal" w:pos="1179"/>
              </w:tabs>
              <w:spacing w:after="0" w:line="240" w:lineRule="auto"/>
              <w:rPr>
                <w:rFonts w:ascii="Arial" w:hAnsi="Arial" w:cs="Arial"/>
                <w:sz w:val="17"/>
                <w:szCs w:val="17"/>
              </w:rPr>
            </w:pPr>
            <w:r>
              <w:rPr>
                <w:rFonts w:ascii="Arial" w:hAnsi="Arial" w:cs="Arial"/>
                <w:sz w:val="17"/>
                <w:szCs w:val="17"/>
              </w:rPr>
              <w:t>(5,404,856)</w:t>
            </w:r>
          </w:p>
        </w:tc>
        <w:tc>
          <w:tcPr>
            <w:tcW w:w="170" w:type="dxa"/>
            <w:tcBorders>
              <w:left w:val="nil"/>
              <w:bottom w:val="nil"/>
              <w:right w:val="nil"/>
            </w:tcBorders>
            <w:shd w:val="clear" w:color="auto" w:fill="auto"/>
            <w:vAlign w:val="bottom"/>
          </w:tcPr>
          <w:p w14:paraId="5A08C227" w14:textId="77777777" w:rsidR="00E54F53" w:rsidRPr="00FB7FF9" w:rsidRDefault="00E54F53" w:rsidP="0025763F">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1D0D45C9" w14:textId="3533F0C0" w:rsidR="00E54F53" w:rsidRPr="00FB7FF9" w:rsidRDefault="00C4636E" w:rsidP="0025763F">
            <w:pPr>
              <w:tabs>
                <w:tab w:val="decimal" w:pos="1037"/>
              </w:tabs>
              <w:spacing w:after="0" w:line="240" w:lineRule="auto"/>
              <w:jc w:val="right"/>
              <w:rPr>
                <w:rFonts w:ascii="Arial" w:hAnsi="Arial" w:cs="Arial"/>
                <w:sz w:val="17"/>
                <w:szCs w:val="17"/>
              </w:rPr>
            </w:pPr>
            <w:r>
              <w:rPr>
                <w:rFonts w:ascii="Arial" w:hAnsi="Arial" w:cs="Arial"/>
                <w:sz w:val="17"/>
                <w:szCs w:val="17"/>
              </w:rPr>
              <w:t>-</w:t>
            </w:r>
          </w:p>
        </w:tc>
      </w:tr>
      <w:tr w:rsidR="00E54F53" w:rsidRPr="00FB7FF9" w14:paraId="4AD61BF4" w14:textId="77777777" w:rsidTr="00BC45BB">
        <w:trPr>
          <w:trHeight w:val="283"/>
          <w:jc w:val="center"/>
        </w:trPr>
        <w:tc>
          <w:tcPr>
            <w:tcW w:w="2835" w:type="dxa"/>
            <w:tcBorders>
              <w:top w:val="nil"/>
              <w:left w:val="nil"/>
              <w:bottom w:val="nil"/>
              <w:right w:val="nil"/>
            </w:tcBorders>
            <w:shd w:val="clear" w:color="auto" w:fill="auto"/>
            <w:noWrap/>
            <w:vAlign w:val="bottom"/>
          </w:tcPr>
          <w:p w14:paraId="041A3AF0" w14:textId="50F82253" w:rsidR="00E54F53" w:rsidRPr="00FB7FF9" w:rsidRDefault="00E54F53" w:rsidP="0025763F">
            <w:pPr>
              <w:spacing w:after="0" w:line="240" w:lineRule="auto"/>
              <w:ind w:left="-75"/>
              <w:rPr>
                <w:rFonts w:ascii="Arial" w:hAnsi="Arial" w:cs="Arial"/>
                <w:sz w:val="17"/>
                <w:szCs w:val="17"/>
              </w:rPr>
            </w:pPr>
            <w:r w:rsidRPr="00FB7FF9">
              <w:rPr>
                <w:rFonts w:ascii="Arial" w:hAnsi="Arial" w:cs="Arial"/>
                <w:sz w:val="17"/>
                <w:szCs w:val="17"/>
              </w:rPr>
              <w:t>Disminución de capital, Nota 25</w:t>
            </w:r>
          </w:p>
        </w:tc>
        <w:tc>
          <w:tcPr>
            <w:tcW w:w="1276" w:type="dxa"/>
            <w:tcBorders>
              <w:left w:val="nil"/>
              <w:bottom w:val="nil"/>
              <w:right w:val="nil"/>
            </w:tcBorders>
            <w:shd w:val="clear" w:color="auto" w:fill="auto"/>
            <w:noWrap/>
            <w:vAlign w:val="bottom"/>
          </w:tcPr>
          <w:p w14:paraId="7D53C5BA" w14:textId="36D92065" w:rsidR="00E54F53" w:rsidRPr="00FB7FF9" w:rsidRDefault="000F4CFF" w:rsidP="0025763F">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(21,629,181)</w:t>
            </w:r>
          </w:p>
        </w:tc>
        <w:tc>
          <w:tcPr>
            <w:tcW w:w="170" w:type="dxa"/>
            <w:tcBorders>
              <w:left w:val="nil"/>
              <w:bottom w:val="nil"/>
              <w:right w:val="nil"/>
            </w:tcBorders>
            <w:shd w:val="clear" w:color="auto" w:fill="auto"/>
          </w:tcPr>
          <w:p w14:paraId="11D567C9" w14:textId="059363B3" w:rsidR="00E54F53" w:rsidRPr="00FB7FF9" w:rsidRDefault="00E54F53" w:rsidP="0025763F">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42FB3D32" w14:textId="775BE752" w:rsidR="00E54F53" w:rsidRPr="00FB7FF9" w:rsidRDefault="00FB7FF9" w:rsidP="0025763F">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3B678354" w14:textId="77777777" w:rsidR="00E54F53" w:rsidRPr="00FB7FF9" w:rsidRDefault="00E54F53" w:rsidP="0025763F">
            <w:pPr>
              <w:spacing w:after="0" w:line="240" w:lineRule="auto"/>
              <w:rPr>
                <w:rFonts w:ascii="Arial" w:hAnsi="Arial" w:cs="Arial"/>
                <w:sz w:val="17"/>
                <w:szCs w:val="17"/>
              </w:rPr>
            </w:pPr>
          </w:p>
        </w:tc>
        <w:tc>
          <w:tcPr>
            <w:tcW w:w="964" w:type="dxa"/>
            <w:tcBorders>
              <w:left w:val="nil"/>
              <w:right w:val="nil"/>
            </w:tcBorders>
            <w:vAlign w:val="bottom"/>
          </w:tcPr>
          <w:p w14:paraId="7BCFB47E" w14:textId="661B41EE" w:rsidR="00E54F53" w:rsidRPr="00FB7FF9" w:rsidRDefault="00FB7FF9" w:rsidP="0025763F">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1083D94C" w14:textId="2105EFDD" w:rsidR="00E54F53" w:rsidRPr="00FB7FF9" w:rsidRDefault="00E54F53" w:rsidP="0025763F">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0D25F108" w14:textId="29D6BBC4" w:rsidR="00E54F53" w:rsidRPr="00FB7FF9" w:rsidRDefault="00FB7FF9" w:rsidP="0025763F">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039C6646" w14:textId="77777777" w:rsidR="00E54F53" w:rsidRPr="00FB7FF9" w:rsidRDefault="00E54F53" w:rsidP="0025763F">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220C3EE8" w14:textId="6A4286B9" w:rsidR="00E54F53" w:rsidRPr="00FB7FF9" w:rsidRDefault="00C4636E" w:rsidP="0025763F">
            <w:pPr>
              <w:tabs>
                <w:tab w:val="decimal" w:pos="1037"/>
              </w:tabs>
              <w:spacing w:after="0" w:line="240" w:lineRule="auto"/>
              <w:jc w:val="right"/>
              <w:rPr>
                <w:rFonts w:ascii="Arial" w:hAnsi="Arial" w:cs="Arial"/>
                <w:sz w:val="17"/>
                <w:szCs w:val="17"/>
              </w:rPr>
            </w:pPr>
            <w:r>
              <w:rPr>
                <w:rFonts w:ascii="Arial" w:hAnsi="Arial" w:cs="Arial"/>
                <w:sz w:val="17"/>
                <w:szCs w:val="17"/>
              </w:rPr>
              <w:t>(21,629,181)</w:t>
            </w:r>
          </w:p>
        </w:tc>
      </w:tr>
      <w:tr w:rsidR="00C4636E" w:rsidRPr="00FB7FF9" w14:paraId="29FCCF37" w14:textId="77777777" w:rsidTr="00BC45BB">
        <w:trPr>
          <w:trHeight w:val="283"/>
          <w:jc w:val="center"/>
        </w:trPr>
        <w:tc>
          <w:tcPr>
            <w:tcW w:w="2835" w:type="dxa"/>
            <w:tcBorders>
              <w:top w:val="nil"/>
              <w:left w:val="nil"/>
              <w:bottom w:val="nil"/>
              <w:right w:val="nil"/>
            </w:tcBorders>
            <w:shd w:val="clear" w:color="auto" w:fill="auto"/>
            <w:noWrap/>
            <w:vAlign w:val="bottom"/>
          </w:tcPr>
          <w:p w14:paraId="681DC5BB" w14:textId="0CB627A5" w:rsidR="00C4636E" w:rsidRPr="00FB7FF9" w:rsidRDefault="00C4636E" w:rsidP="00C4636E">
            <w:pPr>
              <w:spacing w:after="0" w:line="240" w:lineRule="auto"/>
              <w:ind w:left="-75"/>
              <w:rPr>
                <w:rFonts w:ascii="Arial" w:hAnsi="Arial" w:cs="Arial"/>
                <w:sz w:val="17"/>
                <w:szCs w:val="17"/>
              </w:rPr>
            </w:pPr>
            <w:r>
              <w:rPr>
                <w:rFonts w:ascii="Arial" w:hAnsi="Arial" w:cs="Arial"/>
                <w:sz w:val="17"/>
                <w:szCs w:val="17"/>
              </w:rPr>
              <w:t>Apropiación</w:t>
            </w:r>
            <w:r w:rsidR="00BE2776">
              <w:rPr>
                <w:rFonts w:ascii="Arial" w:hAnsi="Arial" w:cs="Arial"/>
                <w:sz w:val="17"/>
                <w:szCs w:val="17"/>
              </w:rPr>
              <w:t>, Nota 25</w:t>
            </w:r>
          </w:p>
        </w:tc>
        <w:tc>
          <w:tcPr>
            <w:tcW w:w="1276" w:type="dxa"/>
            <w:tcBorders>
              <w:left w:val="nil"/>
              <w:bottom w:val="nil"/>
              <w:right w:val="nil"/>
            </w:tcBorders>
            <w:shd w:val="clear" w:color="auto" w:fill="auto"/>
            <w:noWrap/>
            <w:vAlign w:val="bottom"/>
          </w:tcPr>
          <w:p w14:paraId="59378633" w14:textId="4AECF52F" w:rsidR="00C4636E" w:rsidRPr="00FB7FF9" w:rsidRDefault="00F04C82" w:rsidP="00C4636E">
            <w:pPr>
              <w:tabs>
                <w:tab w:val="decimal" w:pos="1142"/>
              </w:tabs>
              <w:spacing w:after="0" w:line="240" w:lineRule="auto"/>
              <w:ind w:right="33"/>
              <w:jc w:val="right"/>
              <w:rPr>
                <w:rFonts w:ascii="Arial" w:hAnsi="Arial" w:cs="Arial"/>
                <w:sz w:val="17"/>
                <w:szCs w:val="17"/>
              </w:rPr>
            </w:pPr>
            <w:r>
              <w:rPr>
                <w:rFonts w:ascii="Arial" w:hAnsi="Arial" w:cs="Arial"/>
                <w:sz w:val="17"/>
                <w:szCs w:val="17"/>
              </w:rPr>
              <w:t>-</w:t>
            </w:r>
          </w:p>
        </w:tc>
        <w:tc>
          <w:tcPr>
            <w:tcW w:w="170" w:type="dxa"/>
            <w:tcBorders>
              <w:left w:val="nil"/>
              <w:bottom w:val="nil"/>
              <w:right w:val="nil"/>
            </w:tcBorders>
            <w:shd w:val="clear" w:color="auto" w:fill="auto"/>
          </w:tcPr>
          <w:p w14:paraId="4224489D"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05029311" w14:textId="5ED921A7" w:rsidR="00C4636E" w:rsidRPr="00FB7FF9" w:rsidRDefault="00F04C82" w:rsidP="00C4636E">
            <w:pPr>
              <w:tabs>
                <w:tab w:val="decimal" w:pos="1254"/>
              </w:tabs>
              <w:spacing w:after="0" w:line="240" w:lineRule="auto"/>
              <w:ind w:right="72"/>
              <w:rPr>
                <w:rFonts w:ascii="Arial" w:hAnsi="Arial" w:cs="Arial"/>
                <w:sz w:val="17"/>
                <w:szCs w:val="17"/>
              </w:rPr>
            </w:pPr>
            <w:r>
              <w:rPr>
                <w:rFonts w:ascii="Arial" w:hAnsi="Arial" w:cs="Arial"/>
                <w:sz w:val="17"/>
                <w:szCs w:val="17"/>
              </w:rPr>
              <w:t>-</w:t>
            </w:r>
          </w:p>
        </w:tc>
        <w:tc>
          <w:tcPr>
            <w:tcW w:w="170" w:type="dxa"/>
            <w:tcBorders>
              <w:left w:val="nil"/>
              <w:bottom w:val="nil"/>
              <w:right w:val="nil"/>
            </w:tcBorders>
            <w:shd w:val="clear" w:color="auto" w:fill="auto"/>
            <w:vAlign w:val="bottom"/>
          </w:tcPr>
          <w:p w14:paraId="4ED0B975" w14:textId="77777777" w:rsidR="00C4636E" w:rsidRPr="00FB7FF9" w:rsidRDefault="00C4636E" w:rsidP="00C4636E">
            <w:pPr>
              <w:spacing w:after="0" w:line="240" w:lineRule="auto"/>
              <w:rPr>
                <w:rFonts w:ascii="Arial" w:hAnsi="Arial" w:cs="Arial"/>
                <w:sz w:val="17"/>
                <w:szCs w:val="17"/>
              </w:rPr>
            </w:pPr>
          </w:p>
        </w:tc>
        <w:tc>
          <w:tcPr>
            <w:tcW w:w="964" w:type="dxa"/>
            <w:tcBorders>
              <w:left w:val="nil"/>
              <w:right w:val="nil"/>
            </w:tcBorders>
            <w:vAlign w:val="bottom"/>
          </w:tcPr>
          <w:p w14:paraId="3867A5E1" w14:textId="0C08BF56"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709,264</w:t>
            </w:r>
          </w:p>
        </w:tc>
        <w:tc>
          <w:tcPr>
            <w:tcW w:w="162" w:type="dxa"/>
            <w:tcBorders>
              <w:left w:val="nil"/>
              <w:bottom w:val="nil"/>
              <w:right w:val="nil"/>
            </w:tcBorders>
            <w:vAlign w:val="bottom"/>
          </w:tcPr>
          <w:p w14:paraId="7B53838C" w14:textId="77777777"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4DEA97C1" w14:textId="46A0F11A"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(709,264)</w:t>
            </w:r>
          </w:p>
        </w:tc>
        <w:tc>
          <w:tcPr>
            <w:tcW w:w="170" w:type="dxa"/>
            <w:tcBorders>
              <w:left w:val="nil"/>
              <w:bottom w:val="nil"/>
              <w:right w:val="nil"/>
            </w:tcBorders>
            <w:shd w:val="clear" w:color="auto" w:fill="auto"/>
            <w:vAlign w:val="bottom"/>
          </w:tcPr>
          <w:p w14:paraId="3BCCB7BB"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37B15B00" w14:textId="7F904675"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w:t>
            </w:r>
          </w:p>
        </w:tc>
      </w:tr>
      <w:tr w:rsidR="00C4636E" w:rsidRPr="00FB7FF9" w14:paraId="542E2A2B" w14:textId="77777777" w:rsidTr="00BC45BB">
        <w:trPr>
          <w:trHeight w:val="283"/>
          <w:jc w:val="center"/>
        </w:trPr>
        <w:tc>
          <w:tcPr>
            <w:tcW w:w="2835" w:type="dxa"/>
            <w:tcBorders>
              <w:top w:val="nil"/>
              <w:left w:val="nil"/>
              <w:bottom w:val="nil"/>
              <w:right w:val="nil"/>
            </w:tcBorders>
            <w:shd w:val="clear" w:color="auto" w:fill="auto"/>
            <w:noWrap/>
            <w:vAlign w:val="bottom"/>
          </w:tcPr>
          <w:p w14:paraId="504861D9" w14:textId="7B99A374" w:rsidR="00C4636E" w:rsidRPr="00FB7FF9" w:rsidRDefault="00C4636E" w:rsidP="00C4636E">
            <w:pPr>
              <w:spacing w:after="0" w:line="240" w:lineRule="auto"/>
              <w:ind w:left="-75"/>
              <w:rPr>
                <w:rFonts w:ascii="Arial" w:hAnsi="Arial" w:cs="Arial"/>
                <w:sz w:val="17"/>
                <w:szCs w:val="17"/>
              </w:rPr>
            </w:pPr>
            <w:r w:rsidRPr="00FB7FF9">
              <w:rPr>
                <w:rFonts w:ascii="Arial" w:hAnsi="Arial" w:cs="Arial"/>
                <w:sz w:val="17"/>
                <w:szCs w:val="17"/>
              </w:rPr>
              <w:t xml:space="preserve">Ajustes </w:t>
            </w:r>
            <w:r w:rsidR="00246B46">
              <w:rPr>
                <w:rFonts w:ascii="Arial" w:hAnsi="Arial" w:cs="Arial"/>
                <w:sz w:val="17"/>
                <w:szCs w:val="17"/>
              </w:rPr>
              <w:t xml:space="preserve">NIC </w:t>
            </w:r>
            <w:r w:rsidRPr="00FB7FF9">
              <w:rPr>
                <w:rFonts w:ascii="Arial" w:hAnsi="Arial" w:cs="Arial"/>
                <w:sz w:val="17"/>
                <w:szCs w:val="17"/>
              </w:rPr>
              <w:t>19, Notas 18 y 25</w:t>
            </w:r>
          </w:p>
        </w:tc>
        <w:tc>
          <w:tcPr>
            <w:tcW w:w="1276" w:type="dxa"/>
            <w:tcBorders>
              <w:left w:val="nil"/>
              <w:bottom w:val="nil"/>
              <w:right w:val="nil"/>
            </w:tcBorders>
            <w:shd w:val="clear" w:color="auto" w:fill="auto"/>
            <w:noWrap/>
            <w:vAlign w:val="bottom"/>
          </w:tcPr>
          <w:p w14:paraId="03DEA1BF" w14:textId="19CFB55B" w:rsidR="00C4636E" w:rsidRPr="00FB7FF9" w:rsidRDefault="00C4636E" w:rsidP="00C4636E">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tcPr>
          <w:p w14:paraId="0EEFBCAF"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1E264411" w14:textId="572D13C2" w:rsidR="00C4636E" w:rsidRPr="00FB7FF9" w:rsidRDefault="00C4636E" w:rsidP="00C4636E">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3D0E0662" w14:textId="77777777" w:rsidR="00C4636E" w:rsidRPr="00FB7FF9" w:rsidRDefault="00C4636E" w:rsidP="00C4636E">
            <w:pPr>
              <w:spacing w:after="0" w:line="240" w:lineRule="auto"/>
              <w:rPr>
                <w:rFonts w:ascii="Arial" w:hAnsi="Arial" w:cs="Arial"/>
                <w:sz w:val="17"/>
                <w:szCs w:val="17"/>
              </w:rPr>
            </w:pPr>
          </w:p>
        </w:tc>
        <w:tc>
          <w:tcPr>
            <w:tcW w:w="964" w:type="dxa"/>
            <w:tcBorders>
              <w:left w:val="nil"/>
              <w:right w:val="nil"/>
            </w:tcBorders>
            <w:vAlign w:val="bottom"/>
          </w:tcPr>
          <w:p w14:paraId="5E17BF02" w14:textId="3EBD2C64"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50078EA9" w14:textId="77777777"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4CF8C88E" w14:textId="3F4B8250"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1,859,768</w:t>
            </w:r>
          </w:p>
        </w:tc>
        <w:tc>
          <w:tcPr>
            <w:tcW w:w="170" w:type="dxa"/>
            <w:tcBorders>
              <w:left w:val="nil"/>
              <w:bottom w:val="nil"/>
              <w:right w:val="nil"/>
            </w:tcBorders>
            <w:shd w:val="clear" w:color="auto" w:fill="auto"/>
            <w:vAlign w:val="bottom"/>
          </w:tcPr>
          <w:p w14:paraId="7F32BD48"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58948138" w14:textId="664D4155"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1,859,768</w:t>
            </w:r>
          </w:p>
        </w:tc>
      </w:tr>
      <w:tr w:rsidR="00C4636E" w:rsidRPr="00FB7FF9" w14:paraId="7D6A9140" w14:textId="77777777" w:rsidTr="00BC45BB">
        <w:trPr>
          <w:trHeight w:val="283"/>
          <w:jc w:val="center"/>
        </w:trPr>
        <w:tc>
          <w:tcPr>
            <w:tcW w:w="2835" w:type="dxa"/>
            <w:tcBorders>
              <w:top w:val="nil"/>
              <w:left w:val="nil"/>
              <w:bottom w:val="nil"/>
              <w:right w:val="nil"/>
            </w:tcBorders>
            <w:shd w:val="clear" w:color="auto" w:fill="auto"/>
            <w:noWrap/>
            <w:vAlign w:val="bottom"/>
          </w:tcPr>
          <w:p w14:paraId="7B2D1F0D" w14:textId="09738055" w:rsidR="00C4636E" w:rsidRPr="00FB7FF9" w:rsidRDefault="00C4636E" w:rsidP="00C4636E">
            <w:pPr>
              <w:spacing w:after="0" w:line="240" w:lineRule="auto"/>
              <w:ind w:left="-75"/>
              <w:rPr>
                <w:rFonts w:ascii="Arial" w:hAnsi="Arial" w:cs="Arial"/>
                <w:sz w:val="17"/>
                <w:szCs w:val="17"/>
              </w:rPr>
            </w:pPr>
            <w:r w:rsidRPr="00FB7FF9">
              <w:rPr>
                <w:rFonts w:ascii="Arial" w:hAnsi="Arial" w:cs="Arial"/>
                <w:sz w:val="17"/>
                <w:szCs w:val="17"/>
              </w:rPr>
              <w:t>Ajustes por comisiones, Nota 25</w:t>
            </w:r>
          </w:p>
        </w:tc>
        <w:tc>
          <w:tcPr>
            <w:tcW w:w="1276" w:type="dxa"/>
            <w:tcBorders>
              <w:left w:val="nil"/>
              <w:bottom w:val="nil"/>
              <w:right w:val="nil"/>
            </w:tcBorders>
            <w:shd w:val="clear" w:color="auto" w:fill="auto"/>
            <w:noWrap/>
            <w:vAlign w:val="bottom"/>
          </w:tcPr>
          <w:p w14:paraId="0D0D2572" w14:textId="506D2A31" w:rsidR="00C4636E" w:rsidRPr="00FB7FF9" w:rsidRDefault="00C4636E" w:rsidP="00C4636E">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tcPr>
          <w:p w14:paraId="4C62334C"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6E56BCE1" w14:textId="1AFC2BE8" w:rsidR="00C4636E" w:rsidRPr="00FB7FF9" w:rsidRDefault="00C4636E" w:rsidP="00C4636E">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1098EE84" w14:textId="77777777" w:rsidR="00C4636E" w:rsidRPr="00FB7FF9" w:rsidRDefault="00C4636E" w:rsidP="00C4636E">
            <w:pPr>
              <w:spacing w:after="0" w:line="240" w:lineRule="auto"/>
              <w:rPr>
                <w:rFonts w:ascii="Arial" w:hAnsi="Arial" w:cs="Arial"/>
                <w:sz w:val="17"/>
                <w:szCs w:val="17"/>
              </w:rPr>
            </w:pPr>
          </w:p>
        </w:tc>
        <w:tc>
          <w:tcPr>
            <w:tcW w:w="964" w:type="dxa"/>
            <w:tcBorders>
              <w:left w:val="nil"/>
              <w:right w:val="nil"/>
            </w:tcBorders>
            <w:vAlign w:val="bottom"/>
          </w:tcPr>
          <w:p w14:paraId="5602EB49" w14:textId="7A5CDC81"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4909253D" w14:textId="77777777"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7EE66734" w14:textId="0C0A63F4"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660,505</w:t>
            </w:r>
          </w:p>
        </w:tc>
        <w:tc>
          <w:tcPr>
            <w:tcW w:w="170" w:type="dxa"/>
            <w:tcBorders>
              <w:left w:val="nil"/>
              <w:bottom w:val="nil"/>
              <w:right w:val="nil"/>
            </w:tcBorders>
            <w:shd w:val="clear" w:color="auto" w:fill="auto"/>
            <w:vAlign w:val="bottom"/>
          </w:tcPr>
          <w:p w14:paraId="6812321F"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1D19AF66" w14:textId="45F44164"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660,505</w:t>
            </w:r>
          </w:p>
        </w:tc>
      </w:tr>
      <w:tr w:rsidR="00C4636E" w:rsidRPr="00FB7FF9" w14:paraId="5D044EA1" w14:textId="77777777" w:rsidTr="00BC45BB">
        <w:trPr>
          <w:trHeight w:val="283"/>
          <w:jc w:val="center"/>
        </w:trPr>
        <w:tc>
          <w:tcPr>
            <w:tcW w:w="2835" w:type="dxa"/>
            <w:tcBorders>
              <w:top w:val="nil"/>
              <w:left w:val="nil"/>
              <w:bottom w:val="nil"/>
              <w:right w:val="nil"/>
            </w:tcBorders>
            <w:shd w:val="clear" w:color="auto" w:fill="auto"/>
            <w:noWrap/>
            <w:vAlign w:val="bottom"/>
          </w:tcPr>
          <w:p w14:paraId="3B983D93" w14:textId="60A847A1" w:rsidR="00C4636E" w:rsidRPr="00FB7FF9" w:rsidRDefault="000F4D07" w:rsidP="00C4636E">
            <w:pPr>
              <w:spacing w:after="0" w:line="240" w:lineRule="auto"/>
              <w:ind w:left="-75"/>
              <w:rPr>
                <w:rFonts w:ascii="Arial" w:hAnsi="Arial" w:cs="Arial"/>
                <w:sz w:val="17"/>
                <w:szCs w:val="17"/>
              </w:rPr>
            </w:pPr>
            <w:r>
              <w:rPr>
                <w:rFonts w:ascii="Arial" w:hAnsi="Arial" w:cs="Arial"/>
                <w:sz w:val="17"/>
                <w:szCs w:val="17"/>
              </w:rPr>
              <w:t>Ajustes</w:t>
            </w:r>
            <w:r w:rsidR="00C4636E" w:rsidRPr="00FB7FF9">
              <w:rPr>
                <w:rFonts w:ascii="Arial" w:hAnsi="Arial" w:cs="Arial"/>
                <w:sz w:val="17"/>
                <w:szCs w:val="17"/>
              </w:rPr>
              <w:t xml:space="preserve"> NIIF 16 </w:t>
            </w:r>
          </w:p>
        </w:tc>
        <w:tc>
          <w:tcPr>
            <w:tcW w:w="1276" w:type="dxa"/>
            <w:tcBorders>
              <w:left w:val="nil"/>
              <w:bottom w:val="nil"/>
              <w:right w:val="nil"/>
            </w:tcBorders>
            <w:shd w:val="clear" w:color="auto" w:fill="auto"/>
            <w:noWrap/>
            <w:vAlign w:val="bottom"/>
          </w:tcPr>
          <w:p w14:paraId="5A7F11E2" w14:textId="06F8743E" w:rsidR="00C4636E" w:rsidRPr="00FB7FF9" w:rsidRDefault="00C4636E" w:rsidP="00C4636E">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tcPr>
          <w:p w14:paraId="57DDF101"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78738E66" w14:textId="543F49B9" w:rsidR="00C4636E" w:rsidRPr="00FB7FF9" w:rsidRDefault="00C4636E" w:rsidP="00C4636E">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042AD37F" w14:textId="77777777" w:rsidR="00C4636E" w:rsidRPr="00FB7FF9" w:rsidRDefault="00C4636E" w:rsidP="00C4636E">
            <w:pPr>
              <w:spacing w:after="0" w:line="240" w:lineRule="auto"/>
              <w:rPr>
                <w:rFonts w:ascii="Arial" w:hAnsi="Arial" w:cs="Arial"/>
                <w:sz w:val="17"/>
                <w:szCs w:val="17"/>
              </w:rPr>
            </w:pPr>
          </w:p>
        </w:tc>
        <w:tc>
          <w:tcPr>
            <w:tcW w:w="964" w:type="dxa"/>
            <w:tcBorders>
              <w:left w:val="nil"/>
              <w:right w:val="nil"/>
            </w:tcBorders>
            <w:vAlign w:val="bottom"/>
          </w:tcPr>
          <w:p w14:paraId="7A006D19" w14:textId="57843B72"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7D666099" w14:textId="77777777"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5B94CBFC" w14:textId="330B2136"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63,402</w:t>
            </w:r>
          </w:p>
        </w:tc>
        <w:tc>
          <w:tcPr>
            <w:tcW w:w="170" w:type="dxa"/>
            <w:tcBorders>
              <w:left w:val="nil"/>
              <w:bottom w:val="nil"/>
              <w:right w:val="nil"/>
            </w:tcBorders>
            <w:shd w:val="clear" w:color="auto" w:fill="auto"/>
            <w:vAlign w:val="bottom"/>
          </w:tcPr>
          <w:p w14:paraId="76626CDE"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5F08507A" w14:textId="56D08884"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63,402</w:t>
            </w:r>
          </w:p>
        </w:tc>
      </w:tr>
      <w:tr w:rsidR="00C4636E" w:rsidRPr="00FB7FF9" w14:paraId="4D084A6B" w14:textId="77777777" w:rsidTr="00BC45BB">
        <w:trPr>
          <w:trHeight w:val="283"/>
          <w:jc w:val="center"/>
        </w:trPr>
        <w:tc>
          <w:tcPr>
            <w:tcW w:w="2835" w:type="dxa"/>
            <w:tcBorders>
              <w:top w:val="nil"/>
              <w:left w:val="nil"/>
              <w:bottom w:val="nil"/>
              <w:right w:val="nil"/>
            </w:tcBorders>
            <w:shd w:val="clear" w:color="auto" w:fill="auto"/>
            <w:noWrap/>
            <w:vAlign w:val="bottom"/>
          </w:tcPr>
          <w:p w14:paraId="35497E87" w14:textId="2FFA26A4" w:rsidR="00C4636E" w:rsidRPr="00FB7FF9" w:rsidRDefault="00C4636E" w:rsidP="00C4636E">
            <w:pPr>
              <w:spacing w:after="0" w:line="240" w:lineRule="auto"/>
              <w:ind w:left="-75"/>
              <w:rPr>
                <w:rFonts w:ascii="Arial" w:hAnsi="Arial" w:cs="Arial"/>
                <w:sz w:val="17"/>
                <w:szCs w:val="17"/>
              </w:rPr>
            </w:pPr>
            <w:r w:rsidRPr="00FB7FF9">
              <w:rPr>
                <w:rFonts w:ascii="Arial" w:hAnsi="Arial" w:cs="Arial"/>
                <w:sz w:val="17"/>
                <w:szCs w:val="17"/>
              </w:rPr>
              <w:t>Otros resultados integrales, Nota 18</w:t>
            </w:r>
          </w:p>
        </w:tc>
        <w:tc>
          <w:tcPr>
            <w:tcW w:w="1276" w:type="dxa"/>
            <w:tcBorders>
              <w:left w:val="nil"/>
              <w:bottom w:val="nil"/>
              <w:right w:val="nil"/>
            </w:tcBorders>
            <w:shd w:val="clear" w:color="auto" w:fill="auto"/>
            <w:noWrap/>
            <w:vAlign w:val="bottom"/>
          </w:tcPr>
          <w:p w14:paraId="5F87CDC5" w14:textId="04902B38" w:rsidR="00C4636E" w:rsidRPr="00FB7FF9" w:rsidRDefault="00C4636E" w:rsidP="00C4636E">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tcPr>
          <w:p w14:paraId="77EDD867"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nil"/>
              <w:right w:val="nil"/>
            </w:tcBorders>
            <w:shd w:val="clear" w:color="auto" w:fill="auto"/>
            <w:vAlign w:val="bottom"/>
          </w:tcPr>
          <w:p w14:paraId="7A93DF73" w14:textId="42C32A6C" w:rsidR="00C4636E" w:rsidRPr="00FB7FF9" w:rsidRDefault="00C4636E" w:rsidP="00C4636E">
            <w:pPr>
              <w:tabs>
                <w:tab w:val="decimal" w:pos="1254"/>
              </w:tabs>
              <w:spacing w:after="0" w:line="240" w:lineRule="auto"/>
              <w:ind w:right="72"/>
              <w:rPr>
                <w:rFonts w:ascii="Arial" w:hAnsi="Arial" w:cs="Arial"/>
                <w:sz w:val="17"/>
                <w:szCs w:val="17"/>
              </w:rPr>
            </w:pPr>
            <w:r w:rsidRPr="00FB7FF9">
              <w:rPr>
                <w:rFonts w:ascii="Arial" w:hAnsi="Arial" w:cs="Arial"/>
                <w:sz w:val="17"/>
                <w:szCs w:val="17"/>
              </w:rPr>
              <w:t>-</w:t>
            </w:r>
          </w:p>
        </w:tc>
        <w:tc>
          <w:tcPr>
            <w:tcW w:w="170" w:type="dxa"/>
            <w:tcBorders>
              <w:left w:val="nil"/>
              <w:bottom w:val="nil"/>
              <w:right w:val="nil"/>
            </w:tcBorders>
            <w:shd w:val="clear" w:color="auto" w:fill="auto"/>
            <w:vAlign w:val="bottom"/>
          </w:tcPr>
          <w:p w14:paraId="15F03EAF" w14:textId="77777777" w:rsidR="00C4636E" w:rsidRPr="00FB7FF9" w:rsidRDefault="00C4636E" w:rsidP="00C4636E">
            <w:pPr>
              <w:spacing w:after="0" w:line="240" w:lineRule="auto"/>
              <w:rPr>
                <w:rFonts w:ascii="Arial" w:hAnsi="Arial" w:cs="Arial"/>
                <w:sz w:val="17"/>
                <w:szCs w:val="17"/>
              </w:rPr>
            </w:pPr>
          </w:p>
        </w:tc>
        <w:tc>
          <w:tcPr>
            <w:tcW w:w="964" w:type="dxa"/>
            <w:tcBorders>
              <w:left w:val="nil"/>
              <w:right w:val="nil"/>
            </w:tcBorders>
            <w:vAlign w:val="bottom"/>
          </w:tcPr>
          <w:p w14:paraId="3CA17573" w14:textId="06E9648D"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w:t>
            </w:r>
          </w:p>
        </w:tc>
        <w:tc>
          <w:tcPr>
            <w:tcW w:w="162" w:type="dxa"/>
            <w:tcBorders>
              <w:left w:val="nil"/>
              <w:bottom w:val="nil"/>
              <w:right w:val="nil"/>
            </w:tcBorders>
          </w:tcPr>
          <w:p w14:paraId="19238742" w14:textId="77777777"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nil"/>
              <w:right w:val="nil"/>
            </w:tcBorders>
            <w:shd w:val="clear" w:color="auto" w:fill="auto"/>
            <w:noWrap/>
            <w:vAlign w:val="bottom"/>
          </w:tcPr>
          <w:p w14:paraId="0308B796" w14:textId="02AE7A59"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sz w:val="17"/>
                <w:szCs w:val="17"/>
              </w:rPr>
              <w:t>(139,500)</w:t>
            </w:r>
          </w:p>
        </w:tc>
        <w:tc>
          <w:tcPr>
            <w:tcW w:w="170" w:type="dxa"/>
            <w:tcBorders>
              <w:left w:val="nil"/>
              <w:bottom w:val="nil"/>
              <w:right w:val="nil"/>
            </w:tcBorders>
            <w:shd w:val="clear" w:color="auto" w:fill="auto"/>
            <w:vAlign w:val="bottom"/>
          </w:tcPr>
          <w:p w14:paraId="0077A959"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nil"/>
              <w:right w:val="nil"/>
            </w:tcBorders>
            <w:shd w:val="clear" w:color="auto" w:fill="auto"/>
            <w:noWrap/>
            <w:vAlign w:val="bottom"/>
          </w:tcPr>
          <w:p w14:paraId="5AC4DABC" w14:textId="155B3A16"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(139,500)</w:t>
            </w:r>
          </w:p>
        </w:tc>
      </w:tr>
      <w:tr w:rsidR="00C4636E" w:rsidRPr="00FB7FF9" w14:paraId="37D213C4" w14:textId="77777777" w:rsidTr="00BC45BB">
        <w:trPr>
          <w:trHeight w:val="283"/>
          <w:jc w:val="center"/>
        </w:trPr>
        <w:tc>
          <w:tcPr>
            <w:tcW w:w="2835" w:type="dxa"/>
            <w:tcBorders>
              <w:top w:val="nil"/>
              <w:left w:val="nil"/>
              <w:bottom w:val="nil"/>
              <w:right w:val="nil"/>
            </w:tcBorders>
            <w:shd w:val="clear" w:color="auto" w:fill="auto"/>
            <w:noWrap/>
            <w:vAlign w:val="bottom"/>
          </w:tcPr>
          <w:p w14:paraId="5C852119" w14:textId="5262DDAD" w:rsidR="00C4636E" w:rsidRPr="00FB7FF9" w:rsidRDefault="00C4636E" w:rsidP="00C4636E">
            <w:pPr>
              <w:spacing w:after="0" w:line="240" w:lineRule="auto"/>
              <w:ind w:left="-75"/>
              <w:rPr>
                <w:rFonts w:ascii="Arial" w:hAnsi="Arial" w:cs="Arial"/>
                <w:sz w:val="17"/>
                <w:szCs w:val="17"/>
              </w:rPr>
            </w:pPr>
          </w:p>
        </w:tc>
        <w:tc>
          <w:tcPr>
            <w:tcW w:w="1276" w:type="dxa"/>
            <w:tcBorders>
              <w:top w:val="single" w:sz="4" w:space="0" w:color="auto"/>
              <w:left w:val="nil"/>
              <w:right w:val="nil"/>
            </w:tcBorders>
            <w:shd w:val="clear" w:color="auto" w:fill="auto"/>
            <w:noWrap/>
            <w:vAlign w:val="bottom"/>
          </w:tcPr>
          <w:p w14:paraId="7A53A05F" w14:textId="77777777" w:rsidR="00C4636E" w:rsidRPr="00FB7FF9" w:rsidRDefault="00C4636E" w:rsidP="00C4636E">
            <w:pPr>
              <w:tabs>
                <w:tab w:val="decimal" w:pos="1332"/>
              </w:tabs>
              <w:spacing w:after="0" w:line="240" w:lineRule="auto"/>
              <w:ind w:right="33"/>
              <w:jc w:val="right"/>
              <w:rPr>
                <w:rFonts w:ascii="Arial" w:hAnsi="Arial" w:cs="Arial"/>
                <w:sz w:val="17"/>
                <w:szCs w:val="17"/>
              </w:rPr>
            </w:pPr>
          </w:p>
        </w:tc>
        <w:tc>
          <w:tcPr>
            <w:tcW w:w="170" w:type="dxa"/>
            <w:tcBorders>
              <w:top w:val="nil"/>
              <w:left w:val="nil"/>
              <w:bottom w:val="nil"/>
              <w:right w:val="nil"/>
            </w:tcBorders>
            <w:shd w:val="clear" w:color="auto" w:fill="auto"/>
            <w:vAlign w:val="bottom"/>
          </w:tcPr>
          <w:p w14:paraId="753C4E66" w14:textId="77777777" w:rsidR="00C4636E" w:rsidRPr="00FB7FF9" w:rsidRDefault="00C4636E" w:rsidP="00C4636E">
            <w:pPr>
              <w:spacing w:after="0" w:line="240" w:lineRule="auto"/>
              <w:ind w:right="214"/>
              <w:rPr>
                <w:rFonts w:ascii="Arial" w:hAnsi="Arial" w:cs="Arial"/>
                <w:sz w:val="17"/>
                <w:szCs w:val="17"/>
              </w:rPr>
            </w:pPr>
          </w:p>
        </w:tc>
        <w:tc>
          <w:tcPr>
            <w:tcW w:w="1389" w:type="dxa"/>
            <w:tcBorders>
              <w:top w:val="single" w:sz="4" w:space="0" w:color="auto"/>
              <w:left w:val="nil"/>
              <w:right w:val="nil"/>
            </w:tcBorders>
            <w:shd w:val="clear" w:color="auto" w:fill="auto"/>
            <w:vAlign w:val="bottom"/>
          </w:tcPr>
          <w:p w14:paraId="2598A2DB" w14:textId="77777777" w:rsidR="00C4636E" w:rsidRPr="00FB7FF9" w:rsidRDefault="00C4636E" w:rsidP="00C4636E">
            <w:pPr>
              <w:tabs>
                <w:tab w:val="decimal" w:pos="1332"/>
              </w:tabs>
              <w:spacing w:after="0" w:line="240" w:lineRule="auto"/>
              <w:ind w:right="72"/>
              <w:rPr>
                <w:rFonts w:ascii="Arial" w:hAnsi="Arial" w:cs="Arial"/>
                <w:b/>
                <w:sz w:val="17"/>
                <w:szCs w:val="17"/>
              </w:rPr>
            </w:pPr>
          </w:p>
        </w:tc>
        <w:tc>
          <w:tcPr>
            <w:tcW w:w="170" w:type="dxa"/>
            <w:tcBorders>
              <w:left w:val="nil"/>
              <w:right w:val="nil"/>
            </w:tcBorders>
            <w:shd w:val="clear" w:color="auto" w:fill="auto"/>
            <w:vAlign w:val="bottom"/>
          </w:tcPr>
          <w:p w14:paraId="6BAC7283" w14:textId="77777777" w:rsidR="00C4636E" w:rsidRPr="00FB7FF9" w:rsidRDefault="00C4636E" w:rsidP="00C4636E">
            <w:pPr>
              <w:spacing w:after="0" w:line="240" w:lineRule="auto"/>
              <w:ind w:right="214"/>
              <w:rPr>
                <w:rFonts w:ascii="Arial" w:hAnsi="Arial" w:cs="Arial"/>
                <w:sz w:val="17"/>
                <w:szCs w:val="17"/>
              </w:rPr>
            </w:pPr>
          </w:p>
        </w:tc>
        <w:tc>
          <w:tcPr>
            <w:tcW w:w="964" w:type="dxa"/>
            <w:tcBorders>
              <w:top w:val="single" w:sz="6" w:space="0" w:color="auto"/>
              <w:left w:val="nil"/>
              <w:right w:val="nil"/>
            </w:tcBorders>
          </w:tcPr>
          <w:p w14:paraId="71F4F262" w14:textId="77777777" w:rsidR="00C4636E" w:rsidRPr="00FB7FF9" w:rsidRDefault="00C4636E" w:rsidP="00C4636E">
            <w:pPr>
              <w:tabs>
                <w:tab w:val="decimal" w:pos="1179"/>
              </w:tabs>
              <w:spacing w:after="0" w:line="240" w:lineRule="auto"/>
              <w:ind w:right="214"/>
              <w:rPr>
                <w:rFonts w:ascii="Arial" w:hAnsi="Arial" w:cs="Arial"/>
                <w:sz w:val="17"/>
                <w:szCs w:val="17"/>
              </w:rPr>
            </w:pPr>
          </w:p>
        </w:tc>
        <w:tc>
          <w:tcPr>
            <w:tcW w:w="162" w:type="dxa"/>
            <w:tcBorders>
              <w:left w:val="nil"/>
              <w:right w:val="nil"/>
            </w:tcBorders>
          </w:tcPr>
          <w:p w14:paraId="24025368" w14:textId="1F4695FE" w:rsidR="00C4636E" w:rsidRPr="00FB7FF9" w:rsidRDefault="00C4636E" w:rsidP="00C4636E">
            <w:pPr>
              <w:tabs>
                <w:tab w:val="decimal" w:pos="1179"/>
              </w:tabs>
              <w:spacing w:after="0" w:line="240" w:lineRule="auto"/>
              <w:ind w:right="214"/>
              <w:rPr>
                <w:rFonts w:ascii="Arial" w:hAnsi="Arial" w:cs="Arial"/>
                <w:sz w:val="17"/>
                <w:szCs w:val="17"/>
              </w:rPr>
            </w:pPr>
          </w:p>
        </w:tc>
        <w:tc>
          <w:tcPr>
            <w:tcW w:w="1256" w:type="dxa"/>
            <w:tcBorders>
              <w:top w:val="single" w:sz="4" w:space="0" w:color="auto"/>
              <w:left w:val="nil"/>
              <w:right w:val="nil"/>
            </w:tcBorders>
            <w:shd w:val="clear" w:color="auto" w:fill="auto"/>
            <w:noWrap/>
            <w:vAlign w:val="bottom"/>
          </w:tcPr>
          <w:p w14:paraId="51B20C51" w14:textId="6270FF63" w:rsidR="00C4636E" w:rsidRPr="00FB7FF9" w:rsidRDefault="00C4636E" w:rsidP="00C4636E">
            <w:pPr>
              <w:tabs>
                <w:tab w:val="decimal" w:pos="1179"/>
              </w:tabs>
              <w:spacing w:after="0" w:line="240" w:lineRule="auto"/>
              <w:ind w:right="214"/>
              <w:rPr>
                <w:rFonts w:ascii="Arial" w:hAnsi="Arial" w:cs="Arial"/>
                <w:sz w:val="17"/>
                <w:szCs w:val="17"/>
              </w:rPr>
            </w:pPr>
          </w:p>
        </w:tc>
        <w:tc>
          <w:tcPr>
            <w:tcW w:w="170" w:type="dxa"/>
            <w:tcBorders>
              <w:top w:val="nil"/>
              <w:left w:val="nil"/>
              <w:bottom w:val="nil"/>
              <w:right w:val="nil"/>
            </w:tcBorders>
            <w:shd w:val="clear" w:color="auto" w:fill="auto"/>
            <w:vAlign w:val="bottom"/>
          </w:tcPr>
          <w:p w14:paraId="368F5BAA" w14:textId="77777777" w:rsidR="00C4636E" w:rsidRPr="00FB7FF9" w:rsidRDefault="00C4636E" w:rsidP="00C4636E">
            <w:pPr>
              <w:spacing w:after="0" w:line="240" w:lineRule="auto"/>
              <w:ind w:right="215"/>
              <w:rPr>
                <w:rFonts w:ascii="Arial" w:hAnsi="Arial" w:cs="Arial"/>
                <w:sz w:val="17"/>
                <w:szCs w:val="17"/>
              </w:rPr>
            </w:pPr>
          </w:p>
        </w:tc>
        <w:tc>
          <w:tcPr>
            <w:tcW w:w="1105" w:type="dxa"/>
            <w:tcBorders>
              <w:top w:val="single" w:sz="4" w:space="0" w:color="auto"/>
              <w:left w:val="nil"/>
              <w:right w:val="nil"/>
            </w:tcBorders>
            <w:shd w:val="clear" w:color="auto" w:fill="auto"/>
            <w:noWrap/>
            <w:vAlign w:val="bottom"/>
          </w:tcPr>
          <w:p w14:paraId="34BC533D" w14:textId="7C6D5A9D" w:rsidR="00C4636E" w:rsidRPr="00FB7FF9" w:rsidRDefault="00C4636E" w:rsidP="00C4636E">
            <w:pPr>
              <w:tabs>
                <w:tab w:val="decimal" w:pos="1037"/>
              </w:tabs>
              <w:spacing w:after="0" w:line="240" w:lineRule="auto"/>
              <w:ind w:right="215"/>
              <w:rPr>
                <w:rFonts w:ascii="Arial" w:hAnsi="Arial" w:cs="Arial"/>
                <w:sz w:val="17"/>
                <w:szCs w:val="17"/>
              </w:rPr>
            </w:pPr>
          </w:p>
        </w:tc>
      </w:tr>
      <w:tr w:rsidR="00C4636E" w:rsidRPr="00FB7FF9" w14:paraId="437F313A" w14:textId="77777777" w:rsidTr="00BC45BB">
        <w:trPr>
          <w:trHeight w:val="337"/>
          <w:jc w:val="center"/>
        </w:trPr>
        <w:tc>
          <w:tcPr>
            <w:tcW w:w="2835" w:type="dxa"/>
            <w:tcBorders>
              <w:top w:val="nil"/>
              <w:left w:val="nil"/>
              <w:bottom w:val="nil"/>
              <w:right w:val="nil"/>
            </w:tcBorders>
            <w:shd w:val="clear" w:color="auto" w:fill="auto"/>
            <w:noWrap/>
            <w:vAlign w:val="bottom"/>
          </w:tcPr>
          <w:p w14:paraId="114D206C" w14:textId="275DF358" w:rsidR="00C4636E" w:rsidRPr="00FB7FF9" w:rsidRDefault="00C4636E" w:rsidP="00C4636E">
            <w:pPr>
              <w:spacing w:after="0" w:line="240" w:lineRule="auto"/>
              <w:ind w:left="-75"/>
              <w:rPr>
                <w:rFonts w:ascii="Arial" w:hAnsi="Arial" w:cs="Arial"/>
                <w:sz w:val="17"/>
                <w:szCs w:val="17"/>
              </w:rPr>
            </w:pPr>
            <w:r w:rsidRPr="00FB7FF9">
              <w:rPr>
                <w:rFonts w:ascii="Arial" w:hAnsi="Arial" w:cs="Arial"/>
                <w:sz w:val="17"/>
                <w:szCs w:val="17"/>
              </w:rPr>
              <w:t>DICIEMBRE 31, 2020</w:t>
            </w:r>
          </w:p>
        </w:tc>
        <w:tc>
          <w:tcPr>
            <w:tcW w:w="1276" w:type="dxa"/>
            <w:tcBorders>
              <w:left w:val="nil"/>
              <w:bottom w:val="double" w:sz="4" w:space="0" w:color="auto"/>
              <w:right w:val="nil"/>
            </w:tcBorders>
            <w:shd w:val="clear" w:color="auto" w:fill="auto"/>
            <w:noWrap/>
            <w:vAlign w:val="bottom"/>
          </w:tcPr>
          <w:p w14:paraId="56E17705" w14:textId="5AB354A5" w:rsidR="00C4636E" w:rsidRPr="00FB7FF9" w:rsidRDefault="00C4636E" w:rsidP="00C4636E">
            <w:pPr>
              <w:tabs>
                <w:tab w:val="decimal" w:pos="1142"/>
              </w:tabs>
              <w:spacing w:after="0" w:line="240" w:lineRule="auto"/>
              <w:ind w:right="33"/>
              <w:jc w:val="right"/>
              <w:rPr>
                <w:rFonts w:ascii="Arial" w:hAnsi="Arial" w:cs="Arial"/>
                <w:sz w:val="17"/>
                <w:szCs w:val="17"/>
              </w:rPr>
            </w:pPr>
            <w:r w:rsidRPr="00FB7FF9">
              <w:rPr>
                <w:rFonts w:ascii="Arial" w:hAnsi="Arial" w:cs="Arial"/>
                <w:sz w:val="17"/>
                <w:szCs w:val="17"/>
              </w:rPr>
              <w:t>40,193,339</w:t>
            </w:r>
          </w:p>
        </w:tc>
        <w:tc>
          <w:tcPr>
            <w:tcW w:w="170" w:type="dxa"/>
            <w:tcBorders>
              <w:left w:val="nil"/>
              <w:right w:val="nil"/>
            </w:tcBorders>
            <w:shd w:val="clear" w:color="auto" w:fill="auto"/>
            <w:vAlign w:val="bottom"/>
          </w:tcPr>
          <w:p w14:paraId="229FE5F7" w14:textId="77777777" w:rsidR="00C4636E" w:rsidRPr="00FB7FF9" w:rsidRDefault="00C4636E" w:rsidP="00C4636E">
            <w:pPr>
              <w:spacing w:after="0" w:line="240" w:lineRule="auto"/>
              <w:ind w:right="214"/>
              <w:rPr>
                <w:rFonts w:ascii="Arial" w:hAnsi="Arial" w:cs="Arial"/>
                <w:sz w:val="17"/>
                <w:szCs w:val="17"/>
              </w:rPr>
            </w:pPr>
          </w:p>
        </w:tc>
        <w:tc>
          <w:tcPr>
            <w:tcW w:w="1389" w:type="dxa"/>
            <w:tcBorders>
              <w:left w:val="nil"/>
              <w:bottom w:val="double" w:sz="4" w:space="0" w:color="auto"/>
              <w:right w:val="nil"/>
            </w:tcBorders>
            <w:shd w:val="clear" w:color="auto" w:fill="auto"/>
            <w:vAlign w:val="bottom"/>
          </w:tcPr>
          <w:p w14:paraId="6B4604D4" w14:textId="314CF054" w:rsidR="00C4636E" w:rsidRPr="00FB7FF9" w:rsidRDefault="00C4636E" w:rsidP="00C4636E">
            <w:pPr>
              <w:tabs>
                <w:tab w:val="decimal" w:pos="1324"/>
              </w:tabs>
              <w:spacing w:after="0" w:line="240" w:lineRule="auto"/>
              <w:ind w:right="72"/>
              <w:rPr>
                <w:rFonts w:ascii="Arial" w:hAnsi="Arial" w:cs="Arial"/>
                <w:sz w:val="17"/>
                <w:szCs w:val="17"/>
              </w:rPr>
            </w:pPr>
            <w:r w:rsidRPr="00FB7FF9">
              <w:rPr>
                <w:rFonts w:ascii="Arial" w:hAnsi="Arial" w:cs="Arial"/>
                <w:sz w:val="17"/>
                <w:szCs w:val="17"/>
              </w:rPr>
              <w:t>920</w:t>
            </w:r>
          </w:p>
        </w:tc>
        <w:tc>
          <w:tcPr>
            <w:tcW w:w="170" w:type="dxa"/>
            <w:tcBorders>
              <w:left w:val="nil"/>
              <w:right w:val="nil"/>
            </w:tcBorders>
            <w:shd w:val="clear" w:color="auto" w:fill="auto"/>
            <w:vAlign w:val="bottom"/>
          </w:tcPr>
          <w:p w14:paraId="78341985" w14:textId="77777777" w:rsidR="00C4636E" w:rsidRPr="00FB7FF9" w:rsidRDefault="00C4636E" w:rsidP="00C4636E">
            <w:pPr>
              <w:spacing w:after="0" w:line="240" w:lineRule="auto"/>
              <w:rPr>
                <w:rFonts w:ascii="Arial" w:hAnsi="Arial" w:cs="Arial"/>
                <w:sz w:val="17"/>
                <w:szCs w:val="17"/>
              </w:rPr>
            </w:pPr>
          </w:p>
        </w:tc>
        <w:tc>
          <w:tcPr>
            <w:tcW w:w="964" w:type="dxa"/>
            <w:tcBorders>
              <w:left w:val="nil"/>
              <w:bottom w:val="double" w:sz="4" w:space="0" w:color="auto"/>
              <w:right w:val="nil"/>
            </w:tcBorders>
            <w:vAlign w:val="bottom"/>
          </w:tcPr>
          <w:p w14:paraId="6D4D2FB9" w14:textId="561E2DE8" w:rsidR="00C4636E" w:rsidRPr="00FB7FF9" w:rsidRDefault="00C4636E" w:rsidP="00C4636E">
            <w:pPr>
              <w:tabs>
                <w:tab w:val="decimal" w:pos="1179"/>
              </w:tabs>
              <w:spacing w:after="0" w:line="240" w:lineRule="auto"/>
              <w:rPr>
                <w:rFonts w:ascii="Arial" w:hAnsi="Arial" w:cs="Arial"/>
                <w:sz w:val="17"/>
                <w:szCs w:val="17"/>
              </w:rPr>
            </w:pPr>
            <w:r w:rsidRPr="00FB7FF9">
              <w:rPr>
                <w:rFonts w:ascii="Arial" w:hAnsi="Arial" w:cs="Arial"/>
                <w:color w:val="000000"/>
                <w:sz w:val="17"/>
                <w:szCs w:val="17"/>
              </w:rPr>
              <w:t>8,820,280</w:t>
            </w:r>
          </w:p>
        </w:tc>
        <w:tc>
          <w:tcPr>
            <w:tcW w:w="162" w:type="dxa"/>
            <w:tcBorders>
              <w:left w:val="nil"/>
              <w:right w:val="nil"/>
            </w:tcBorders>
          </w:tcPr>
          <w:p w14:paraId="12AEF5BF" w14:textId="5D0393E2" w:rsidR="00C4636E" w:rsidRPr="00FB7FF9" w:rsidRDefault="00C4636E" w:rsidP="00C4636E">
            <w:pPr>
              <w:tabs>
                <w:tab w:val="decimal" w:pos="1179"/>
              </w:tabs>
              <w:spacing w:after="0" w:line="240" w:lineRule="auto"/>
              <w:rPr>
                <w:rFonts w:ascii="Arial" w:hAnsi="Arial" w:cs="Arial"/>
                <w:sz w:val="17"/>
                <w:szCs w:val="17"/>
              </w:rPr>
            </w:pPr>
          </w:p>
        </w:tc>
        <w:tc>
          <w:tcPr>
            <w:tcW w:w="1256" w:type="dxa"/>
            <w:tcBorders>
              <w:left w:val="nil"/>
              <w:bottom w:val="double" w:sz="4" w:space="0" w:color="auto"/>
              <w:right w:val="nil"/>
            </w:tcBorders>
            <w:shd w:val="clear" w:color="auto" w:fill="auto"/>
            <w:noWrap/>
            <w:vAlign w:val="bottom"/>
          </w:tcPr>
          <w:p w14:paraId="01C401B9" w14:textId="400E9035" w:rsidR="00C4636E" w:rsidRPr="00FB7FF9" w:rsidRDefault="00C4636E" w:rsidP="00C4636E">
            <w:pPr>
              <w:tabs>
                <w:tab w:val="decimal" w:pos="1179"/>
              </w:tabs>
              <w:spacing w:after="0" w:line="240" w:lineRule="auto"/>
              <w:rPr>
                <w:rFonts w:ascii="Arial" w:hAnsi="Arial" w:cs="Arial"/>
                <w:sz w:val="17"/>
                <w:szCs w:val="17"/>
              </w:rPr>
            </w:pPr>
            <w:r>
              <w:rPr>
                <w:rFonts w:ascii="Arial" w:hAnsi="Arial" w:cs="Arial"/>
                <w:sz w:val="17"/>
                <w:szCs w:val="17"/>
              </w:rPr>
              <w:t>70,359,472</w:t>
            </w:r>
          </w:p>
        </w:tc>
        <w:tc>
          <w:tcPr>
            <w:tcW w:w="170" w:type="dxa"/>
            <w:tcBorders>
              <w:left w:val="nil"/>
              <w:right w:val="nil"/>
            </w:tcBorders>
            <w:shd w:val="clear" w:color="auto" w:fill="auto"/>
            <w:vAlign w:val="bottom"/>
          </w:tcPr>
          <w:p w14:paraId="5782DA2A" w14:textId="77777777" w:rsidR="00C4636E" w:rsidRPr="00FB7FF9" w:rsidRDefault="00C4636E" w:rsidP="00C4636E">
            <w:pPr>
              <w:spacing w:after="0" w:line="240" w:lineRule="auto"/>
              <w:ind w:right="215"/>
              <w:rPr>
                <w:rFonts w:ascii="Arial" w:hAnsi="Arial" w:cs="Arial"/>
                <w:sz w:val="17"/>
                <w:szCs w:val="17"/>
              </w:rPr>
            </w:pPr>
          </w:p>
        </w:tc>
        <w:tc>
          <w:tcPr>
            <w:tcW w:w="1105" w:type="dxa"/>
            <w:tcBorders>
              <w:left w:val="nil"/>
              <w:bottom w:val="double" w:sz="4" w:space="0" w:color="auto"/>
              <w:right w:val="nil"/>
            </w:tcBorders>
            <w:shd w:val="clear" w:color="auto" w:fill="auto"/>
            <w:noWrap/>
            <w:vAlign w:val="bottom"/>
          </w:tcPr>
          <w:p w14:paraId="51F873CC" w14:textId="203126C8" w:rsidR="00C4636E" w:rsidRPr="00FB7FF9" w:rsidRDefault="00C4636E" w:rsidP="00C4636E">
            <w:pPr>
              <w:tabs>
                <w:tab w:val="decimal" w:pos="1037"/>
              </w:tabs>
              <w:spacing w:after="0" w:line="240" w:lineRule="auto"/>
              <w:jc w:val="right"/>
              <w:rPr>
                <w:rFonts w:ascii="Arial" w:hAnsi="Arial" w:cs="Arial"/>
                <w:sz w:val="17"/>
                <w:szCs w:val="17"/>
              </w:rPr>
            </w:pPr>
            <w:r>
              <w:rPr>
                <w:rFonts w:ascii="Arial" w:hAnsi="Arial" w:cs="Arial"/>
                <w:sz w:val="17"/>
                <w:szCs w:val="17"/>
              </w:rPr>
              <w:t>119,374,011</w:t>
            </w:r>
          </w:p>
        </w:tc>
      </w:tr>
    </w:tbl>
    <w:p w14:paraId="04D01B2D" w14:textId="77777777" w:rsidR="0084405E" w:rsidRPr="0074154F" w:rsidRDefault="0084405E"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3EAF4758" w14:textId="77777777"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6550C512" w14:textId="77777777"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66A53607" w14:textId="77777777"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6B16995C" w14:textId="77777777"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5D065110" w14:textId="2C46EDA5"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7B121DEA" w14:textId="0112A082" w:rsidR="00413455" w:rsidRPr="0074154F" w:rsidRDefault="00413455"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42A45080" w14:textId="34B11DF6" w:rsidR="00413455" w:rsidRPr="0074154F" w:rsidRDefault="00413455"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5660A95B" w14:textId="6006D2E1"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00D4F3EF" w14:textId="049EC469" w:rsidR="00DB59ED" w:rsidRPr="0074154F" w:rsidRDefault="00DB59ED"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59E1A68B" w14:textId="40BF02E3" w:rsidR="00DB59ED" w:rsidRPr="0074154F" w:rsidRDefault="00DB59ED"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26B233CF" w14:textId="77777777" w:rsidR="00AF0EE4" w:rsidRPr="0074154F" w:rsidRDefault="00AF0EE4"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762E6DAD" w14:textId="3EA10D14" w:rsidR="00DB59ED" w:rsidRPr="0074154F" w:rsidRDefault="00DB59ED" w:rsidP="00413455">
      <w:pPr>
        <w:tabs>
          <w:tab w:val="left" w:pos="2760"/>
          <w:tab w:val="center" w:pos="3960"/>
          <w:tab w:val="right" w:pos="5160"/>
          <w:tab w:val="left" w:pos="9600"/>
          <w:tab w:val="center" w:pos="10920"/>
          <w:tab w:val="right" w:pos="12240"/>
        </w:tabs>
        <w:spacing w:after="0" w:line="240" w:lineRule="auto"/>
        <w:ind w:right="-1"/>
        <w:jc w:val="both"/>
        <w:rPr>
          <w:rFonts w:ascii="Arial" w:hAnsi="Arial" w:cs="Arial"/>
          <w:sz w:val="20"/>
          <w:szCs w:val="20"/>
        </w:rPr>
      </w:pPr>
    </w:p>
    <w:p w14:paraId="191800F6" w14:textId="2BFB344E" w:rsidR="0011235E" w:rsidRPr="0074154F" w:rsidRDefault="0011235E" w:rsidP="00413455">
      <w:pPr>
        <w:tabs>
          <w:tab w:val="center" w:pos="5387"/>
          <w:tab w:val="decimal" w:pos="7513"/>
          <w:tab w:val="decimal" w:pos="8931"/>
        </w:tabs>
        <w:spacing w:after="0" w:line="240" w:lineRule="auto"/>
        <w:rPr>
          <w:rFonts w:ascii="Arial" w:hAnsi="Arial" w:cs="Arial"/>
          <w:sz w:val="20"/>
          <w:szCs w:val="20"/>
        </w:rPr>
      </w:pPr>
      <w:r w:rsidRPr="0074154F">
        <w:rPr>
          <w:rFonts w:ascii="Arial" w:hAnsi="Arial" w:cs="Arial"/>
          <w:sz w:val="20"/>
          <w:szCs w:val="20"/>
        </w:rPr>
        <w:t xml:space="preserve"> </w:t>
      </w:r>
    </w:p>
    <w:tbl>
      <w:tblPr>
        <w:tblW w:w="9072" w:type="dxa"/>
        <w:jc w:val="center"/>
        <w:tblLook w:val="01E0" w:firstRow="1" w:lastRow="1" w:firstColumn="1" w:lastColumn="1" w:noHBand="0" w:noVBand="0"/>
      </w:tblPr>
      <w:tblGrid>
        <w:gridCol w:w="3821"/>
        <w:gridCol w:w="1643"/>
        <w:gridCol w:w="3608"/>
      </w:tblGrid>
      <w:tr w:rsidR="005B10F1" w:rsidRPr="0074154F" w14:paraId="51346BEB" w14:textId="77777777" w:rsidTr="0064333C">
        <w:trPr>
          <w:trHeight w:val="283"/>
          <w:jc w:val="center"/>
        </w:trPr>
        <w:tc>
          <w:tcPr>
            <w:tcW w:w="3821" w:type="dxa"/>
            <w:tcBorders>
              <w:top w:val="single" w:sz="4" w:space="0" w:color="auto"/>
            </w:tcBorders>
          </w:tcPr>
          <w:p w14:paraId="5D5A9E79" w14:textId="77777777" w:rsidR="005B10F1" w:rsidRPr="0074154F" w:rsidRDefault="005B10F1" w:rsidP="0064333C">
            <w:pPr>
              <w:pStyle w:val="Footer"/>
              <w:ind w:right="-9"/>
              <w:contextualSpacing/>
              <w:mirrorIndents/>
              <w:jc w:val="center"/>
              <w:rPr>
                <w:rFonts w:ascii="Arial" w:hAnsi="Arial" w:cs="Arial"/>
                <w:sz w:val="20"/>
                <w:szCs w:val="20"/>
                <w:lang w:val="en-US"/>
              </w:rPr>
            </w:pPr>
            <w:r w:rsidRPr="0074154F">
              <w:rPr>
                <w:rFonts w:ascii="Arial" w:hAnsi="Arial" w:cs="Arial"/>
                <w:sz w:val="20"/>
                <w:szCs w:val="20"/>
                <w:lang w:val="en-US"/>
              </w:rPr>
              <w:t>Ing. Tomislav Topic</w:t>
            </w:r>
          </w:p>
        </w:tc>
        <w:tc>
          <w:tcPr>
            <w:tcW w:w="1643" w:type="dxa"/>
          </w:tcPr>
          <w:p w14:paraId="787E80C7" w14:textId="77777777" w:rsidR="005B10F1" w:rsidRPr="0074154F" w:rsidRDefault="005B10F1" w:rsidP="0064333C">
            <w:pPr>
              <w:pStyle w:val="Footer"/>
              <w:ind w:right="-9"/>
              <w:contextualSpacing/>
              <w:mirrorIndents/>
              <w:jc w:val="center"/>
              <w:rPr>
                <w:rFonts w:ascii="Arial" w:hAnsi="Arial" w:cs="Arial"/>
                <w:sz w:val="20"/>
                <w:szCs w:val="20"/>
                <w:lang w:val="en-US"/>
              </w:rPr>
            </w:pPr>
          </w:p>
        </w:tc>
        <w:tc>
          <w:tcPr>
            <w:tcW w:w="3608" w:type="dxa"/>
            <w:tcBorders>
              <w:top w:val="single" w:sz="4" w:space="0" w:color="auto"/>
            </w:tcBorders>
          </w:tcPr>
          <w:p w14:paraId="281F3B58" w14:textId="644D008A" w:rsidR="005B10F1" w:rsidRPr="0074154F" w:rsidRDefault="00DB59ED" w:rsidP="0064333C">
            <w:pPr>
              <w:pStyle w:val="Footer"/>
              <w:ind w:right="-9"/>
              <w:contextualSpacing/>
              <w:mirrorIndents/>
              <w:jc w:val="center"/>
              <w:rPr>
                <w:rFonts w:ascii="Arial" w:hAnsi="Arial" w:cs="Arial"/>
                <w:sz w:val="20"/>
                <w:szCs w:val="20"/>
              </w:rPr>
            </w:pPr>
            <w:r w:rsidRPr="0074154F">
              <w:rPr>
                <w:rFonts w:ascii="Arial" w:hAnsi="Arial" w:cs="Arial"/>
                <w:sz w:val="20"/>
                <w:szCs w:val="20"/>
              </w:rPr>
              <w:t xml:space="preserve">CPA. </w:t>
            </w:r>
            <w:r w:rsidR="002D5A87" w:rsidRPr="0074154F">
              <w:rPr>
                <w:rFonts w:ascii="Arial" w:hAnsi="Arial" w:cs="Arial"/>
                <w:sz w:val="20"/>
                <w:szCs w:val="20"/>
              </w:rPr>
              <w:t>Félix</w:t>
            </w:r>
            <w:r w:rsidR="005B10F1" w:rsidRPr="0074154F">
              <w:rPr>
                <w:rFonts w:ascii="Arial" w:hAnsi="Arial" w:cs="Arial"/>
                <w:sz w:val="20"/>
                <w:szCs w:val="20"/>
              </w:rPr>
              <w:t xml:space="preserve"> Valarezo</w:t>
            </w:r>
          </w:p>
        </w:tc>
      </w:tr>
      <w:tr w:rsidR="005B10F1" w:rsidRPr="0074154F" w14:paraId="7E158539" w14:textId="77777777" w:rsidTr="0064333C">
        <w:trPr>
          <w:trHeight w:val="283"/>
          <w:jc w:val="center"/>
        </w:trPr>
        <w:tc>
          <w:tcPr>
            <w:tcW w:w="3821" w:type="dxa"/>
          </w:tcPr>
          <w:p w14:paraId="631D051D" w14:textId="77777777" w:rsidR="005B10F1" w:rsidRPr="0074154F" w:rsidRDefault="005B10F1" w:rsidP="0064333C">
            <w:pPr>
              <w:pStyle w:val="Footer"/>
              <w:ind w:right="-9"/>
              <w:contextualSpacing/>
              <w:mirrorIndents/>
              <w:jc w:val="center"/>
              <w:rPr>
                <w:rFonts w:ascii="Arial" w:hAnsi="Arial" w:cs="Arial"/>
                <w:sz w:val="20"/>
                <w:szCs w:val="20"/>
              </w:rPr>
            </w:pPr>
            <w:r w:rsidRPr="0074154F">
              <w:rPr>
                <w:rFonts w:ascii="Arial" w:hAnsi="Arial" w:cs="Arial"/>
                <w:sz w:val="20"/>
                <w:szCs w:val="20"/>
              </w:rPr>
              <w:t>Gerente General</w:t>
            </w:r>
          </w:p>
        </w:tc>
        <w:tc>
          <w:tcPr>
            <w:tcW w:w="1643" w:type="dxa"/>
          </w:tcPr>
          <w:p w14:paraId="6B5A1534" w14:textId="77777777" w:rsidR="005B10F1" w:rsidRPr="0074154F" w:rsidRDefault="005B10F1" w:rsidP="0064333C">
            <w:pPr>
              <w:pStyle w:val="Footer"/>
              <w:ind w:right="-36"/>
              <w:contextualSpacing/>
              <w:mirrorIndents/>
              <w:jc w:val="center"/>
              <w:rPr>
                <w:rFonts w:ascii="Arial" w:hAnsi="Arial" w:cs="Arial"/>
                <w:sz w:val="20"/>
                <w:szCs w:val="20"/>
              </w:rPr>
            </w:pPr>
          </w:p>
        </w:tc>
        <w:tc>
          <w:tcPr>
            <w:tcW w:w="3608" w:type="dxa"/>
          </w:tcPr>
          <w:p w14:paraId="79EC6CC4" w14:textId="77777777" w:rsidR="005B10F1" w:rsidRPr="0074154F" w:rsidRDefault="005B10F1" w:rsidP="0064333C">
            <w:pPr>
              <w:pStyle w:val="Footer"/>
              <w:ind w:right="-36"/>
              <w:contextualSpacing/>
              <w:mirrorIndents/>
              <w:jc w:val="center"/>
              <w:rPr>
                <w:rFonts w:ascii="Arial" w:hAnsi="Arial" w:cs="Arial"/>
                <w:sz w:val="20"/>
                <w:szCs w:val="20"/>
              </w:rPr>
            </w:pPr>
            <w:r w:rsidRPr="0074154F">
              <w:rPr>
                <w:rFonts w:ascii="Arial" w:hAnsi="Arial" w:cs="Arial"/>
                <w:sz w:val="20"/>
                <w:szCs w:val="20"/>
              </w:rPr>
              <w:t>Contador General</w:t>
            </w:r>
          </w:p>
        </w:tc>
      </w:tr>
    </w:tbl>
    <w:p w14:paraId="0C81246C" w14:textId="77777777" w:rsidR="00D252A4" w:rsidRPr="0074154F" w:rsidRDefault="00D252A4" w:rsidP="00413455">
      <w:pPr>
        <w:tabs>
          <w:tab w:val="center" w:pos="2552"/>
          <w:tab w:val="center" w:pos="6804"/>
        </w:tabs>
        <w:spacing w:after="0" w:line="240" w:lineRule="auto"/>
        <w:ind w:right="-1"/>
        <w:jc w:val="center"/>
        <w:rPr>
          <w:rFonts w:ascii="Arial" w:hAnsi="Arial" w:cs="Arial"/>
          <w:sz w:val="20"/>
          <w:szCs w:val="20"/>
        </w:rPr>
      </w:pPr>
    </w:p>
    <w:p w14:paraId="4F91D345" w14:textId="77777777" w:rsidR="005D1D61" w:rsidRPr="0074154F" w:rsidRDefault="005D1D61" w:rsidP="005D1D61">
      <w:pPr>
        <w:pBdr>
          <w:bottom w:val="single" w:sz="4" w:space="1" w:color="auto"/>
        </w:pBdr>
        <w:spacing w:after="0" w:line="240" w:lineRule="auto"/>
        <w:contextualSpacing/>
        <w:mirrorIndents/>
        <w:rPr>
          <w:rFonts w:ascii="Arial" w:hAnsi="Arial" w:cs="Arial"/>
          <w:sz w:val="20"/>
          <w:szCs w:val="20"/>
        </w:rPr>
      </w:pPr>
      <w:r w:rsidRPr="0074154F">
        <w:rPr>
          <w:rFonts w:ascii="Arial" w:hAnsi="Arial" w:cs="Arial"/>
          <w:sz w:val="20"/>
          <w:szCs w:val="20"/>
        </w:rPr>
        <w:t xml:space="preserve">Ver notas a los estados financieros </w:t>
      </w:r>
      <w:r>
        <w:rPr>
          <w:rFonts w:ascii="Arial" w:hAnsi="Arial" w:cs="Arial"/>
          <w:sz w:val="20"/>
          <w:szCs w:val="20"/>
        </w:rPr>
        <w:t>y compañía relacionada</w:t>
      </w:r>
    </w:p>
    <w:p w14:paraId="095ECD90" w14:textId="77777777" w:rsidR="00BD1BB1" w:rsidRDefault="00BD1BB1" w:rsidP="00413455">
      <w:pPr>
        <w:spacing w:after="0" w:line="240" w:lineRule="auto"/>
        <w:jc w:val="center"/>
        <w:rPr>
          <w:rFonts w:ascii="Arial" w:hAnsi="Arial" w:cs="Arial"/>
          <w:b/>
          <w:sz w:val="17"/>
          <w:szCs w:val="17"/>
          <w:u w:val="single"/>
          <w:lang w:val="es-MX"/>
        </w:rPr>
      </w:pPr>
    </w:p>
    <w:p w14:paraId="57756820" w14:textId="64D0BE60" w:rsidR="00BD1BB1" w:rsidRDefault="00BD1BB1" w:rsidP="00413455">
      <w:pPr>
        <w:spacing w:after="0" w:line="240" w:lineRule="auto"/>
        <w:jc w:val="center"/>
        <w:rPr>
          <w:rFonts w:ascii="Arial" w:hAnsi="Arial" w:cs="Arial"/>
          <w:b/>
          <w:sz w:val="17"/>
          <w:szCs w:val="17"/>
          <w:u w:val="single"/>
          <w:lang w:val="es-MX"/>
        </w:rPr>
      </w:pPr>
    </w:p>
    <w:p w14:paraId="37245DC4" w14:textId="092DE978" w:rsidR="007E0B2D" w:rsidRDefault="007E0B2D" w:rsidP="00413455">
      <w:pPr>
        <w:spacing w:after="0" w:line="240" w:lineRule="auto"/>
        <w:jc w:val="center"/>
        <w:rPr>
          <w:rFonts w:ascii="Arial" w:hAnsi="Arial" w:cs="Arial"/>
          <w:b/>
          <w:sz w:val="17"/>
          <w:szCs w:val="17"/>
          <w:u w:val="single"/>
          <w:lang w:val="es-MX"/>
        </w:rPr>
      </w:pPr>
    </w:p>
    <w:p w14:paraId="41625C16" w14:textId="77777777" w:rsidR="007E0B2D" w:rsidRDefault="007E0B2D" w:rsidP="00413455">
      <w:pPr>
        <w:spacing w:after="0" w:line="240" w:lineRule="auto"/>
        <w:jc w:val="center"/>
        <w:rPr>
          <w:rFonts w:ascii="Arial" w:hAnsi="Arial" w:cs="Arial"/>
          <w:b/>
          <w:sz w:val="17"/>
          <w:szCs w:val="17"/>
          <w:u w:val="single"/>
          <w:lang w:val="es-MX"/>
        </w:rPr>
      </w:pPr>
    </w:p>
    <w:p w14:paraId="00F374C9" w14:textId="77777777" w:rsidR="00BD1BB1" w:rsidRDefault="00BD1BB1" w:rsidP="00413455">
      <w:pPr>
        <w:spacing w:after="0" w:line="240" w:lineRule="auto"/>
        <w:jc w:val="center"/>
        <w:rPr>
          <w:rFonts w:ascii="Arial" w:hAnsi="Arial" w:cs="Arial"/>
          <w:b/>
          <w:sz w:val="17"/>
          <w:szCs w:val="17"/>
          <w:u w:val="single"/>
          <w:lang w:val="es-MX"/>
        </w:rPr>
      </w:pPr>
    </w:p>
    <w:p w14:paraId="43F253DC" w14:textId="6EF6C7D4" w:rsidR="00F67FFE" w:rsidRPr="0074154F" w:rsidRDefault="005F5BAE" w:rsidP="00413455">
      <w:pPr>
        <w:spacing w:after="0" w:line="240" w:lineRule="auto"/>
        <w:jc w:val="center"/>
        <w:rPr>
          <w:rFonts w:ascii="Arial" w:hAnsi="Arial" w:cs="Arial"/>
          <w:b/>
          <w:sz w:val="17"/>
          <w:szCs w:val="17"/>
          <w:u w:val="single"/>
          <w:lang w:val="es-MX"/>
        </w:rPr>
      </w:pPr>
      <w:r w:rsidRPr="0074154F">
        <w:rPr>
          <w:rFonts w:ascii="Arial" w:hAnsi="Arial" w:cs="Arial"/>
          <w:b/>
          <w:sz w:val="17"/>
          <w:szCs w:val="17"/>
          <w:u w:val="single"/>
          <w:lang w:val="es-MX"/>
        </w:rPr>
        <w:t>TELCONET S.A.</w:t>
      </w:r>
      <w:r w:rsidR="00893042" w:rsidRPr="0074154F">
        <w:rPr>
          <w:rFonts w:ascii="Arial" w:hAnsi="Arial" w:cs="Arial"/>
          <w:b/>
          <w:sz w:val="17"/>
          <w:szCs w:val="17"/>
          <w:u w:val="single"/>
          <w:lang w:val="es-MX"/>
        </w:rPr>
        <w:t xml:space="preserve"> Y COMPAÑÍA </w:t>
      </w:r>
      <w:r w:rsidR="00BD1BB1">
        <w:rPr>
          <w:rFonts w:ascii="Arial" w:hAnsi="Arial" w:cs="Arial"/>
          <w:b/>
          <w:sz w:val="17"/>
          <w:szCs w:val="17"/>
          <w:u w:val="single"/>
          <w:lang w:val="es-MX"/>
        </w:rPr>
        <w:t>RELACIONADA</w:t>
      </w:r>
    </w:p>
    <w:p w14:paraId="4287F337" w14:textId="77777777" w:rsidR="00F67FFE" w:rsidRPr="0074154F" w:rsidRDefault="00F67FFE" w:rsidP="00413455">
      <w:pPr>
        <w:spacing w:after="0" w:line="240" w:lineRule="auto"/>
        <w:jc w:val="center"/>
        <w:rPr>
          <w:rFonts w:ascii="Arial" w:hAnsi="Arial" w:cs="Arial"/>
          <w:sz w:val="12"/>
          <w:szCs w:val="12"/>
          <w:lang w:val="es-MX"/>
        </w:rPr>
      </w:pPr>
    </w:p>
    <w:p w14:paraId="748A6C14" w14:textId="1EE87044" w:rsidR="00575521" w:rsidRPr="0074154F" w:rsidRDefault="009E4035" w:rsidP="00413455">
      <w:pPr>
        <w:keepNext/>
        <w:spacing w:after="0" w:line="240" w:lineRule="auto"/>
        <w:contextualSpacing/>
        <w:mirrorIndents/>
        <w:jc w:val="center"/>
        <w:outlineLvl w:val="2"/>
        <w:rPr>
          <w:rFonts w:ascii="Arial" w:hAnsi="Arial" w:cs="Arial"/>
          <w:sz w:val="17"/>
          <w:szCs w:val="17"/>
        </w:rPr>
      </w:pPr>
      <w:r w:rsidRPr="0074154F">
        <w:rPr>
          <w:rFonts w:ascii="Arial" w:hAnsi="Arial" w:cs="Arial"/>
          <w:sz w:val="17"/>
          <w:szCs w:val="17"/>
        </w:rPr>
        <w:t xml:space="preserve">Estado </w:t>
      </w:r>
      <w:r w:rsidR="00694DFD" w:rsidRPr="0074154F">
        <w:rPr>
          <w:rFonts w:ascii="Arial" w:hAnsi="Arial" w:cs="Arial"/>
          <w:sz w:val="17"/>
          <w:szCs w:val="17"/>
        </w:rPr>
        <w:t>Consolidado</w:t>
      </w:r>
      <w:r w:rsidR="00C34297" w:rsidRPr="0074154F">
        <w:rPr>
          <w:rFonts w:ascii="Arial" w:hAnsi="Arial" w:cs="Arial"/>
          <w:sz w:val="17"/>
          <w:szCs w:val="17"/>
        </w:rPr>
        <w:t xml:space="preserve"> </w:t>
      </w:r>
      <w:r w:rsidRPr="0074154F">
        <w:rPr>
          <w:rFonts w:ascii="Arial" w:hAnsi="Arial" w:cs="Arial"/>
          <w:sz w:val="17"/>
          <w:szCs w:val="17"/>
        </w:rPr>
        <w:t>de</w:t>
      </w:r>
      <w:r w:rsidR="00575521" w:rsidRPr="0074154F">
        <w:rPr>
          <w:rFonts w:ascii="Arial" w:hAnsi="Arial" w:cs="Arial"/>
          <w:sz w:val="17"/>
          <w:szCs w:val="17"/>
        </w:rPr>
        <w:t xml:space="preserve"> Flujos de Efectivo </w:t>
      </w:r>
      <w:r w:rsidR="00575521" w:rsidRPr="0074154F">
        <w:rPr>
          <w:rFonts w:ascii="Arial" w:hAnsi="Arial" w:cs="Arial"/>
          <w:sz w:val="17"/>
          <w:szCs w:val="17"/>
        </w:rPr>
        <w:br/>
        <w:t xml:space="preserve">Por el año terminado el 31 de </w:t>
      </w:r>
      <w:r w:rsidR="00822ED2" w:rsidRPr="0074154F">
        <w:rPr>
          <w:rFonts w:ascii="Arial" w:hAnsi="Arial" w:cs="Arial"/>
          <w:sz w:val="17"/>
          <w:szCs w:val="17"/>
        </w:rPr>
        <w:t>diciembre del 20</w:t>
      </w:r>
      <w:r w:rsidR="00E91225" w:rsidRPr="0074154F">
        <w:rPr>
          <w:rFonts w:ascii="Arial" w:hAnsi="Arial" w:cs="Arial"/>
          <w:sz w:val="17"/>
          <w:szCs w:val="17"/>
        </w:rPr>
        <w:t>20</w:t>
      </w:r>
    </w:p>
    <w:p w14:paraId="7D613911" w14:textId="77777777" w:rsidR="00444E6B" w:rsidRPr="0074154F" w:rsidRDefault="00444E6B" w:rsidP="00413455">
      <w:pPr>
        <w:pStyle w:val="A-1"/>
        <w:pBdr>
          <w:bottom w:val="single" w:sz="4" w:space="1" w:color="auto"/>
        </w:pBdr>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center" w:pos="4535"/>
          <w:tab w:val="left" w:pos="7695"/>
        </w:tabs>
        <w:ind w:right="-1"/>
        <w:jc w:val="center"/>
        <w:rPr>
          <w:rFonts w:ascii="Arial" w:hAnsi="Arial" w:cs="Arial"/>
          <w:sz w:val="17"/>
          <w:szCs w:val="17"/>
          <w:lang w:val="es-EC" w:eastAsia="es-ES"/>
        </w:rPr>
      </w:pPr>
      <w:r w:rsidRPr="0074154F">
        <w:rPr>
          <w:rFonts w:ascii="Arial" w:hAnsi="Arial" w:cs="Arial"/>
          <w:sz w:val="17"/>
          <w:szCs w:val="17"/>
          <w:lang w:val="es-EC" w:eastAsia="es-ES"/>
        </w:rPr>
        <w:t>(En dólares de los Estados Unidos de</w:t>
      </w:r>
      <w:r w:rsidR="000A6E4A" w:rsidRPr="0074154F">
        <w:rPr>
          <w:rFonts w:ascii="Arial" w:hAnsi="Arial" w:cs="Arial"/>
          <w:sz w:val="17"/>
          <w:szCs w:val="17"/>
          <w:lang w:val="es-EC" w:eastAsia="es-ES"/>
        </w:rPr>
        <w:t>l</w:t>
      </w:r>
      <w:r w:rsidRPr="0074154F">
        <w:rPr>
          <w:rFonts w:ascii="Arial" w:hAnsi="Arial" w:cs="Arial"/>
          <w:sz w:val="17"/>
          <w:szCs w:val="17"/>
          <w:lang w:val="es-EC" w:eastAsia="es-ES"/>
        </w:rPr>
        <w:t xml:space="preserve"> América)</w:t>
      </w:r>
    </w:p>
    <w:p w14:paraId="15D7407B" w14:textId="77777777" w:rsidR="008F7455" w:rsidRPr="0074154F" w:rsidRDefault="008F7455" w:rsidP="00413455">
      <w:pPr>
        <w:tabs>
          <w:tab w:val="center" w:pos="5949"/>
          <w:tab w:val="center" w:pos="6960"/>
          <w:tab w:val="center" w:pos="8400"/>
        </w:tabs>
        <w:spacing w:after="0" w:line="240" w:lineRule="auto"/>
        <w:ind w:right="-1"/>
        <w:jc w:val="both"/>
        <w:rPr>
          <w:rFonts w:ascii="Arial" w:hAnsi="Arial" w:cs="Arial"/>
          <w:b/>
          <w:sz w:val="16"/>
          <w:szCs w:val="16"/>
        </w:rPr>
      </w:pPr>
    </w:p>
    <w:tbl>
      <w:tblPr>
        <w:tblW w:w="9097" w:type="dxa"/>
        <w:jc w:val="right"/>
        <w:tblCellMar>
          <w:left w:w="70" w:type="dxa"/>
          <w:right w:w="70" w:type="dxa"/>
        </w:tblCellMar>
        <w:tblLook w:val="04A0" w:firstRow="1" w:lastRow="0" w:firstColumn="1" w:lastColumn="0" w:noHBand="0" w:noVBand="1"/>
      </w:tblPr>
      <w:tblGrid>
        <w:gridCol w:w="5924"/>
        <w:gridCol w:w="2135"/>
        <w:gridCol w:w="169"/>
        <w:gridCol w:w="2135"/>
      </w:tblGrid>
      <w:tr w:rsidR="00904ABF" w:rsidRPr="002A7906" w14:paraId="00621C2E" w14:textId="77777777" w:rsidTr="002F21E3">
        <w:trPr>
          <w:trHeight w:val="60"/>
          <w:jc w:val="right"/>
        </w:trPr>
        <w:tc>
          <w:tcPr>
            <w:tcW w:w="5924" w:type="dxa"/>
            <w:tcBorders>
              <w:top w:val="nil"/>
              <w:left w:val="nil"/>
              <w:bottom w:val="nil"/>
              <w:right w:val="nil"/>
            </w:tcBorders>
            <w:shd w:val="clear" w:color="auto" w:fill="auto"/>
            <w:noWrap/>
            <w:vAlign w:val="bottom"/>
            <w:hideMark/>
          </w:tcPr>
          <w:p w14:paraId="7DD17989" w14:textId="77777777" w:rsidR="00904ABF" w:rsidRPr="002A7906" w:rsidRDefault="00904ABF" w:rsidP="00413455">
            <w:pPr>
              <w:spacing w:after="0" w:line="240" w:lineRule="auto"/>
              <w:ind w:left="-75"/>
              <w:rPr>
                <w:rFonts w:ascii="Arial" w:eastAsia="Times New Roman" w:hAnsi="Arial" w:cs="Arial"/>
                <w:b/>
                <w:bCs/>
                <w:color w:val="000000"/>
                <w:sz w:val="17"/>
                <w:szCs w:val="17"/>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241AF21B" w14:textId="1541F9CC" w:rsidR="00904ABF" w:rsidRPr="002A7906" w:rsidRDefault="00904ABF" w:rsidP="00413455">
            <w:pPr>
              <w:spacing w:after="0" w:line="240" w:lineRule="auto"/>
              <w:ind w:right="98"/>
              <w:jc w:val="right"/>
              <w:rPr>
                <w:rFonts w:ascii="Arial" w:eastAsia="Times New Roman" w:hAnsi="Arial" w:cs="Arial"/>
                <w:b/>
                <w:bCs/>
                <w:color w:val="000000"/>
                <w:sz w:val="17"/>
                <w:szCs w:val="17"/>
                <w:lang w:eastAsia="es-EC"/>
              </w:rPr>
            </w:pPr>
            <w:r w:rsidRPr="002A7906">
              <w:rPr>
                <w:rFonts w:ascii="Arial" w:hAnsi="Arial" w:cs="Arial"/>
                <w:b/>
                <w:sz w:val="17"/>
                <w:szCs w:val="17"/>
              </w:rPr>
              <w:t>20</w:t>
            </w:r>
            <w:r w:rsidR="00F36A0D" w:rsidRPr="002A7906">
              <w:rPr>
                <w:rFonts w:ascii="Arial" w:hAnsi="Arial" w:cs="Arial"/>
                <w:b/>
                <w:sz w:val="17"/>
                <w:szCs w:val="17"/>
              </w:rPr>
              <w:t>20</w:t>
            </w:r>
          </w:p>
        </w:tc>
        <w:tc>
          <w:tcPr>
            <w:tcW w:w="169" w:type="dxa"/>
            <w:tcBorders>
              <w:top w:val="nil"/>
              <w:left w:val="nil"/>
              <w:bottom w:val="nil"/>
              <w:right w:val="nil"/>
            </w:tcBorders>
            <w:shd w:val="clear" w:color="auto" w:fill="auto"/>
            <w:noWrap/>
            <w:vAlign w:val="bottom"/>
            <w:hideMark/>
          </w:tcPr>
          <w:p w14:paraId="38C6AD68" w14:textId="77777777" w:rsidR="00904ABF" w:rsidRPr="002A7906" w:rsidRDefault="00904ABF" w:rsidP="00413455">
            <w:pPr>
              <w:spacing w:after="0" w:line="240" w:lineRule="auto"/>
              <w:ind w:right="98"/>
              <w:jc w:val="right"/>
              <w:rPr>
                <w:rFonts w:ascii="Arial" w:eastAsia="Times New Roman" w:hAnsi="Arial" w:cs="Arial"/>
                <w:b/>
                <w:bCs/>
                <w:color w:val="000000"/>
                <w:sz w:val="17"/>
                <w:szCs w:val="17"/>
                <w:lang w:eastAsia="es-EC"/>
              </w:rPr>
            </w:pPr>
          </w:p>
        </w:tc>
        <w:tc>
          <w:tcPr>
            <w:tcW w:w="1502" w:type="dxa"/>
            <w:tcBorders>
              <w:top w:val="nil"/>
              <w:left w:val="nil"/>
              <w:bottom w:val="single" w:sz="8" w:space="0" w:color="auto"/>
              <w:right w:val="nil"/>
            </w:tcBorders>
            <w:shd w:val="clear" w:color="auto" w:fill="auto"/>
            <w:noWrap/>
            <w:vAlign w:val="bottom"/>
            <w:hideMark/>
          </w:tcPr>
          <w:p w14:paraId="38F74014" w14:textId="11D7C862" w:rsidR="00904ABF" w:rsidRPr="002A7906" w:rsidRDefault="00904ABF" w:rsidP="00413455">
            <w:pPr>
              <w:spacing w:after="0" w:line="240" w:lineRule="auto"/>
              <w:ind w:right="98"/>
              <w:jc w:val="right"/>
              <w:rPr>
                <w:rFonts w:ascii="Arial" w:eastAsia="Times New Roman" w:hAnsi="Arial" w:cs="Arial"/>
                <w:b/>
                <w:bCs/>
                <w:color w:val="000000"/>
                <w:sz w:val="17"/>
                <w:szCs w:val="17"/>
                <w:lang w:eastAsia="es-EC"/>
              </w:rPr>
            </w:pPr>
            <w:r w:rsidRPr="002A7906">
              <w:rPr>
                <w:rFonts w:ascii="Arial" w:hAnsi="Arial" w:cs="Arial"/>
                <w:b/>
                <w:sz w:val="17"/>
                <w:szCs w:val="17"/>
              </w:rPr>
              <w:t>201</w:t>
            </w:r>
            <w:r w:rsidR="00F36A0D" w:rsidRPr="002A7906">
              <w:rPr>
                <w:rFonts w:ascii="Arial" w:hAnsi="Arial" w:cs="Arial"/>
                <w:b/>
                <w:sz w:val="17"/>
                <w:szCs w:val="17"/>
              </w:rPr>
              <w:t>9</w:t>
            </w:r>
          </w:p>
        </w:tc>
      </w:tr>
      <w:tr w:rsidR="00904ABF" w:rsidRPr="002A7906" w14:paraId="16ACA2E9" w14:textId="77777777" w:rsidTr="002F21E3">
        <w:trPr>
          <w:trHeight w:val="40"/>
          <w:jc w:val="right"/>
        </w:trPr>
        <w:tc>
          <w:tcPr>
            <w:tcW w:w="5924" w:type="dxa"/>
            <w:tcBorders>
              <w:top w:val="nil"/>
              <w:left w:val="nil"/>
              <w:bottom w:val="nil"/>
              <w:right w:val="nil"/>
            </w:tcBorders>
            <w:shd w:val="clear" w:color="auto" w:fill="auto"/>
            <w:noWrap/>
            <w:vAlign w:val="bottom"/>
          </w:tcPr>
          <w:p w14:paraId="4EDFCD2D" w14:textId="77777777" w:rsidR="00904ABF" w:rsidRPr="002A7906" w:rsidRDefault="00904ABF" w:rsidP="00413455">
            <w:pPr>
              <w:spacing w:after="0" w:line="240" w:lineRule="auto"/>
              <w:ind w:left="-75"/>
              <w:rPr>
                <w:rFonts w:ascii="Arial" w:eastAsia="Times New Roman" w:hAnsi="Arial" w:cs="Arial"/>
                <w:sz w:val="17"/>
                <w:szCs w:val="17"/>
                <w:lang w:val="es-MX" w:eastAsia="es-MX"/>
              </w:rPr>
            </w:pPr>
          </w:p>
        </w:tc>
        <w:tc>
          <w:tcPr>
            <w:tcW w:w="1502" w:type="dxa"/>
            <w:tcBorders>
              <w:top w:val="single" w:sz="8" w:space="0" w:color="auto"/>
              <w:left w:val="nil"/>
              <w:bottom w:val="nil"/>
              <w:right w:val="nil"/>
            </w:tcBorders>
            <w:shd w:val="clear" w:color="auto" w:fill="auto"/>
            <w:noWrap/>
            <w:vAlign w:val="bottom"/>
          </w:tcPr>
          <w:p w14:paraId="782EB7D3" w14:textId="77777777" w:rsidR="00904ABF" w:rsidRPr="002A7906" w:rsidRDefault="00904ABF" w:rsidP="00413455">
            <w:pPr>
              <w:spacing w:after="0" w:line="240" w:lineRule="auto"/>
              <w:rPr>
                <w:rFonts w:ascii="Arial" w:eastAsia="Times New Roman" w:hAnsi="Arial" w:cs="Arial"/>
                <w:b/>
                <w:bCs/>
                <w:color w:val="000000"/>
                <w:sz w:val="17"/>
                <w:szCs w:val="17"/>
                <w:lang w:eastAsia="es-EC"/>
              </w:rPr>
            </w:pPr>
          </w:p>
        </w:tc>
        <w:tc>
          <w:tcPr>
            <w:tcW w:w="169" w:type="dxa"/>
            <w:tcBorders>
              <w:top w:val="nil"/>
              <w:left w:val="nil"/>
              <w:bottom w:val="nil"/>
              <w:right w:val="nil"/>
            </w:tcBorders>
            <w:shd w:val="clear" w:color="auto" w:fill="auto"/>
            <w:noWrap/>
            <w:vAlign w:val="bottom"/>
          </w:tcPr>
          <w:p w14:paraId="334F101D" w14:textId="77777777" w:rsidR="00904ABF" w:rsidRPr="002A7906" w:rsidRDefault="00904ABF" w:rsidP="00413455">
            <w:pPr>
              <w:spacing w:after="0" w:line="240" w:lineRule="auto"/>
              <w:rPr>
                <w:rFonts w:ascii="Arial" w:eastAsia="Times New Roman" w:hAnsi="Arial" w:cs="Arial"/>
                <w:b/>
                <w:bCs/>
                <w:color w:val="000000"/>
                <w:sz w:val="17"/>
                <w:szCs w:val="17"/>
                <w:lang w:eastAsia="es-EC"/>
              </w:rPr>
            </w:pPr>
          </w:p>
        </w:tc>
        <w:tc>
          <w:tcPr>
            <w:tcW w:w="1502" w:type="dxa"/>
            <w:tcBorders>
              <w:top w:val="single" w:sz="8" w:space="0" w:color="auto"/>
              <w:left w:val="nil"/>
              <w:bottom w:val="nil"/>
              <w:right w:val="nil"/>
            </w:tcBorders>
            <w:shd w:val="clear" w:color="auto" w:fill="auto"/>
            <w:noWrap/>
            <w:vAlign w:val="bottom"/>
          </w:tcPr>
          <w:p w14:paraId="7B2A091D" w14:textId="77777777" w:rsidR="00904ABF" w:rsidRPr="002A7906" w:rsidRDefault="00904ABF" w:rsidP="00413455">
            <w:pPr>
              <w:spacing w:after="0" w:line="240" w:lineRule="auto"/>
              <w:rPr>
                <w:rFonts w:ascii="Arial" w:eastAsia="Times New Roman" w:hAnsi="Arial" w:cs="Arial"/>
                <w:b/>
                <w:bCs/>
                <w:color w:val="000000"/>
                <w:sz w:val="17"/>
                <w:szCs w:val="17"/>
                <w:lang w:eastAsia="es-EC"/>
              </w:rPr>
            </w:pPr>
          </w:p>
        </w:tc>
      </w:tr>
      <w:tr w:rsidR="00904ABF" w:rsidRPr="002A7906" w14:paraId="65396AC4" w14:textId="77777777" w:rsidTr="002F21E3">
        <w:trPr>
          <w:trHeight w:val="145"/>
          <w:jc w:val="right"/>
        </w:trPr>
        <w:tc>
          <w:tcPr>
            <w:tcW w:w="5924" w:type="dxa"/>
            <w:tcBorders>
              <w:top w:val="nil"/>
              <w:left w:val="nil"/>
              <w:bottom w:val="nil"/>
              <w:right w:val="nil"/>
            </w:tcBorders>
            <w:shd w:val="clear" w:color="auto" w:fill="auto"/>
            <w:noWrap/>
            <w:vAlign w:val="bottom"/>
          </w:tcPr>
          <w:p w14:paraId="77F28468" w14:textId="65A9D20B" w:rsidR="00904ABF" w:rsidRPr="002A7906" w:rsidRDefault="00904ABF" w:rsidP="002F21E3">
            <w:pPr>
              <w:spacing w:after="0" w:line="240" w:lineRule="auto"/>
              <w:ind w:left="200" w:hanging="270"/>
              <w:rPr>
                <w:rFonts w:ascii="Arial" w:eastAsia="Times New Roman" w:hAnsi="Arial" w:cs="Arial"/>
                <w:b/>
                <w:bCs/>
                <w:color w:val="000000"/>
                <w:sz w:val="17"/>
                <w:szCs w:val="17"/>
                <w:u w:val="single"/>
                <w:lang w:eastAsia="es-EC"/>
              </w:rPr>
            </w:pPr>
            <w:r w:rsidRPr="002A7906">
              <w:rPr>
                <w:rFonts w:ascii="Arial" w:hAnsi="Arial" w:cs="Arial"/>
                <w:b/>
                <w:sz w:val="17"/>
                <w:szCs w:val="17"/>
              </w:rPr>
              <w:t xml:space="preserve">FLUJOS DE EFECTIVO DE ACTIVIDADES DE OPERACIÓN:  </w:t>
            </w:r>
          </w:p>
        </w:tc>
        <w:tc>
          <w:tcPr>
            <w:tcW w:w="1502" w:type="dxa"/>
            <w:tcBorders>
              <w:top w:val="nil"/>
              <w:left w:val="nil"/>
              <w:bottom w:val="nil"/>
              <w:right w:val="nil"/>
            </w:tcBorders>
            <w:shd w:val="clear" w:color="auto" w:fill="auto"/>
            <w:noWrap/>
            <w:vAlign w:val="bottom"/>
          </w:tcPr>
          <w:p w14:paraId="6520966E" w14:textId="77777777" w:rsidR="00904ABF" w:rsidRPr="002A7906" w:rsidRDefault="00904ABF" w:rsidP="00413455">
            <w:pPr>
              <w:spacing w:after="0" w:line="240" w:lineRule="auto"/>
              <w:rPr>
                <w:rFonts w:ascii="Arial" w:eastAsia="Times New Roman" w:hAnsi="Arial" w:cs="Arial"/>
                <w:b/>
                <w:bCs/>
                <w:color w:val="000000"/>
                <w:sz w:val="17"/>
                <w:szCs w:val="17"/>
                <w:lang w:eastAsia="es-EC"/>
              </w:rPr>
            </w:pPr>
          </w:p>
        </w:tc>
        <w:tc>
          <w:tcPr>
            <w:tcW w:w="169" w:type="dxa"/>
            <w:tcBorders>
              <w:top w:val="nil"/>
              <w:left w:val="nil"/>
              <w:bottom w:val="nil"/>
              <w:right w:val="nil"/>
            </w:tcBorders>
            <w:shd w:val="clear" w:color="auto" w:fill="auto"/>
            <w:noWrap/>
            <w:vAlign w:val="bottom"/>
          </w:tcPr>
          <w:p w14:paraId="2E37ED34" w14:textId="77777777" w:rsidR="00904ABF" w:rsidRPr="002A7906" w:rsidRDefault="00904ABF" w:rsidP="00413455">
            <w:pPr>
              <w:spacing w:after="0" w:line="240" w:lineRule="auto"/>
              <w:rPr>
                <w:rFonts w:ascii="Arial" w:eastAsia="Times New Roman" w:hAnsi="Arial" w:cs="Arial"/>
                <w:b/>
                <w:bCs/>
                <w:color w:val="000000"/>
                <w:sz w:val="17"/>
                <w:szCs w:val="17"/>
                <w:lang w:eastAsia="es-EC"/>
              </w:rPr>
            </w:pPr>
          </w:p>
        </w:tc>
        <w:tc>
          <w:tcPr>
            <w:tcW w:w="1502" w:type="dxa"/>
            <w:tcBorders>
              <w:top w:val="nil"/>
              <w:left w:val="nil"/>
              <w:bottom w:val="nil"/>
              <w:right w:val="nil"/>
            </w:tcBorders>
            <w:shd w:val="clear" w:color="auto" w:fill="auto"/>
            <w:noWrap/>
            <w:vAlign w:val="bottom"/>
          </w:tcPr>
          <w:p w14:paraId="3293A54E" w14:textId="04AE75E0" w:rsidR="00904ABF" w:rsidRPr="002A7906" w:rsidRDefault="00904ABF" w:rsidP="00413455">
            <w:pPr>
              <w:spacing w:after="0" w:line="240" w:lineRule="auto"/>
              <w:rPr>
                <w:rFonts w:ascii="Arial" w:eastAsia="Times New Roman" w:hAnsi="Arial" w:cs="Arial"/>
                <w:b/>
                <w:bCs/>
                <w:color w:val="000000"/>
                <w:sz w:val="17"/>
                <w:szCs w:val="17"/>
                <w:lang w:eastAsia="es-EC"/>
              </w:rPr>
            </w:pPr>
          </w:p>
        </w:tc>
      </w:tr>
      <w:tr w:rsidR="001D2A2B" w:rsidRPr="002A7906" w14:paraId="52253DE3" w14:textId="77777777" w:rsidTr="001F50C5">
        <w:trPr>
          <w:trHeight w:val="60"/>
          <w:jc w:val="right"/>
        </w:trPr>
        <w:tc>
          <w:tcPr>
            <w:tcW w:w="5924" w:type="dxa"/>
            <w:tcBorders>
              <w:top w:val="nil"/>
              <w:left w:val="nil"/>
              <w:bottom w:val="nil"/>
              <w:right w:val="nil"/>
            </w:tcBorders>
            <w:shd w:val="clear" w:color="auto" w:fill="auto"/>
            <w:noWrap/>
            <w:vAlign w:val="bottom"/>
          </w:tcPr>
          <w:p w14:paraId="66C1BB57" w14:textId="28E87CB2" w:rsidR="001D2A2B" w:rsidRPr="002A7906" w:rsidRDefault="001D2A2B" w:rsidP="001D2A2B">
            <w:pPr>
              <w:spacing w:after="0" w:line="240" w:lineRule="auto"/>
              <w:ind w:left="-75"/>
              <w:rPr>
                <w:rFonts w:ascii="Arial" w:hAnsi="Arial" w:cs="Arial"/>
                <w:sz w:val="17"/>
                <w:szCs w:val="17"/>
              </w:rPr>
            </w:pPr>
            <w:r w:rsidRPr="002A7906">
              <w:rPr>
                <w:rFonts w:ascii="Arial" w:hAnsi="Arial" w:cs="Arial"/>
                <w:sz w:val="17"/>
                <w:szCs w:val="17"/>
              </w:rPr>
              <w:t>Utilidad del año</w:t>
            </w:r>
          </w:p>
        </w:tc>
        <w:tc>
          <w:tcPr>
            <w:tcW w:w="1502" w:type="dxa"/>
            <w:tcBorders>
              <w:top w:val="nil"/>
              <w:left w:val="nil"/>
              <w:bottom w:val="nil"/>
              <w:right w:val="nil"/>
            </w:tcBorders>
            <w:shd w:val="clear" w:color="auto" w:fill="auto"/>
            <w:noWrap/>
            <w:vAlign w:val="bottom"/>
          </w:tcPr>
          <w:p w14:paraId="08562F14" w14:textId="5D53EE94" w:rsidR="001D2A2B" w:rsidRPr="002A7906" w:rsidRDefault="001D2A2B" w:rsidP="001D2A2B">
            <w:pPr>
              <w:tabs>
                <w:tab w:val="decimal" w:pos="1276"/>
              </w:tabs>
              <w:spacing w:after="0" w:line="240" w:lineRule="auto"/>
              <w:rPr>
                <w:rFonts w:ascii="Arial" w:hAnsi="Arial" w:cs="Arial"/>
                <w:sz w:val="17"/>
                <w:szCs w:val="17"/>
              </w:rPr>
            </w:pPr>
            <w:r w:rsidRPr="002A7906">
              <w:rPr>
                <w:rFonts w:ascii="Arial" w:hAnsi="Arial" w:cs="Arial"/>
                <w:sz w:val="17"/>
                <w:szCs w:val="17"/>
              </w:rPr>
              <w:t>50,877,325</w:t>
            </w:r>
          </w:p>
        </w:tc>
        <w:tc>
          <w:tcPr>
            <w:tcW w:w="169" w:type="dxa"/>
            <w:tcBorders>
              <w:top w:val="nil"/>
              <w:left w:val="nil"/>
              <w:bottom w:val="nil"/>
              <w:right w:val="nil"/>
            </w:tcBorders>
            <w:shd w:val="clear" w:color="auto" w:fill="auto"/>
            <w:noWrap/>
            <w:vAlign w:val="bottom"/>
          </w:tcPr>
          <w:p w14:paraId="6D58BBA0" w14:textId="77777777" w:rsidR="001D2A2B" w:rsidRPr="002A7906" w:rsidRDefault="001D2A2B" w:rsidP="001D2A2B">
            <w:pPr>
              <w:spacing w:after="0" w:line="240" w:lineRule="auto"/>
              <w:rPr>
                <w:rFonts w:ascii="Arial" w:hAnsi="Arial" w:cs="Arial"/>
                <w:sz w:val="17"/>
                <w:szCs w:val="17"/>
              </w:rPr>
            </w:pPr>
          </w:p>
        </w:tc>
        <w:tc>
          <w:tcPr>
            <w:tcW w:w="1502" w:type="dxa"/>
            <w:tcBorders>
              <w:top w:val="nil"/>
              <w:left w:val="nil"/>
              <w:bottom w:val="nil"/>
              <w:right w:val="nil"/>
            </w:tcBorders>
            <w:shd w:val="clear" w:color="auto" w:fill="auto"/>
            <w:noWrap/>
            <w:vAlign w:val="bottom"/>
          </w:tcPr>
          <w:p w14:paraId="0022CD29" w14:textId="1BE08E41" w:rsidR="001D2A2B" w:rsidRPr="001D2A2B" w:rsidRDefault="001D2A2B" w:rsidP="001D2A2B">
            <w:pPr>
              <w:tabs>
                <w:tab w:val="decimal" w:pos="1276"/>
              </w:tabs>
              <w:spacing w:after="0" w:line="240" w:lineRule="auto"/>
              <w:rPr>
                <w:rFonts w:ascii="Arial" w:hAnsi="Arial" w:cs="Arial"/>
                <w:sz w:val="17"/>
                <w:szCs w:val="17"/>
              </w:rPr>
            </w:pPr>
            <w:r w:rsidRPr="001D2A2B">
              <w:rPr>
                <w:rFonts w:ascii="Arial" w:eastAsia="Times New Roman" w:hAnsi="Arial" w:cs="Arial"/>
                <w:color w:val="000000"/>
                <w:sz w:val="17"/>
                <w:szCs w:val="17"/>
                <w:lang w:val="es-MX" w:eastAsia="es-MX"/>
              </w:rPr>
              <w:t>34,247,291</w:t>
            </w:r>
          </w:p>
        </w:tc>
      </w:tr>
      <w:tr w:rsidR="00F36A0D" w:rsidRPr="002A7906" w14:paraId="6711434D" w14:textId="77777777" w:rsidTr="002A61FE">
        <w:trPr>
          <w:trHeight w:val="147"/>
          <w:jc w:val="right"/>
        </w:trPr>
        <w:tc>
          <w:tcPr>
            <w:tcW w:w="5924" w:type="dxa"/>
            <w:tcBorders>
              <w:top w:val="nil"/>
              <w:left w:val="nil"/>
              <w:bottom w:val="nil"/>
              <w:right w:val="nil"/>
            </w:tcBorders>
            <w:shd w:val="clear" w:color="auto" w:fill="auto"/>
            <w:noWrap/>
            <w:vAlign w:val="bottom"/>
          </w:tcPr>
          <w:p w14:paraId="79C41CCE" w14:textId="2FF3EC9C" w:rsidR="00F36A0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Provisión por deterioro de cuentas incobrables</w:t>
            </w:r>
          </w:p>
        </w:tc>
        <w:tc>
          <w:tcPr>
            <w:tcW w:w="1502" w:type="dxa"/>
            <w:tcBorders>
              <w:top w:val="nil"/>
              <w:left w:val="nil"/>
              <w:right w:val="nil"/>
            </w:tcBorders>
            <w:shd w:val="clear" w:color="auto" w:fill="auto"/>
            <w:noWrap/>
            <w:vAlign w:val="bottom"/>
          </w:tcPr>
          <w:p w14:paraId="466D7CFB" w14:textId="407944DB" w:rsidR="00F36A0D" w:rsidRPr="002A7906" w:rsidRDefault="00262022" w:rsidP="00F36A0D">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127,028</w:t>
            </w:r>
          </w:p>
        </w:tc>
        <w:tc>
          <w:tcPr>
            <w:tcW w:w="169" w:type="dxa"/>
            <w:tcBorders>
              <w:top w:val="nil"/>
              <w:left w:val="nil"/>
              <w:bottom w:val="nil"/>
              <w:right w:val="nil"/>
            </w:tcBorders>
            <w:shd w:val="clear" w:color="auto" w:fill="auto"/>
            <w:noWrap/>
            <w:vAlign w:val="bottom"/>
          </w:tcPr>
          <w:p w14:paraId="71608545" w14:textId="77777777" w:rsidR="00F36A0D" w:rsidRPr="002A7906" w:rsidRDefault="00F36A0D" w:rsidP="00F36A0D">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1EE58AF9" w14:textId="5A717E0B" w:rsidR="00F36A0D" w:rsidRPr="002A7906" w:rsidRDefault="004A65C5" w:rsidP="00F36A0D">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300,302</w:t>
            </w:r>
          </w:p>
        </w:tc>
      </w:tr>
      <w:tr w:rsidR="00F36A0D" w:rsidRPr="002A7906" w14:paraId="7043DC49" w14:textId="77777777" w:rsidTr="002A61FE">
        <w:trPr>
          <w:trHeight w:val="139"/>
          <w:jc w:val="right"/>
        </w:trPr>
        <w:tc>
          <w:tcPr>
            <w:tcW w:w="5924" w:type="dxa"/>
            <w:tcBorders>
              <w:top w:val="nil"/>
              <w:left w:val="nil"/>
              <w:bottom w:val="nil"/>
              <w:right w:val="nil"/>
            </w:tcBorders>
            <w:shd w:val="clear" w:color="auto" w:fill="auto"/>
            <w:noWrap/>
            <w:vAlign w:val="bottom"/>
          </w:tcPr>
          <w:p w14:paraId="6E95F129" w14:textId="1ACFBB15" w:rsidR="00F36A0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Depreciación de propiedades y equipos</w:t>
            </w:r>
          </w:p>
        </w:tc>
        <w:tc>
          <w:tcPr>
            <w:tcW w:w="1502" w:type="dxa"/>
            <w:tcBorders>
              <w:top w:val="nil"/>
              <w:left w:val="nil"/>
              <w:right w:val="nil"/>
            </w:tcBorders>
            <w:shd w:val="clear" w:color="auto" w:fill="auto"/>
            <w:noWrap/>
            <w:vAlign w:val="bottom"/>
          </w:tcPr>
          <w:p w14:paraId="1D97A15A" w14:textId="04A7478B" w:rsidR="00F36A0D" w:rsidRPr="002A7906" w:rsidRDefault="00F51DB0"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16,008,155</w:t>
            </w:r>
          </w:p>
        </w:tc>
        <w:tc>
          <w:tcPr>
            <w:tcW w:w="169" w:type="dxa"/>
            <w:tcBorders>
              <w:top w:val="nil"/>
              <w:left w:val="nil"/>
              <w:right w:val="nil"/>
            </w:tcBorders>
            <w:shd w:val="clear" w:color="auto" w:fill="auto"/>
            <w:noWrap/>
            <w:vAlign w:val="bottom"/>
          </w:tcPr>
          <w:p w14:paraId="5D15BF14" w14:textId="77777777" w:rsidR="00F36A0D" w:rsidRPr="002A7906" w:rsidRDefault="00F36A0D" w:rsidP="00F36A0D">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265043C0" w14:textId="63738B86" w:rsidR="00F36A0D"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28,468,856</w:t>
            </w:r>
          </w:p>
        </w:tc>
      </w:tr>
      <w:tr w:rsidR="007A597E" w:rsidRPr="002A7906" w14:paraId="1973C50F" w14:textId="77777777" w:rsidTr="002A61FE">
        <w:trPr>
          <w:trHeight w:val="71"/>
          <w:jc w:val="right"/>
        </w:trPr>
        <w:tc>
          <w:tcPr>
            <w:tcW w:w="5924" w:type="dxa"/>
            <w:tcBorders>
              <w:top w:val="nil"/>
              <w:left w:val="nil"/>
              <w:bottom w:val="nil"/>
              <w:right w:val="nil"/>
            </w:tcBorders>
            <w:shd w:val="clear" w:color="auto" w:fill="auto"/>
            <w:noWrap/>
            <w:vAlign w:val="bottom"/>
          </w:tcPr>
          <w:p w14:paraId="2C66458F" w14:textId="2051B220" w:rsidR="007A597E"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Depreciación de propiedades de inversión</w:t>
            </w:r>
          </w:p>
        </w:tc>
        <w:tc>
          <w:tcPr>
            <w:tcW w:w="1502" w:type="dxa"/>
            <w:tcBorders>
              <w:left w:val="nil"/>
              <w:right w:val="nil"/>
            </w:tcBorders>
            <w:shd w:val="clear" w:color="auto" w:fill="auto"/>
            <w:noWrap/>
            <w:vAlign w:val="bottom"/>
          </w:tcPr>
          <w:p w14:paraId="6A874621" w14:textId="1CEA81A6" w:rsidR="007A597E" w:rsidRPr="002A7906" w:rsidRDefault="00F51DB0"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39,210</w:t>
            </w:r>
          </w:p>
        </w:tc>
        <w:tc>
          <w:tcPr>
            <w:tcW w:w="169" w:type="dxa"/>
            <w:tcBorders>
              <w:left w:val="nil"/>
              <w:right w:val="nil"/>
            </w:tcBorders>
            <w:shd w:val="clear" w:color="auto" w:fill="auto"/>
            <w:noWrap/>
            <w:vAlign w:val="bottom"/>
          </w:tcPr>
          <w:p w14:paraId="629A4F41" w14:textId="77777777" w:rsidR="007A597E" w:rsidRPr="002A7906" w:rsidRDefault="007A597E"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54DF66B3" w14:textId="62CF089A" w:rsidR="007A597E"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39,210</w:t>
            </w:r>
          </w:p>
        </w:tc>
      </w:tr>
      <w:tr w:rsidR="0035042D" w:rsidRPr="002A7906" w14:paraId="7C49E13F" w14:textId="77777777" w:rsidTr="002A61FE">
        <w:trPr>
          <w:trHeight w:val="159"/>
          <w:jc w:val="right"/>
        </w:trPr>
        <w:tc>
          <w:tcPr>
            <w:tcW w:w="5924" w:type="dxa"/>
            <w:tcBorders>
              <w:top w:val="nil"/>
              <w:left w:val="nil"/>
              <w:bottom w:val="nil"/>
              <w:right w:val="nil"/>
            </w:tcBorders>
            <w:shd w:val="clear" w:color="auto" w:fill="auto"/>
            <w:noWrap/>
            <w:vAlign w:val="bottom"/>
          </w:tcPr>
          <w:p w14:paraId="62BEBE78" w14:textId="7576BD03" w:rsidR="0035042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Depreciación de activos por derecho de uso</w:t>
            </w:r>
          </w:p>
        </w:tc>
        <w:tc>
          <w:tcPr>
            <w:tcW w:w="1502" w:type="dxa"/>
            <w:tcBorders>
              <w:left w:val="nil"/>
              <w:right w:val="nil"/>
            </w:tcBorders>
            <w:shd w:val="clear" w:color="auto" w:fill="auto"/>
            <w:noWrap/>
            <w:vAlign w:val="bottom"/>
          </w:tcPr>
          <w:p w14:paraId="4A9DE300" w14:textId="06ADCBAC" w:rsidR="0035042D" w:rsidRPr="002A7906" w:rsidRDefault="00F51DB0"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2,408,033</w:t>
            </w:r>
          </w:p>
        </w:tc>
        <w:tc>
          <w:tcPr>
            <w:tcW w:w="169" w:type="dxa"/>
            <w:tcBorders>
              <w:left w:val="nil"/>
              <w:right w:val="nil"/>
            </w:tcBorders>
            <w:shd w:val="clear" w:color="auto" w:fill="auto"/>
            <w:noWrap/>
            <w:vAlign w:val="bottom"/>
          </w:tcPr>
          <w:p w14:paraId="261A55F0" w14:textId="77777777" w:rsidR="0035042D" w:rsidRPr="002A7906" w:rsidRDefault="0035042D"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5B5F90FB" w14:textId="1D1CA6D9" w:rsidR="0035042D"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2,050,134</w:t>
            </w:r>
          </w:p>
        </w:tc>
      </w:tr>
      <w:tr w:rsidR="0035042D" w:rsidRPr="002A7906" w14:paraId="7E327588" w14:textId="77777777" w:rsidTr="002A61FE">
        <w:trPr>
          <w:trHeight w:val="91"/>
          <w:jc w:val="right"/>
        </w:trPr>
        <w:tc>
          <w:tcPr>
            <w:tcW w:w="5924" w:type="dxa"/>
            <w:tcBorders>
              <w:top w:val="nil"/>
              <w:left w:val="nil"/>
              <w:bottom w:val="nil"/>
              <w:right w:val="nil"/>
            </w:tcBorders>
            <w:shd w:val="clear" w:color="auto" w:fill="auto"/>
            <w:noWrap/>
            <w:vAlign w:val="bottom"/>
          </w:tcPr>
          <w:p w14:paraId="4E6360AB" w14:textId="54717202" w:rsidR="0035042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Amortización de activos intangibles</w:t>
            </w:r>
          </w:p>
        </w:tc>
        <w:tc>
          <w:tcPr>
            <w:tcW w:w="1502" w:type="dxa"/>
            <w:tcBorders>
              <w:left w:val="nil"/>
              <w:right w:val="nil"/>
            </w:tcBorders>
            <w:shd w:val="clear" w:color="auto" w:fill="auto"/>
            <w:noWrap/>
            <w:vAlign w:val="bottom"/>
          </w:tcPr>
          <w:p w14:paraId="558062E0" w14:textId="4E8BC65F" w:rsidR="0035042D" w:rsidRPr="002A7906" w:rsidRDefault="005360F3"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2,218,087</w:t>
            </w:r>
          </w:p>
        </w:tc>
        <w:tc>
          <w:tcPr>
            <w:tcW w:w="169" w:type="dxa"/>
            <w:tcBorders>
              <w:left w:val="nil"/>
              <w:right w:val="nil"/>
            </w:tcBorders>
            <w:shd w:val="clear" w:color="auto" w:fill="auto"/>
            <w:noWrap/>
            <w:vAlign w:val="bottom"/>
          </w:tcPr>
          <w:p w14:paraId="395E14A6" w14:textId="77777777" w:rsidR="0035042D" w:rsidRPr="002A7906" w:rsidRDefault="0035042D"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694B0602" w14:textId="0FC7CD86" w:rsidR="0035042D"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2,724,375</w:t>
            </w:r>
          </w:p>
        </w:tc>
      </w:tr>
      <w:tr w:rsidR="0035042D" w:rsidRPr="002A7906" w14:paraId="1C12F3F5" w14:textId="77777777" w:rsidTr="002A61FE">
        <w:trPr>
          <w:trHeight w:val="60"/>
          <w:jc w:val="right"/>
        </w:trPr>
        <w:tc>
          <w:tcPr>
            <w:tcW w:w="5924" w:type="dxa"/>
            <w:tcBorders>
              <w:top w:val="nil"/>
              <w:left w:val="nil"/>
              <w:bottom w:val="nil"/>
              <w:right w:val="nil"/>
            </w:tcBorders>
            <w:shd w:val="clear" w:color="auto" w:fill="auto"/>
            <w:noWrap/>
            <w:vAlign w:val="bottom"/>
          </w:tcPr>
          <w:p w14:paraId="70426F5C" w14:textId="61373B91" w:rsidR="0035042D" w:rsidRPr="002A7906" w:rsidRDefault="00F3397F" w:rsidP="00F36A0D">
            <w:pPr>
              <w:spacing w:after="0" w:line="240" w:lineRule="auto"/>
              <w:ind w:left="-75"/>
              <w:rPr>
                <w:rFonts w:ascii="Arial" w:hAnsi="Arial" w:cs="Arial"/>
                <w:sz w:val="17"/>
                <w:szCs w:val="17"/>
              </w:rPr>
            </w:pPr>
            <w:r w:rsidRPr="002A7906">
              <w:rPr>
                <w:rFonts w:ascii="Arial" w:hAnsi="Arial" w:cs="Arial"/>
                <w:sz w:val="17"/>
                <w:szCs w:val="17"/>
              </w:rPr>
              <w:t>Provisión p</w:t>
            </w:r>
            <w:r w:rsidR="0035042D" w:rsidRPr="002A7906">
              <w:rPr>
                <w:rFonts w:ascii="Arial" w:hAnsi="Arial" w:cs="Arial"/>
                <w:sz w:val="17"/>
                <w:szCs w:val="17"/>
              </w:rPr>
              <w:t>articipación de trabajadores</w:t>
            </w:r>
          </w:p>
        </w:tc>
        <w:tc>
          <w:tcPr>
            <w:tcW w:w="1502" w:type="dxa"/>
            <w:tcBorders>
              <w:left w:val="nil"/>
              <w:right w:val="nil"/>
            </w:tcBorders>
            <w:shd w:val="clear" w:color="auto" w:fill="auto"/>
            <w:noWrap/>
            <w:vAlign w:val="bottom"/>
          </w:tcPr>
          <w:p w14:paraId="3FB71C53" w14:textId="0ADDDA35" w:rsidR="0035042D" w:rsidRPr="002A7906" w:rsidRDefault="005360F3"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8,409,062</w:t>
            </w:r>
          </w:p>
        </w:tc>
        <w:tc>
          <w:tcPr>
            <w:tcW w:w="169" w:type="dxa"/>
            <w:tcBorders>
              <w:left w:val="nil"/>
              <w:right w:val="nil"/>
            </w:tcBorders>
            <w:shd w:val="clear" w:color="auto" w:fill="auto"/>
            <w:noWrap/>
            <w:vAlign w:val="bottom"/>
          </w:tcPr>
          <w:p w14:paraId="6EC67863" w14:textId="77777777" w:rsidR="0035042D" w:rsidRPr="002A7906" w:rsidRDefault="0035042D"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4F055ECE" w14:textId="59191C4B" w:rsidR="0035042D"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5,669,456</w:t>
            </w:r>
          </w:p>
        </w:tc>
      </w:tr>
      <w:tr w:rsidR="0035042D" w:rsidRPr="002A7906" w14:paraId="6248014E" w14:textId="77777777" w:rsidTr="001F50C5">
        <w:trPr>
          <w:trHeight w:val="107"/>
          <w:jc w:val="right"/>
        </w:trPr>
        <w:tc>
          <w:tcPr>
            <w:tcW w:w="5924" w:type="dxa"/>
            <w:tcBorders>
              <w:top w:val="nil"/>
              <w:left w:val="nil"/>
              <w:bottom w:val="nil"/>
              <w:right w:val="nil"/>
            </w:tcBorders>
            <w:shd w:val="clear" w:color="auto" w:fill="auto"/>
            <w:noWrap/>
            <w:vAlign w:val="bottom"/>
          </w:tcPr>
          <w:p w14:paraId="4F61DF45" w14:textId="4225DC66" w:rsidR="0035042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Provisión beneficios definidos</w:t>
            </w:r>
          </w:p>
        </w:tc>
        <w:tc>
          <w:tcPr>
            <w:tcW w:w="1502" w:type="dxa"/>
            <w:tcBorders>
              <w:left w:val="nil"/>
              <w:right w:val="nil"/>
            </w:tcBorders>
            <w:shd w:val="clear" w:color="auto" w:fill="auto"/>
            <w:noWrap/>
            <w:vAlign w:val="bottom"/>
          </w:tcPr>
          <w:p w14:paraId="78BF34CD" w14:textId="13F576A4" w:rsidR="0035042D" w:rsidRPr="002A7906" w:rsidRDefault="005360F3"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1,477,173</w:t>
            </w:r>
          </w:p>
        </w:tc>
        <w:tc>
          <w:tcPr>
            <w:tcW w:w="169" w:type="dxa"/>
            <w:tcBorders>
              <w:left w:val="nil"/>
              <w:right w:val="nil"/>
            </w:tcBorders>
            <w:shd w:val="clear" w:color="auto" w:fill="auto"/>
            <w:noWrap/>
            <w:vAlign w:val="bottom"/>
          </w:tcPr>
          <w:p w14:paraId="5A599B66" w14:textId="77777777" w:rsidR="0035042D" w:rsidRPr="002A7906" w:rsidRDefault="0035042D"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3AAB8CDE" w14:textId="44411CB3" w:rsidR="0035042D" w:rsidRPr="002A7906" w:rsidRDefault="001D2A2B" w:rsidP="00580EBD">
            <w:pPr>
              <w:tabs>
                <w:tab w:val="decimal" w:pos="1276"/>
              </w:tabs>
              <w:spacing w:after="0" w:line="240" w:lineRule="auto"/>
              <w:rPr>
                <w:rFonts w:ascii="Arial" w:hAnsi="Arial" w:cs="Arial"/>
                <w:sz w:val="17"/>
                <w:szCs w:val="17"/>
              </w:rPr>
            </w:pPr>
            <w:r>
              <w:rPr>
                <w:rFonts w:ascii="Arial" w:hAnsi="Arial" w:cs="Arial"/>
                <w:sz w:val="17"/>
                <w:szCs w:val="17"/>
              </w:rPr>
              <w:t>2</w:t>
            </w:r>
            <w:r w:rsidR="004A65C5" w:rsidRPr="002A7906">
              <w:rPr>
                <w:rFonts w:ascii="Arial" w:hAnsi="Arial" w:cs="Arial"/>
                <w:sz w:val="17"/>
                <w:szCs w:val="17"/>
              </w:rPr>
              <w:t>,</w:t>
            </w:r>
            <w:r>
              <w:rPr>
                <w:rFonts w:ascii="Arial" w:hAnsi="Arial" w:cs="Arial"/>
                <w:sz w:val="17"/>
                <w:szCs w:val="17"/>
              </w:rPr>
              <w:t>189</w:t>
            </w:r>
            <w:r w:rsidR="004A65C5" w:rsidRPr="002A7906">
              <w:rPr>
                <w:rFonts w:ascii="Arial" w:hAnsi="Arial" w:cs="Arial"/>
                <w:sz w:val="17"/>
                <w:szCs w:val="17"/>
              </w:rPr>
              <w:t>,</w:t>
            </w:r>
            <w:r>
              <w:rPr>
                <w:rFonts w:ascii="Arial" w:hAnsi="Arial" w:cs="Arial"/>
                <w:sz w:val="17"/>
                <w:szCs w:val="17"/>
              </w:rPr>
              <w:t>211</w:t>
            </w:r>
          </w:p>
        </w:tc>
      </w:tr>
      <w:tr w:rsidR="00F3397F" w:rsidRPr="002A7906" w14:paraId="7E0FD399" w14:textId="77777777" w:rsidTr="002A61FE">
        <w:trPr>
          <w:trHeight w:val="171"/>
          <w:jc w:val="right"/>
        </w:trPr>
        <w:tc>
          <w:tcPr>
            <w:tcW w:w="5924" w:type="dxa"/>
            <w:tcBorders>
              <w:top w:val="nil"/>
              <w:left w:val="nil"/>
              <w:bottom w:val="nil"/>
              <w:right w:val="nil"/>
            </w:tcBorders>
            <w:shd w:val="clear" w:color="auto" w:fill="auto"/>
            <w:noWrap/>
            <w:vAlign w:val="bottom"/>
          </w:tcPr>
          <w:p w14:paraId="38B8E68B" w14:textId="626C2B00" w:rsidR="00F3397F" w:rsidRPr="002A7906" w:rsidRDefault="00F3397F" w:rsidP="00F36A0D">
            <w:pPr>
              <w:spacing w:after="0" w:line="240" w:lineRule="auto"/>
              <w:ind w:left="-75"/>
              <w:rPr>
                <w:rFonts w:ascii="Arial" w:hAnsi="Arial" w:cs="Arial"/>
                <w:sz w:val="17"/>
                <w:szCs w:val="17"/>
              </w:rPr>
            </w:pPr>
            <w:r w:rsidRPr="002A7906">
              <w:rPr>
                <w:rFonts w:ascii="Arial" w:hAnsi="Arial" w:cs="Arial"/>
                <w:sz w:val="17"/>
                <w:szCs w:val="17"/>
              </w:rPr>
              <w:t>Bajas y otros ajustes</w:t>
            </w:r>
          </w:p>
        </w:tc>
        <w:tc>
          <w:tcPr>
            <w:tcW w:w="1502" w:type="dxa"/>
            <w:tcBorders>
              <w:left w:val="nil"/>
              <w:right w:val="nil"/>
            </w:tcBorders>
            <w:shd w:val="clear" w:color="auto" w:fill="auto"/>
            <w:noWrap/>
            <w:vAlign w:val="bottom"/>
          </w:tcPr>
          <w:p w14:paraId="28713A3D" w14:textId="042F9FC1" w:rsidR="00F3397F" w:rsidRPr="002A7906" w:rsidRDefault="005360F3"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(681,410)</w:t>
            </w:r>
          </w:p>
        </w:tc>
        <w:tc>
          <w:tcPr>
            <w:tcW w:w="169" w:type="dxa"/>
            <w:tcBorders>
              <w:left w:val="nil"/>
              <w:right w:val="nil"/>
            </w:tcBorders>
            <w:shd w:val="clear" w:color="auto" w:fill="auto"/>
            <w:noWrap/>
            <w:vAlign w:val="bottom"/>
          </w:tcPr>
          <w:p w14:paraId="1AD4048A" w14:textId="77777777" w:rsidR="00F3397F" w:rsidRPr="002A7906" w:rsidRDefault="00F3397F"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52BED575" w14:textId="74D10BCF" w:rsidR="00F3397F" w:rsidRPr="002A7906" w:rsidRDefault="003C53FB" w:rsidP="00580EBD">
            <w:pPr>
              <w:tabs>
                <w:tab w:val="decimal" w:pos="1276"/>
              </w:tabs>
              <w:spacing w:after="0" w:line="240" w:lineRule="auto"/>
              <w:rPr>
                <w:rFonts w:ascii="Arial" w:hAnsi="Arial" w:cs="Arial"/>
                <w:sz w:val="17"/>
                <w:szCs w:val="17"/>
              </w:rPr>
            </w:pPr>
            <w:r w:rsidRPr="002A7906">
              <w:rPr>
                <w:rFonts w:ascii="Arial" w:hAnsi="Arial" w:cs="Arial"/>
                <w:sz w:val="17"/>
                <w:szCs w:val="17"/>
              </w:rPr>
              <w:t>(73,587)</w:t>
            </w:r>
          </w:p>
        </w:tc>
      </w:tr>
      <w:tr w:rsidR="0035042D" w:rsidRPr="002A7906" w14:paraId="3B9CF1AF" w14:textId="77777777" w:rsidTr="002A61FE">
        <w:trPr>
          <w:trHeight w:val="103"/>
          <w:jc w:val="right"/>
        </w:trPr>
        <w:tc>
          <w:tcPr>
            <w:tcW w:w="5924" w:type="dxa"/>
            <w:tcBorders>
              <w:top w:val="nil"/>
              <w:left w:val="nil"/>
              <w:right w:val="nil"/>
            </w:tcBorders>
            <w:shd w:val="clear" w:color="auto" w:fill="auto"/>
            <w:noWrap/>
            <w:vAlign w:val="bottom"/>
          </w:tcPr>
          <w:p w14:paraId="2AE77F9C" w14:textId="1E3478AC" w:rsidR="0035042D" w:rsidRPr="002A7906" w:rsidRDefault="0035042D" w:rsidP="00F36A0D">
            <w:pPr>
              <w:spacing w:after="0" w:line="240" w:lineRule="auto"/>
              <w:ind w:left="-75"/>
              <w:rPr>
                <w:rFonts w:ascii="Arial" w:hAnsi="Arial" w:cs="Arial"/>
                <w:sz w:val="17"/>
                <w:szCs w:val="17"/>
              </w:rPr>
            </w:pPr>
            <w:r w:rsidRPr="002A7906">
              <w:rPr>
                <w:rFonts w:ascii="Arial" w:hAnsi="Arial" w:cs="Arial"/>
                <w:sz w:val="17"/>
                <w:szCs w:val="17"/>
              </w:rPr>
              <w:t>Variación de i</w:t>
            </w:r>
            <w:r w:rsidR="005360F3" w:rsidRPr="002A7906">
              <w:rPr>
                <w:rFonts w:ascii="Arial" w:hAnsi="Arial" w:cs="Arial"/>
                <w:sz w:val="17"/>
                <w:szCs w:val="17"/>
              </w:rPr>
              <w:t>mpuestos diferidos</w:t>
            </w:r>
          </w:p>
        </w:tc>
        <w:tc>
          <w:tcPr>
            <w:tcW w:w="1502" w:type="dxa"/>
            <w:tcBorders>
              <w:left w:val="nil"/>
              <w:right w:val="nil"/>
            </w:tcBorders>
            <w:shd w:val="clear" w:color="auto" w:fill="auto"/>
            <w:noWrap/>
            <w:vAlign w:val="bottom"/>
          </w:tcPr>
          <w:p w14:paraId="0E175B7E" w14:textId="51BC4E0E" w:rsidR="0035042D" w:rsidRPr="002A7906" w:rsidRDefault="005360F3"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(1,571,924)</w:t>
            </w:r>
          </w:p>
        </w:tc>
        <w:tc>
          <w:tcPr>
            <w:tcW w:w="169" w:type="dxa"/>
            <w:tcBorders>
              <w:left w:val="nil"/>
              <w:right w:val="nil"/>
            </w:tcBorders>
            <w:shd w:val="clear" w:color="auto" w:fill="auto"/>
            <w:noWrap/>
            <w:vAlign w:val="bottom"/>
          </w:tcPr>
          <w:p w14:paraId="311D9FC1" w14:textId="77777777" w:rsidR="0035042D" w:rsidRPr="002A7906" w:rsidRDefault="0035042D"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588684AE" w14:textId="456A36A0" w:rsidR="0035042D"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358,270</w:t>
            </w:r>
          </w:p>
        </w:tc>
      </w:tr>
      <w:tr w:rsidR="00FE55C8" w:rsidRPr="002A7906" w14:paraId="7EC1298C" w14:textId="77777777" w:rsidTr="002A61FE">
        <w:trPr>
          <w:trHeight w:val="103"/>
          <w:jc w:val="right"/>
        </w:trPr>
        <w:tc>
          <w:tcPr>
            <w:tcW w:w="5924" w:type="dxa"/>
            <w:tcBorders>
              <w:top w:val="nil"/>
              <w:left w:val="nil"/>
              <w:right w:val="nil"/>
            </w:tcBorders>
            <w:shd w:val="clear" w:color="auto" w:fill="auto"/>
            <w:noWrap/>
            <w:vAlign w:val="bottom"/>
          </w:tcPr>
          <w:p w14:paraId="5ABC5446" w14:textId="08BD00B7" w:rsidR="00FE55C8" w:rsidRPr="002A7906" w:rsidRDefault="00FE55C8" w:rsidP="00F36A0D">
            <w:pPr>
              <w:spacing w:after="0" w:line="240" w:lineRule="auto"/>
              <w:ind w:left="-75"/>
              <w:rPr>
                <w:rFonts w:ascii="Arial" w:hAnsi="Arial" w:cs="Arial"/>
                <w:sz w:val="17"/>
                <w:szCs w:val="17"/>
              </w:rPr>
            </w:pPr>
            <w:r w:rsidRPr="002A7906">
              <w:rPr>
                <w:rFonts w:ascii="Arial" w:hAnsi="Arial" w:cs="Arial"/>
                <w:sz w:val="17"/>
                <w:szCs w:val="17"/>
              </w:rPr>
              <w:t>Otros movimientos menores en patrimonio</w:t>
            </w:r>
          </w:p>
        </w:tc>
        <w:tc>
          <w:tcPr>
            <w:tcW w:w="1502" w:type="dxa"/>
            <w:tcBorders>
              <w:left w:val="nil"/>
              <w:right w:val="nil"/>
            </w:tcBorders>
            <w:shd w:val="clear" w:color="auto" w:fill="auto"/>
            <w:noWrap/>
            <w:vAlign w:val="bottom"/>
          </w:tcPr>
          <w:p w14:paraId="05F9E636" w14:textId="7B59A4B1" w:rsidR="00FE55C8" w:rsidRPr="002A7906" w:rsidRDefault="006B6799" w:rsidP="00F36A0D">
            <w:pPr>
              <w:tabs>
                <w:tab w:val="decimal" w:pos="1276"/>
              </w:tabs>
              <w:spacing w:after="0" w:line="240" w:lineRule="auto"/>
              <w:rPr>
                <w:rFonts w:ascii="Arial" w:eastAsia="Times New Roman" w:hAnsi="Arial" w:cs="Arial"/>
                <w:sz w:val="17"/>
                <w:szCs w:val="17"/>
                <w:lang w:val="es-MX" w:eastAsia="es-MX"/>
              </w:rPr>
            </w:pPr>
            <w:r>
              <w:rPr>
                <w:rFonts w:ascii="Arial" w:eastAsia="Times New Roman" w:hAnsi="Arial" w:cs="Arial"/>
                <w:sz w:val="17"/>
                <w:szCs w:val="17"/>
                <w:lang w:val="es-MX" w:eastAsia="es-MX"/>
              </w:rPr>
              <w:t>-</w:t>
            </w:r>
          </w:p>
        </w:tc>
        <w:tc>
          <w:tcPr>
            <w:tcW w:w="169" w:type="dxa"/>
            <w:tcBorders>
              <w:left w:val="nil"/>
              <w:right w:val="nil"/>
            </w:tcBorders>
            <w:shd w:val="clear" w:color="auto" w:fill="auto"/>
            <w:noWrap/>
            <w:vAlign w:val="bottom"/>
          </w:tcPr>
          <w:p w14:paraId="5F0164DB" w14:textId="77777777" w:rsidR="00FE55C8" w:rsidRPr="002A7906" w:rsidRDefault="00FE55C8"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53870B16" w14:textId="32FAB1C3" w:rsidR="00FE55C8"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(1,881,937)</w:t>
            </w:r>
          </w:p>
        </w:tc>
      </w:tr>
      <w:tr w:rsidR="00262022" w:rsidRPr="002A7906" w14:paraId="03B9AA91" w14:textId="77777777" w:rsidTr="002A61FE">
        <w:trPr>
          <w:trHeight w:val="103"/>
          <w:jc w:val="right"/>
        </w:trPr>
        <w:tc>
          <w:tcPr>
            <w:tcW w:w="5924" w:type="dxa"/>
            <w:tcBorders>
              <w:top w:val="nil"/>
              <w:left w:val="nil"/>
              <w:right w:val="nil"/>
            </w:tcBorders>
            <w:shd w:val="clear" w:color="auto" w:fill="auto"/>
            <w:noWrap/>
            <w:vAlign w:val="bottom"/>
          </w:tcPr>
          <w:p w14:paraId="4BA2669B" w14:textId="653DC68E" w:rsidR="00262022" w:rsidRPr="002A7906" w:rsidRDefault="00262022" w:rsidP="00F36A0D">
            <w:pPr>
              <w:spacing w:after="0" w:line="240" w:lineRule="auto"/>
              <w:ind w:left="-75"/>
              <w:rPr>
                <w:rFonts w:ascii="Arial" w:hAnsi="Arial" w:cs="Arial"/>
                <w:sz w:val="17"/>
                <w:szCs w:val="17"/>
              </w:rPr>
            </w:pPr>
            <w:r w:rsidRPr="002A7906">
              <w:rPr>
                <w:rFonts w:ascii="Arial" w:hAnsi="Arial" w:cs="Arial"/>
                <w:sz w:val="17"/>
                <w:szCs w:val="17"/>
              </w:rPr>
              <w:t>Inversiones en asociadas</w:t>
            </w:r>
          </w:p>
        </w:tc>
        <w:tc>
          <w:tcPr>
            <w:tcW w:w="1502" w:type="dxa"/>
            <w:tcBorders>
              <w:left w:val="nil"/>
              <w:right w:val="nil"/>
            </w:tcBorders>
            <w:shd w:val="clear" w:color="auto" w:fill="auto"/>
            <w:noWrap/>
            <w:vAlign w:val="bottom"/>
          </w:tcPr>
          <w:p w14:paraId="304717E2" w14:textId="64FB8C02" w:rsidR="00262022" w:rsidRPr="002A7906" w:rsidRDefault="00F51DB0" w:rsidP="00F36A0D">
            <w:pPr>
              <w:tabs>
                <w:tab w:val="decimal" w:pos="1276"/>
              </w:tabs>
              <w:spacing w:after="0" w:line="240" w:lineRule="auto"/>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(3,058,572)</w:t>
            </w:r>
          </w:p>
        </w:tc>
        <w:tc>
          <w:tcPr>
            <w:tcW w:w="169" w:type="dxa"/>
            <w:tcBorders>
              <w:left w:val="nil"/>
              <w:right w:val="nil"/>
            </w:tcBorders>
            <w:shd w:val="clear" w:color="auto" w:fill="auto"/>
            <w:noWrap/>
            <w:vAlign w:val="bottom"/>
          </w:tcPr>
          <w:p w14:paraId="326C0F32" w14:textId="77777777" w:rsidR="00262022" w:rsidRPr="002A7906" w:rsidRDefault="00262022" w:rsidP="00F36A0D">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768FBFB0" w14:textId="4EFD5D36" w:rsidR="00262022" w:rsidRPr="002A7906" w:rsidRDefault="004A65C5" w:rsidP="00580EBD">
            <w:pPr>
              <w:tabs>
                <w:tab w:val="decimal" w:pos="1276"/>
              </w:tabs>
              <w:spacing w:after="0" w:line="240" w:lineRule="auto"/>
              <w:rPr>
                <w:rFonts w:ascii="Arial" w:hAnsi="Arial" w:cs="Arial"/>
                <w:sz w:val="17"/>
                <w:szCs w:val="17"/>
              </w:rPr>
            </w:pPr>
            <w:r w:rsidRPr="002A7906">
              <w:rPr>
                <w:rFonts w:ascii="Arial" w:hAnsi="Arial" w:cs="Arial"/>
                <w:sz w:val="17"/>
                <w:szCs w:val="17"/>
              </w:rPr>
              <w:t>-</w:t>
            </w:r>
          </w:p>
        </w:tc>
      </w:tr>
      <w:tr w:rsidR="00904ABF" w:rsidRPr="002A7906" w14:paraId="6E8902AE" w14:textId="77777777" w:rsidTr="002F21E3">
        <w:trPr>
          <w:trHeight w:val="60"/>
          <w:jc w:val="right"/>
        </w:trPr>
        <w:tc>
          <w:tcPr>
            <w:tcW w:w="5924" w:type="dxa"/>
            <w:tcBorders>
              <w:left w:val="nil"/>
              <w:right w:val="nil"/>
            </w:tcBorders>
            <w:shd w:val="clear" w:color="auto" w:fill="auto"/>
            <w:noWrap/>
            <w:vAlign w:val="bottom"/>
          </w:tcPr>
          <w:p w14:paraId="2A7C9894" w14:textId="77777777" w:rsidR="00904ABF" w:rsidRPr="002A7906" w:rsidRDefault="00904ABF" w:rsidP="00413455">
            <w:pPr>
              <w:spacing w:after="0" w:line="240" w:lineRule="auto"/>
              <w:ind w:left="-75"/>
              <w:rPr>
                <w:rFonts w:ascii="Arial" w:hAnsi="Arial" w:cs="Arial"/>
                <w:sz w:val="17"/>
                <w:szCs w:val="17"/>
              </w:rPr>
            </w:pPr>
          </w:p>
        </w:tc>
        <w:tc>
          <w:tcPr>
            <w:tcW w:w="1502" w:type="dxa"/>
            <w:tcBorders>
              <w:left w:val="nil"/>
              <w:right w:val="nil"/>
            </w:tcBorders>
            <w:shd w:val="clear" w:color="auto" w:fill="auto"/>
            <w:noWrap/>
            <w:vAlign w:val="bottom"/>
          </w:tcPr>
          <w:p w14:paraId="695A95D5" w14:textId="77777777" w:rsidR="00904ABF" w:rsidRPr="002A7906" w:rsidRDefault="00904ABF" w:rsidP="00413455">
            <w:pPr>
              <w:tabs>
                <w:tab w:val="decimal" w:pos="1276"/>
              </w:tabs>
              <w:spacing w:after="0" w:line="240" w:lineRule="auto"/>
              <w:rPr>
                <w:rFonts w:ascii="Arial" w:hAnsi="Arial" w:cs="Arial"/>
                <w:sz w:val="17"/>
                <w:szCs w:val="17"/>
              </w:rPr>
            </w:pPr>
          </w:p>
        </w:tc>
        <w:tc>
          <w:tcPr>
            <w:tcW w:w="169" w:type="dxa"/>
            <w:tcBorders>
              <w:left w:val="nil"/>
              <w:right w:val="nil"/>
            </w:tcBorders>
            <w:shd w:val="clear" w:color="auto" w:fill="auto"/>
            <w:noWrap/>
            <w:vAlign w:val="bottom"/>
          </w:tcPr>
          <w:p w14:paraId="5333005E" w14:textId="77777777" w:rsidR="00904ABF" w:rsidRPr="002A7906" w:rsidRDefault="00904ABF" w:rsidP="00413455">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66A1F6E1" w14:textId="77777777" w:rsidR="00904ABF" w:rsidRPr="002A7906" w:rsidRDefault="00904ABF" w:rsidP="00413455">
            <w:pPr>
              <w:tabs>
                <w:tab w:val="decimal" w:pos="1276"/>
              </w:tabs>
              <w:spacing w:after="0" w:line="240" w:lineRule="auto"/>
              <w:rPr>
                <w:rFonts w:ascii="Arial" w:hAnsi="Arial" w:cs="Arial"/>
                <w:sz w:val="17"/>
                <w:szCs w:val="17"/>
              </w:rPr>
            </w:pPr>
          </w:p>
        </w:tc>
      </w:tr>
      <w:tr w:rsidR="00173740" w:rsidRPr="002A7906" w14:paraId="1BCF3148" w14:textId="77777777" w:rsidTr="002F21E3">
        <w:trPr>
          <w:trHeight w:val="60"/>
          <w:jc w:val="right"/>
        </w:trPr>
        <w:tc>
          <w:tcPr>
            <w:tcW w:w="5924" w:type="dxa"/>
            <w:tcBorders>
              <w:top w:val="nil"/>
              <w:left w:val="nil"/>
              <w:right w:val="nil"/>
            </w:tcBorders>
            <w:shd w:val="clear" w:color="auto" w:fill="auto"/>
            <w:noWrap/>
            <w:vAlign w:val="bottom"/>
          </w:tcPr>
          <w:p w14:paraId="114AA1DC" w14:textId="5AD93708" w:rsidR="00173740" w:rsidRPr="002A7906" w:rsidRDefault="00173740" w:rsidP="00413455">
            <w:pPr>
              <w:spacing w:after="0" w:line="240" w:lineRule="auto"/>
              <w:ind w:left="-75"/>
              <w:rPr>
                <w:rFonts w:ascii="Arial" w:hAnsi="Arial" w:cs="Arial"/>
                <w:b/>
                <w:bCs/>
                <w:sz w:val="17"/>
                <w:szCs w:val="17"/>
                <w:u w:val="single"/>
              </w:rPr>
            </w:pPr>
            <w:r w:rsidRPr="002A7906">
              <w:rPr>
                <w:rFonts w:ascii="Arial" w:hAnsi="Arial" w:cs="Arial"/>
                <w:b/>
                <w:bCs/>
                <w:sz w:val="17"/>
                <w:szCs w:val="17"/>
                <w:u w:val="single"/>
              </w:rPr>
              <w:t>Cambio en activos y pasivos</w:t>
            </w:r>
          </w:p>
        </w:tc>
        <w:tc>
          <w:tcPr>
            <w:tcW w:w="1502" w:type="dxa"/>
            <w:tcBorders>
              <w:left w:val="nil"/>
              <w:right w:val="nil"/>
            </w:tcBorders>
            <w:shd w:val="clear" w:color="auto" w:fill="auto"/>
            <w:noWrap/>
            <w:vAlign w:val="bottom"/>
          </w:tcPr>
          <w:p w14:paraId="773026E5" w14:textId="77777777" w:rsidR="00173740" w:rsidRPr="002A7906" w:rsidRDefault="00173740" w:rsidP="00413455">
            <w:pPr>
              <w:tabs>
                <w:tab w:val="decimal" w:pos="1276"/>
              </w:tabs>
              <w:spacing w:after="0" w:line="240" w:lineRule="auto"/>
              <w:rPr>
                <w:rFonts w:ascii="Arial" w:hAnsi="Arial" w:cs="Arial"/>
                <w:sz w:val="17"/>
                <w:szCs w:val="17"/>
              </w:rPr>
            </w:pPr>
          </w:p>
        </w:tc>
        <w:tc>
          <w:tcPr>
            <w:tcW w:w="169" w:type="dxa"/>
            <w:tcBorders>
              <w:left w:val="nil"/>
              <w:right w:val="nil"/>
            </w:tcBorders>
            <w:shd w:val="clear" w:color="auto" w:fill="auto"/>
            <w:noWrap/>
            <w:vAlign w:val="bottom"/>
          </w:tcPr>
          <w:p w14:paraId="0D512551" w14:textId="77777777" w:rsidR="00173740" w:rsidRPr="002A7906" w:rsidRDefault="00173740" w:rsidP="00413455">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7D114D4B" w14:textId="77777777" w:rsidR="00173740" w:rsidRPr="002A7906" w:rsidRDefault="00173740" w:rsidP="00413455">
            <w:pPr>
              <w:tabs>
                <w:tab w:val="decimal" w:pos="1276"/>
              </w:tabs>
              <w:spacing w:after="0" w:line="240" w:lineRule="auto"/>
              <w:rPr>
                <w:rFonts w:ascii="Arial" w:hAnsi="Arial" w:cs="Arial"/>
                <w:sz w:val="17"/>
                <w:szCs w:val="17"/>
              </w:rPr>
            </w:pPr>
          </w:p>
        </w:tc>
      </w:tr>
      <w:tr w:rsidR="006B6799" w:rsidRPr="002A7906" w14:paraId="7A5358BB" w14:textId="77777777" w:rsidTr="002F21E3">
        <w:trPr>
          <w:trHeight w:val="60"/>
          <w:jc w:val="right"/>
        </w:trPr>
        <w:tc>
          <w:tcPr>
            <w:tcW w:w="5924" w:type="dxa"/>
            <w:tcBorders>
              <w:top w:val="nil"/>
              <w:left w:val="nil"/>
              <w:right w:val="nil"/>
            </w:tcBorders>
            <w:shd w:val="clear" w:color="auto" w:fill="auto"/>
            <w:noWrap/>
            <w:vAlign w:val="bottom"/>
          </w:tcPr>
          <w:p w14:paraId="52D7F06C" w14:textId="34BED757"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Documentos y cuentas por cobrar</w:t>
            </w:r>
          </w:p>
        </w:tc>
        <w:tc>
          <w:tcPr>
            <w:tcW w:w="1502" w:type="dxa"/>
            <w:tcBorders>
              <w:left w:val="nil"/>
              <w:right w:val="nil"/>
            </w:tcBorders>
            <w:shd w:val="clear" w:color="auto" w:fill="auto"/>
            <w:noWrap/>
            <w:vAlign w:val="bottom"/>
          </w:tcPr>
          <w:p w14:paraId="412F4DAE" w14:textId="7D10B6D1"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(17,234,046)</w:t>
            </w:r>
          </w:p>
        </w:tc>
        <w:tc>
          <w:tcPr>
            <w:tcW w:w="169" w:type="dxa"/>
            <w:tcBorders>
              <w:left w:val="nil"/>
              <w:right w:val="nil"/>
            </w:tcBorders>
            <w:shd w:val="clear" w:color="auto" w:fill="auto"/>
            <w:noWrap/>
            <w:vAlign w:val="bottom"/>
          </w:tcPr>
          <w:p w14:paraId="4EC3DC02"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4ADC23B9" w14:textId="023D3AA6"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(8,796,452)</w:t>
            </w:r>
          </w:p>
        </w:tc>
      </w:tr>
      <w:tr w:rsidR="006B6799" w:rsidRPr="002A7906" w14:paraId="481EF388" w14:textId="77777777" w:rsidTr="002F21E3">
        <w:trPr>
          <w:trHeight w:val="130"/>
          <w:jc w:val="right"/>
        </w:trPr>
        <w:tc>
          <w:tcPr>
            <w:tcW w:w="5924" w:type="dxa"/>
            <w:tcBorders>
              <w:top w:val="nil"/>
              <w:left w:val="nil"/>
              <w:right w:val="nil"/>
            </w:tcBorders>
            <w:shd w:val="clear" w:color="auto" w:fill="auto"/>
            <w:noWrap/>
            <w:vAlign w:val="bottom"/>
          </w:tcPr>
          <w:p w14:paraId="098A4805" w14:textId="698027EC"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Inventarios</w:t>
            </w:r>
          </w:p>
        </w:tc>
        <w:tc>
          <w:tcPr>
            <w:tcW w:w="1502" w:type="dxa"/>
            <w:tcBorders>
              <w:left w:val="nil"/>
              <w:right w:val="nil"/>
            </w:tcBorders>
            <w:shd w:val="clear" w:color="auto" w:fill="auto"/>
            <w:noWrap/>
            <w:vAlign w:val="bottom"/>
          </w:tcPr>
          <w:p w14:paraId="18F9923B" w14:textId="61AC2109"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221,528</w:t>
            </w:r>
          </w:p>
        </w:tc>
        <w:tc>
          <w:tcPr>
            <w:tcW w:w="169" w:type="dxa"/>
            <w:tcBorders>
              <w:left w:val="nil"/>
              <w:right w:val="nil"/>
            </w:tcBorders>
            <w:shd w:val="clear" w:color="auto" w:fill="auto"/>
            <w:noWrap/>
            <w:vAlign w:val="bottom"/>
          </w:tcPr>
          <w:p w14:paraId="396B8D91"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6E22CCFD" w14:textId="57198030"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(4,679,937)</w:t>
            </w:r>
          </w:p>
        </w:tc>
      </w:tr>
      <w:tr w:rsidR="006B6799" w:rsidRPr="002A7906" w14:paraId="608AAEF7" w14:textId="77777777" w:rsidTr="002F21E3">
        <w:trPr>
          <w:trHeight w:val="130"/>
          <w:jc w:val="right"/>
        </w:trPr>
        <w:tc>
          <w:tcPr>
            <w:tcW w:w="5924" w:type="dxa"/>
            <w:tcBorders>
              <w:top w:val="nil"/>
              <w:left w:val="nil"/>
              <w:right w:val="nil"/>
            </w:tcBorders>
            <w:shd w:val="clear" w:color="auto" w:fill="auto"/>
            <w:noWrap/>
            <w:vAlign w:val="bottom"/>
          </w:tcPr>
          <w:p w14:paraId="30D91AFA" w14:textId="71EFAC2D"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Activos por impuestos corrientes</w:t>
            </w:r>
          </w:p>
        </w:tc>
        <w:tc>
          <w:tcPr>
            <w:tcW w:w="1502" w:type="dxa"/>
            <w:tcBorders>
              <w:left w:val="nil"/>
              <w:right w:val="nil"/>
            </w:tcBorders>
            <w:shd w:val="clear" w:color="auto" w:fill="auto"/>
            <w:noWrap/>
            <w:vAlign w:val="bottom"/>
          </w:tcPr>
          <w:p w14:paraId="13ECB028" w14:textId="735919C6"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271,025</w:t>
            </w:r>
          </w:p>
        </w:tc>
        <w:tc>
          <w:tcPr>
            <w:tcW w:w="169" w:type="dxa"/>
            <w:tcBorders>
              <w:left w:val="nil"/>
              <w:right w:val="nil"/>
            </w:tcBorders>
            <w:shd w:val="clear" w:color="auto" w:fill="auto"/>
            <w:noWrap/>
            <w:vAlign w:val="bottom"/>
          </w:tcPr>
          <w:p w14:paraId="7A2E9F02"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6996FD92" w14:textId="7C00A89C"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1,714,619</w:t>
            </w:r>
          </w:p>
        </w:tc>
      </w:tr>
      <w:tr w:rsidR="006B6799" w:rsidRPr="002A7906" w14:paraId="5C648C7D" w14:textId="77777777" w:rsidTr="002F21E3">
        <w:trPr>
          <w:trHeight w:val="60"/>
          <w:jc w:val="right"/>
        </w:trPr>
        <w:tc>
          <w:tcPr>
            <w:tcW w:w="5924" w:type="dxa"/>
            <w:tcBorders>
              <w:top w:val="nil"/>
              <w:left w:val="nil"/>
              <w:right w:val="nil"/>
            </w:tcBorders>
            <w:shd w:val="clear" w:color="auto" w:fill="auto"/>
            <w:noWrap/>
            <w:vAlign w:val="bottom"/>
          </w:tcPr>
          <w:p w14:paraId="2654E0B5" w14:textId="2375E8C9"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Otros activos</w:t>
            </w:r>
          </w:p>
        </w:tc>
        <w:tc>
          <w:tcPr>
            <w:tcW w:w="1502" w:type="dxa"/>
            <w:tcBorders>
              <w:left w:val="nil"/>
              <w:right w:val="nil"/>
            </w:tcBorders>
            <w:shd w:val="clear" w:color="auto" w:fill="auto"/>
            <w:noWrap/>
            <w:vAlign w:val="bottom"/>
          </w:tcPr>
          <w:p w14:paraId="213D3C60" w14:textId="4D1CB757"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(707,135)</w:t>
            </w:r>
          </w:p>
        </w:tc>
        <w:tc>
          <w:tcPr>
            <w:tcW w:w="169" w:type="dxa"/>
            <w:tcBorders>
              <w:left w:val="nil"/>
              <w:right w:val="nil"/>
            </w:tcBorders>
            <w:shd w:val="clear" w:color="auto" w:fill="auto"/>
            <w:noWrap/>
            <w:vAlign w:val="bottom"/>
          </w:tcPr>
          <w:p w14:paraId="4541E054"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0B47CBDD" w14:textId="0F00CC62"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84,286</w:t>
            </w:r>
          </w:p>
        </w:tc>
      </w:tr>
      <w:tr w:rsidR="006B6799" w:rsidRPr="002A7906" w14:paraId="34367D2C" w14:textId="77777777" w:rsidTr="002F21E3">
        <w:trPr>
          <w:trHeight w:val="60"/>
          <w:jc w:val="right"/>
        </w:trPr>
        <w:tc>
          <w:tcPr>
            <w:tcW w:w="5924" w:type="dxa"/>
            <w:tcBorders>
              <w:top w:val="nil"/>
              <w:left w:val="nil"/>
              <w:right w:val="nil"/>
            </w:tcBorders>
            <w:shd w:val="clear" w:color="auto" w:fill="auto"/>
            <w:noWrap/>
            <w:vAlign w:val="bottom"/>
          </w:tcPr>
          <w:p w14:paraId="2F151785" w14:textId="4FF83367"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Documentos y cuentas por pagar</w:t>
            </w:r>
          </w:p>
        </w:tc>
        <w:tc>
          <w:tcPr>
            <w:tcW w:w="1502" w:type="dxa"/>
            <w:tcBorders>
              <w:left w:val="nil"/>
              <w:right w:val="nil"/>
            </w:tcBorders>
            <w:shd w:val="clear" w:color="auto" w:fill="auto"/>
            <w:noWrap/>
            <w:vAlign w:val="bottom"/>
          </w:tcPr>
          <w:p w14:paraId="573417FD" w14:textId="11993BB4"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6,035,833</w:t>
            </w:r>
          </w:p>
        </w:tc>
        <w:tc>
          <w:tcPr>
            <w:tcW w:w="169" w:type="dxa"/>
            <w:tcBorders>
              <w:left w:val="nil"/>
              <w:right w:val="nil"/>
            </w:tcBorders>
            <w:shd w:val="clear" w:color="auto" w:fill="auto"/>
            <w:noWrap/>
            <w:vAlign w:val="bottom"/>
          </w:tcPr>
          <w:p w14:paraId="04893A7A"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1F950D93" w14:textId="39E277CC"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14,712,471</w:t>
            </w:r>
          </w:p>
        </w:tc>
      </w:tr>
      <w:tr w:rsidR="006B6799" w:rsidRPr="002A7906" w14:paraId="26825286" w14:textId="77777777" w:rsidTr="002F21E3">
        <w:trPr>
          <w:trHeight w:val="60"/>
          <w:jc w:val="right"/>
        </w:trPr>
        <w:tc>
          <w:tcPr>
            <w:tcW w:w="5924" w:type="dxa"/>
            <w:tcBorders>
              <w:top w:val="nil"/>
              <w:left w:val="nil"/>
              <w:right w:val="nil"/>
            </w:tcBorders>
            <w:shd w:val="clear" w:color="auto" w:fill="auto"/>
            <w:noWrap/>
            <w:vAlign w:val="bottom"/>
          </w:tcPr>
          <w:p w14:paraId="06DE7599" w14:textId="22FAEA47"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Pasivos por impuestos corrientes</w:t>
            </w:r>
          </w:p>
        </w:tc>
        <w:tc>
          <w:tcPr>
            <w:tcW w:w="1502" w:type="dxa"/>
            <w:tcBorders>
              <w:left w:val="nil"/>
              <w:right w:val="nil"/>
            </w:tcBorders>
            <w:shd w:val="clear" w:color="auto" w:fill="auto"/>
            <w:noWrap/>
            <w:vAlign w:val="bottom"/>
          </w:tcPr>
          <w:p w14:paraId="1F5217F2" w14:textId="53B8BCEA"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2,643,846</w:t>
            </w:r>
          </w:p>
        </w:tc>
        <w:tc>
          <w:tcPr>
            <w:tcW w:w="169" w:type="dxa"/>
            <w:tcBorders>
              <w:left w:val="nil"/>
              <w:right w:val="nil"/>
            </w:tcBorders>
            <w:shd w:val="clear" w:color="auto" w:fill="auto"/>
            <w:noWrap/>
            <w:vAlign w:val="bottom"/>
          </w:tcPr>
          <w:p w14:paraId="2B6D5C95"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1D85866A" w14:textId="1554A499"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(7,470,499)</w:t>
            </w:r>
          </w:p>
        </w:tc>
      </w:tr>
      <w:tr w:rsidR="006B6799" w:rsidRPr="002A7906" w14:paraId="28C9067F" w14:textId="77777777" w:rsidTr="002F21E3">
        <w:trPr>
          <w:trHeight w:val="60"/>
          <w:jc w:val="right"/>
        </w:trPr>
        <w:tc>
          <w:tcPr>
            <w:tcW w:w="5924" w:type="dxa"/>
            <w:tcBorders>
              <w:top w:val="nil"/>
              <w:left w:val="nil"/>
              <w:right w:val="nil"/>
            </w:tcBorders>
            <w:shd w:val="clear" w:color="auto" w:fill="auto"/>
            <w:noWrap/>
            <w:vAlign w:val="bottom"/>
          </w:tcPr>
          <w:p w14:paraId="6B9025A0" w14:textId="467DE007"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Obligaciones acumuladas</w:t>
            </w:r>
          </w:p>
        </w:tc>
        <w:tc>
          <w:tcPr>
            <w:tcW w:w="1502" w:type="dxa"/>
            <w:tcBorders>
              <w:left w:val="nil"/>
              <w:right w:val="nil"/>
            </w:tcBorders>
            <w:shd w:val="clear" w:color="auto" w:fill="auto"/>
            <w:noWrap/>
            <w:vAlign w:val="bottom"/>
          </w:tcPr>
          <w:p w14:paraId="140058F9" w14:textId="7B31941D"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2,875,658</w:t>
            </w:r>
          </w:p>
        </w:tc>
        <w:tc>
          <w:tcPr>
            <w:tcW w:w="169" w:type="dxa"/>
            <w:tcBorders>
              <w:left w:val="nil"/>
              <w:right w:val="nil"/>
            </w:tcBorders>
            <w:shd w:val="clear" w:color="auto" w:fill="auto"/>
            <w:noWrap/>
            <w:vAlign w:val="bottom"/>
          </w:tcPr>
          <w:p w14:paraId="6C620705"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07B43E5C" w14:textId="582A1F5A"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(637,915)</w:t>
            </w:r>
          </w:p>
        </w:tc>
      </w:tr>
      <w:tr w:rsidR="006B6799" w:rsidRPr="002A7906" w14:paraId="735BB1CE" w14:textId="77777777" w:rsidTr="002F21E3">
        <w:trPr>
          <w:trHeight w:val="60"/>
          <w:jc w:val="right"/>
        </w:trPr>
        <w:tc>
          <w:tcPr>
            <w:tcW w:w="5924" w:type="dxa"/>
            <w:tcBorders>
              <w:top w:val="nil"/>
              <w:left w:val="nil"/>
              <w:right w:val="nil"/>
            </w:tcBorders>
            <w:shd w:val="clear" w:color="auto" w:fill="auto"/>
            <w:noWrap/>
            <w:vAlign w:val="bottom"/>
          </w:tcPr>
          <w:p w14:paraId="01E0B793" w14:textId="1482C744"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Impuesto a la renta pagado</w:t>
            </w:r>
          </w:p>
        </w:tc>
        <w:tc>
          <w:tcPr>
            <w:tcW w:w="1502" w:type="dxa"/>
            <w:tcBorders>
              <w:left w:val="nil"/>
              <w:right w:val="nil"/>
            </w:tcBorders>
            <w:shd w:val="clear" w:color="auto" w:fill="auto"/>
            <w:noWrap/>
            <w:vAlign w:val="bottom"/>
          </w:tcPr>
          <w:p w14:paraId="24EF3907" w14:textId="41CEA664"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(13,682,375)</w:t>
            </w:r>
          </w:p>
        </w:tc>
        <w:tc>
          <w:tcPr>
            <w:tcW w:w="169" w:type="dxa"/>
            <w:tcBorders>
              <w:left w:val="nil"/>
              <w:right w:val="nil"/>
            </w:tcBorders>
            <w:shd w:val="clear" w:color="auto" w:fill="auto"/>
            <w:noWrap/>
            <w:vAlign w:val="bottom"/>
          </w:tcPr>
          <w:p w14:paraId="086B84FC"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1FD96DF2" w14:textId="1E914E5D"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(7,316,715)</w:t>
            </w:r>
          </w:p>
        </w:tc>
      </w:tr>
      <w:tr w:rsidR="006B6799" w:rsidRPr="002A7906" w14:paraId="044C3F1E" w14:textId="77777777" w:rsidTr="002F21E3">
        <w:trPr>
          <w:trHeight w:val="60"/>
          <w:jc w:val="right"/>
        </w:trPr>
        <w:tc>
          <w:tcPr>
            <w:tcW w:w="5924" w:type="dxa"/>
            <w:tcBorders>
              <w:top w:val="nil"/>
              <w:left w:val="nil"/>
              <w:right w:val="nil"/>
            </w:tcBorders>
            <w:shd w:val="clear" w:color="auto" w:fill="auto"/>
            <w:noWrap/>
            <w:vAlign w:val="bottom"/>
          </w:tcPr>
          <w:p w14:paraId="06B786CA" w14:textId="5002FB07"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Participación de utilidades</w:t>
            </w:r>
          </w:p>
        </w:tc>
        <w:tc>
          <w:tcPr>
            <w:tcW w:w="1502" w:type="dxa"/>
            <w:tcBorders>
              <w:left w:val="nil"/>
              <w:right w:val="nil"/>
            </w:tcBorders>
            <w:shd w:val="clear" w:color="auto" w:fill="auto"/>
            <w:noWrap/>
            <w:vAlign w:val="bottom"/>
          </w:tcPr>
          <w:p w14:paraId="49BAA74F" w14:textId="2E3D9AB7"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(5,669,456)</w:t>
            </w:r>
          </w:p>
        </w:tc>
        <w:tc>
          <w:tcPr>
            <w:tcW w:w="169" w:type="dxa"/>
            <w:tcBorders>
              <w:left w:val="nil"/>
              <w:right w:val="nil"/>
            </w:tcBorders>
            <w:shd w:val="clear" w:color="auto" w:fill="auto"/>
            <w:noWrap/>
            <w:vAlign w:val="bottom"/>
          </w:tcPr>
          <w:p w14:paraId="18B156D2"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665C76F3" w14:textId="12CDD4B6"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(2,840,226)</w:t>
            </w:r>
          </w:p>
        </w:tc>
      </w:tr>
      <w:tr w:rsidR="006B6799" w:rsidRPr="002A7906" w14:paraId="16D2CBC1" w14:textId="77777777" w:rsidTr="002F21E3">
        <w:trPr>
          <w:trHeight w:val="60"/>
          <w:jc w:val="right"/>
        </w:trPr>
        <w:tc>
          <w:tcPr>
            <w:tcW w:w="5924" w:type="dxa"/>
            <w:tcBorders>
              <w:left w:val="nil"/>
              <w:bottom w:val="nil"/>
              <w:right w:val="nil"/>
            </w:tcBorders>
            <w:shd w:val="clear" w:color="auto" w:fill="auto"/>
            <w:noWrap/>
            <w:vAlign w:val="bottom"/>
          </w:tcPr>
          <w:p w14:paraId="76DE68C8" w14:textId="3744267B"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Jubilación patronal</w:t>
            </w:r>
          </w:p>
        </w:tc>
        <w:tc>
          <w:tcPr>
            <w:tcW w:w="1502" w:type="dxa"/>
            <w:tcBorders>
              <w:left w:val="nil"/>
              <w:right w:val="nil"/>
            </w:tcBorders>
            <w:shd w:val="clear" w:color="auto" w:fill="auto"/>
            <w:noWrap/>
            <w:vAlign w:val="bottom"/>
          </w:tcPr>
          <w:p w14:paraId="4D66B372" w14:textId="1DDBC541"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(1,908,636)</w:t>
            </w:r>
          </w:p>
        </w:tc>
        <w:tc>
          <w:tcPr>
            <w:tcW w:w="169" w:type="dxa"/>
            <w:tcBorders>
              <w:left w:val="nil"/>
              <w:right w:val="nil"/>
            </w:tcBorders>
            <w:shd w:val="clear" w:color="auto" w:fill="auto"/>
            <w:noWrap/>
            <w:vAlign w:val="bottom"/>
          </w:tcPr>
          <w:p w14:paraId="77FF00BD"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0CCC5B2F" w14:textId="59F667CE"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(685,257)</w:t>
            </w:r>
          </w:p>
        </w:tc>
      </w:tr>
      <w:tr w:rsidR="006B6799" w:rsidRPr="002A7906" w14:paraId="1CDD98A1" w14:textId="77777777" w:rsidTr="002A61FE">
        <w:trPr>
          <w:trHeight w:val="60"/>
          <w:jc w:val="right"/>
        </w:trPr>
        <w:tc>
          <w:tcPr>
            <w:tcW w:w="5924" w:type="dxa"/>
            <w:tcBorders>
              <w:left w:val="nil"/>
              <w:bottom w:val="nil"/>
              <w:right w:val="nil"/>
            </w:tcBorders>
            <w:shd w:val="clear" w:color="auto" w:fill="auto"/>
            <w:noWrap/>
            <w:vAlign w:val="bottom"/>
          </w:tcPr>
          <w:p w14:paraId="20661F2E" w14:textId="755EB3FE"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Otros pasivos</w:t>
            </w:r>
          </w:p>
        </w:tc>
        <w:tc>
          <w:tcPr>
            <w:tcW w:w="1502" w:type="dxa"/>
            <w:tcBorders>
              <w:left w:val="nil"/>
              <w:right w:val="nil"/>
            </w:tcBorders>
            <w:shd w:val="clear" w:color="auto" w:fill="auto"/>
            <w:noWrap/>
            <w:vAlign w:val="bottom"/>
          </w:tcPr>
          <w:p w14:paraId="08C6E2FC" w14:textId="75F8C722"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(7,721,032)</w:t>
            </w:r>
          </w:p>
        </w:tc>
        <w:tc>
          <w:tcPr>
            <w:tcW w:w="169" w:type="dxa"/>
            <w:tcBorders>
              <w:left w:val="nil"/>
              <w:bottom w:val="nil"/>
              <w:right w:val="nil"/>
            </w:tcBorders>
            <w:shd w:val="clear" w:color="auto" w:fill="auto"/>
            <w:noWrap/>
            <w:vAlign w:val="bottom"/>
          </w:tcPr>
          <w:p w14:paraId="50FE84A9"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right w:val="nil"/>
            </w:tcBorders>
            <w:shd w:val="clear" w:color="auto" w:fill="auto"/>
            <w:noWrap/>
            <w:vAlign w:val="bottom"/>
          </w:tcPr>
          <w:p w14:paraId="4F341A31" w14:textId="294306B9"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(9,606,796)</w:t>
            </w:r>
          </w:p>
        </w:tc>
      </w:tr>
      <w:tr w:rsidR="006B6799" w:rsidRPr="002A7906" w14:paraId="7F518543" w14:textId="77777777" w:rsidTr="002A61FE">
        <w:trPr>
          <w:trHeight w:val="126"/>
          <w:jc w:val="right"/>
        </w:trPr>
        <w:tc>
          <w:tcPr>
            <w:tcW w:w="5924" w:type="dxa"/>
            <w:tcBorders>
              <w:left w:val="nil"/>
              <w:bottom w:val="nil"/>
              <w:right w:val="nil"/>
            </w:tcBorders>
            <w:shd w:val="clear" w:color="auto" w:fill="auto"/>
            <w:noWrap/>
            <w:vAlign w:val="bottom"/>
          </w:tcPr>
          <w:p w14:paraId="1C1A86AC" w14:textId="4EFBBECC" w:rsidR="006B6799" w:rsidRPr="002A7906" w:rsidRDefault="006B6799" w:rsidP="006B6799">
            <w:pPr>
              <w:spacing w:after="0" w:line="240" w:lineRule="auto"/>
              <w:ind w:left="-75"/>
              <w:rPr>
                <w:rFonts w:ascii="Arial" w:hAnsi="Arial" w:cs="Arial"/>
                <w:sz w:val="17"/>
                <w:szCs w:val="17"/>
              </w:rPr>
            </w:pPr>
            <w:r w:rsidRPr="002A7906">
              <w:rPr>
                <w:rFonts w:ascii="Arial" w:hAnsi="Arial" w:cs="Arial"/>
                <w:sz w:val="17"/>
                <w:szCs w:val="17"/>
              </w:rPr>
              <w:t>Pasivos de contrato</w:t>
            </w:r>
          </w:p>
        </w:tc>
        <w:tc>
          <w:tcPr>
            <w:tcW w:w="1502" w:type="dxa"/>
            <w:tcBorders>
              <w:left w:val="nil"/>
              <w:bottom w:val="single" w:sz="4" w:space="0" w:color="auto"/>
              <w:right w:val="nil"/>
            </w:tcBorders>
            <w:shd w:val="clear" w:color="auto" w:fill="auto"/>
            <w:noWrap/>
            <w:vAlign w:val="bottom"/>
          </w:tcPr>
          <w:p w14:paraId="40AD3479" w14:textId="645EB216" w:rsidR="006B6799" w:rsidRPr="002A7906" w:rsidRDefault="006B6799" w:rsidP="006B6799">
            <w:pPr>
              <w:tabs>
                <w:tab w:val="decimal" w:pos="1276"/>
              </w:tabs>
              <w:spacing w:after="0" w:line="240" w:lineRule="auto"/>
              <w:rPr>
                <w:rFonts w:ascii="Arial" w:hAnsi="Arial" w:cs="Arial"/>
                <w:sz w:val="17"/>
                <w:szCs w:val="17"/>
              </w:rPr>
            </w:pPr>
            <w:r>
              <w:rPr>
                <w:rFonts w:ascii="Arial" w:hAnsi="Arial" w:cs="Arial"/>
                <w:sz w:val="17"/>
                <w:szCs w:val="17"/>
              </w:rPr>
              <w:t>(987,752)</w:t>
            </w:r>
          </w:p>
        </w:tc>
        <w:tc>
          <w:tcPr>
            <w:tcW w:w="169" w:type="dxa"/>
            <w:tcBorders>
              <w:left w:val="nil"/>
              <w:bottom w:val="nil"/>
              <w:right w:val="nil"/>
            </w:tcBorders>
            <w:shd w:val="clear" w:color="auto" w:fill="auto"/>
            <w:noWrap/>
            <w:vAlign w:val="bottom"/>
          </w:tcPr>
          <w:p w14:paraId="4FC2E471" w14:textId="77777777" w:rsidR="006B6799" w:rsidRPr="002A7906" w:rsidRDefault="006B6799" w:rsidP="006B6799">
            <w:pPr>
              <w:spacing w:after="0" w:line="240" w:lineRule="auto"/>
              <w:rPr>
                <w:rFonts w:ascii="Arial" w:eastAsia="Times New Roman" w:hAnsi="Arial" w:cs="Arial"/>
                <w:color w:val="000000"/>
                <w:sz w:val="17"/>
                <w:szCs w:val="17"/>
                <w:lang w:eastAsia="es-EC"/>
              </w:rPr>
            </w:pPr>
          </w:p>
        </w:tc>
        <w:tc>
          <w:tcPr>
            <w:tcW w:w="1502" w:type="dxa"/>
            <w:tcBorders>
              <w:left w:val="nil"/>
              <w:bottom w:val="single" w:sz="4" w:space="0" w:color="auto"/>
              <w:right w:val="nil"/>
            </w:tcBorders>
            <w:shd w:val="clear" w:color="auto" w:fill="auto"/>
            <w:noWrap/>
            <w:vAlign w:val="bottom"/>
          </w:tcPr>
          <w:p w14:paraId="02C29EC4" w14:textId="029E27E5" w:rsidR="006B6799" w:rsidRPr="002A7906" w:rsidRDefault="006B6799" w:rsidP="006B6799">
            <w:pPr>
              <w:tabs>
                <w:tab w:val="decimal" w:pos="1276"/>
              </w:tabs>
              <w:spacing w:after="0" w:line="240" w:lineRule="auto"/>
              <w:rPr>
                <w:rFonts w:ascii="Arial" w:hAnsi="Arial" w:cs="Arial"/>
                <w:sz w:val="17"/>
                <w:szCs w:val="17"/>
              </w:rPr>
            </w:pPr>
            <w:r w:rsidRPr="002A7906">
              <w:rPr>
                <w:rFonts w:ascii="Arial" w:hAnsi="Arial" w:cs="Arial"/>
                <w:sz w:val="17"/>
                <w:szCs w:val="17"/>
              </w:rPr>
              <w:t>(8,643,863)</w:t>
            </w:r>
          </w:p>
        </w:tc>
      </w:tr>
      <w:tr w:rsidR="00B155F3" w:rsidRPr="002A7906" w14:paraId="06A5F78C" w14:textId="77777777" w:rsidTr="001F50C5">
        <w:trPr>
          <w:trHeight w:val="50"/>
          <w:jc w:val="right"/>
        </w:trPr>
        <w:tc>
          <w:tcPr>
            <w:tcW w:w="5924" w:type="dxa"/>
            <w:tcBorders>
              <w:left w:val="nil"/>
              <w:bottom w:val="nil"/>
              <w:right w:val="nil"/>
            </w:tcBorders>
            <w:shd w:val="clear" w:color="auto" w:fill="auto"/>
            <w:noWrap/>
            <w:vAlign w:val="bottom"/>
          </w:tcPr>
          <w:p w14:paraId="29D0BE12" w14:textId="77777777" w:rsidR="00B155F3" w:rsidRPr="002A7906" w:rsidRDefault="00B155F3" w:rsidP="00413455">
            <w:pPr>
              <w:spacing w:after="0" w:line="240" w:lineRule="auto"/>
              <w:ind w:left="-75"/>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4818790E" w14:textId="77777777" w:rsidR="00B155F3" w:rsidRPr="002A7906" w:rsidRDefault="00B155F3" w:rsidP="00413455">
            <w:pPr>
              <w:tabs>
                <w:tab w:val="decimal" w:pos="1276"/>
              </w:tabs>
              <w:spacing w:after="0" w:line="240" w:lineRule="auto"/>
              <w:rPr>
                <w:rFonts w:ascii="Arial" w:hAnsi="Arial" w:cs="Arial"/>
                <w:sz w:val="17"/>
                <w:szCs w:val="17"/>
              </w:rPr>
            </w:pPr>
          </w:p>
        </w:tc>
        <w:tc>
          <w:tcPr>
            <w:tcW w:w="169" w:type="dxa"/>
            <w:tcBorders>
              <w:left w:val="nil"/>
              <w:bottom w:val="nil"/>
              <w:right w:val="nil"/>
            </w:tcBorders>
            <w:shd w:val="clear" w:color="auto" w:fill="auto"/>
            <w:noWrap/>
            <w:vAlign w:val="bottom"/>
          </w:tcPr>
          <w:p w14:paraId="6DE8E79F" w14:textId="77777777" w:rsidR="00B155F3" w:rsidRPr="002A7906" w:rsidRDefault="00B155F3" w:rsidP="00413455">
            <w:pPr>
              <w:spacing w:after="0" w:line="240" w:lineRule="auto"/>
              <w:rPr>
                <w:rFonts w:ascii="Arial" w:eastAsia="Times New Roman" w:hAnsi="Arial" w:cs="Arial"/>
                <w:color w:val="000000"/>
                <w:sz w:val="17"/>
                <w:szCs w:val="17"/>
                <w:lang w:eastAsia="es-EC"/>
              </w:rPr>
            </w:pPr>
          </w:p>
        </w:tc>
        <w:tc>
          <w:tcPr>
            <w:tcW w:w="1502" w:type="dxa"/>
            <w:tcBorders>
              <w:top w:val="single" w:sz="4" w:space="0" w:color="auto"/>
              <w:left w:val="nil"/>
              <w:right w:val="nil"/>
            </w:tcBorders>
            <w:shd w:val="clear" w:color="auto" w:fill="auto"/>
            <w:noWrap/>
            <w:vAlign w:val="bottom"/>
          </w:tcPr>
          <w:p w14:paraId="1B0AC14A" w14:textId="77777777" w:rsidR="00B155F3" w:rsidRPr="002A7906" w:rsidRDefault="00B155F3" w:rsidP="00413455">
            <w:pPr>
              <w:tabs>
                <w:tab w:val="decimal" w:pos="1276"/>
              </w:tabs>
              <w:spacing w:after="0" w:line="240" w:lineRule="auto"/>
              <w:rPr>
                <w:rFonts w:ascii="Arial" w:hAnsi="Arial" w:cs="Arial"/>
                <w:sz w:val="17"/>
                <w:szCs w:val="17"/>
              </w:rPr>
            </w:pPr>
          </w:p>
        </w:tc>
      </w:tr>
      <w:tr w:rsidR="00B155F3" w:rsidRPr="002A7906" w14:paraId="14070292" w14:textId="77777777" w:rsidTr="002A61FE">
        <w:trPr>
          <w:trHeight w:val="60"/>
          <w:jc w:val="right"/>
        </w:trPr>
        <w:tc>
          <w:tcPr>
            <w:tcW w:w="5924" w:type="dxa"/>
            <w:tcBorders>
              <w:left w:val="nil"/>
              <w:bottom w:val="nil"/>
              <w:right w:val="nil"/>
            </w:tcBorders>
            <w:shd w:val="clear" w:color="auto" w:fill="auto"/>
            <w:noWrap/>
            <w:vAlign w:val="bottom"/>
          </w:tcPr>
          <w:p w14:paraId="76167A5F" w14:textId="7F589C85" w:rsidR="00B155F3" w:rsidRPr="002A7906" w:rsidRDefault="007F5A65" w:rsidP="00413455">
            <w:pPr>
              <w:spacing w:after="0" w:line="240" w:lineRule="auto"/>
              <w:ind w:left="-75"/>
              <w:rPr>
                <w:rFonts w:ascii="Arial" w:hAnsi="Arial" w:cs="Arial"/>
                <w:sz w:val="17"/>
                <w:szCs w:val="17"/>
              </w:rPr>
            </w:pPr>
            <w:r w:rsidRPr="002A7906">
              <w:rPr>
                <w:rFonts w:ascii="Arial" w:hAnsi="Arial" w:cs="Arial"/>
                <w:sz w:val="17"/>
                <w:szCs w:val="17"/>
              </w:rPr>
              <w:t>Efe</w:t>
            </w:r>
            <w:r w:rsidR="00B155F3" w:rsidRPr="002A7906">
              <w:rPr>
                <w:rFonts w:ascii="Arial" w:hAnsi="Arial" w:cs="Arial"/>
                <w:sz w:val="17"/>
                <w:szCs w:val="17"/>
              </w:rPr>
              <w:t>ctivo</w:t>
            </w:r>
            <w:r w:rsidRPr="002A7906">
              <w:rPr>
                <w:rFonts w:ascii="Arial" w:hAnsi="Arial" w:cs="Arial"/>
                <w:sz w:val="17"/>
                <w:szCs w:val="17"/>
              </w:rPr>
              <w:t xml:space="preserve"> neto</w:t>
            </w:r>
            <w:r w:rsidR="00B155F3" w:rsidRPr="002A7906">
              <w:rPr>
                <w:rFonts w:ascii="Arial" w:hAnsi="Arial" w:cs="Arial"/>
                <w:sz w:val="17"/>
                <w:szCs w:val="17"/>
              </w:rPr>
              <w:t xml:space="preserve"> prov</w:t>
            </w:r>
            <w:r w:rsidR="00067110" w:rsidRPr="002A7906">
              <w:rPr>
                <w:rFonts w:ascii="Arial" w:hAnsi="Arial" w:cs="Arial"/>
                <w:sz w:val="17"/>
                <w:szCs w:val="17"/>
              </w:rPr>
              <w:t>eniente</w:t>
            </w:r>
            <w:r w:rsidR="00B155F3" w:rsidRPr="002A7906">
              <w:rPr>
                <w:rFonts w:ascii="Arial" w:hAnsi="Arial" w:cs="Arial"/>
                <w:sz w:val="17"/>
                <w:szCs w:val="17"/>
              </w:rPr>
              <w:t xml:space="preserve"> por las actividades de operación</w:t>
            </w:r>
          </w:p>
        </w:tc>
        <w:tc>
          <w:tcPr>
            <w:tcW w:w="1502" w:type="dxa"/>
            <w:tcBorders>
              <w:left w:val="nil"/>
              <w:bottom w:val="single" w:sz="4" w:space="0" w:color="auto"/>
              <w:right w:val="nil"/>
            </w:tcBorders>
            <w:shd w:val="clear" w:color="auto" w:fill="auto"/>
            <w:noWrap/>
            <w:vAlign w:val="bottom"/>
          </w:tcPr>
          <w:p w14:paraId="5761813A" w14:textId="1179C1BF" w:rsidR="00B155F3" w:rsidRPr="002A7906" w:rsidRDefault="00613084" w:rsidP="00413455">
            <w:pPr>
              <w:tabs>
                <w:tab w:val="decimal" w:pos="1276"/>
              </w:tabs>
              <w:spacing w:after="0" w:line="240" w:lineRule="auto"/>
              <w:rPr>
                <w:rFonts w:ascii="Arial" w:hAnsi="Arial" w:cs="Arial"/>
                <w:sz w:val="17"/>
                <w:szCs w:val="17"/>
              </w:rPr>
            </w:pPr>
            <w:r w:rsidRPr="002A7906">
              <w:rPr>
                <w:rFonts w:ascii="Arial" w:hAnsi="Arial" w:cs="Arial"/>
                <w:sz w:val="17"/>
                <w:szCs w:val="17"/>
              </w:rPr>
              <w:t>40,389,625</w:t>
            </w:r>
          </w:p>
        </w:tc>
        <w:tc>
          <w:tcPr>
            <w:tcW w:w="169" w:type="dxa"/>
            <w:tcBorders>
              <w:left w:val="nil"/>
              <w:bottom w:val="nil"/>
              <w:right w:val="nil"/>
            </w:tcBorders>
            <w:shd w:val="clear" w:color="auto" w:fill="auto"/>
            <w:noWrap/>
            <w:vAlign w:val="bottom"/>
          </w:tcPr>
          <w:p w14:paraId="52A76B81" w14:textId="77777777" w:rsidR="00B155F3" w:rsidRPr="002A7906" w:rsidRDefault="00B155F3" w:rsidP="00413455">
            <w:pPr>
              <w:spacing w:after="0" w:line="240" w:lineRule="auto"/>
              <w:rPr>
                <w:rFonts w:ascii="Arial" w:eastAsia="Times New Roman" w:hAnsi="Arial" w:cs="Arial"/>
                <w:color w:val="000000"/>
                <w:sz w:val="17"/>
                <w:szCs w:val="17"/>
                <w:lang w:eastAsia="es-EC"/>
              </w:rPr>
            </w:pPr>
          </w:p>
        </w:tc>
        <w:tc>
          <w:tcPr>
            <w:tcW w:w="1502" w:type="dxa"/>
            <w:tcBorders>
              <w:left w:val="nil"/>
              <w:bottom w:val="single" w:sz="4" w:space="0" w:color="auto"/>
              <w:right w:val="nil"/>
            </w:tcBorders>
            <w:shd w:val="clear" w:color="auto" w:fill="auto"/>
            <w:noWrap/>
            <w:vAlign w:val="bottom"/>
          </w:tcPr>
          <w:p w14:paraId="7BD4211B" w14:textId="3292ED4B" w:rsidR="00B155F3" w:rsidRPr="002A7906" w:rsidRDefault="00F12328" w:rsidP="00413455">
            <w:pPr>
              <w:tabs>
                <w:tab w:val="decimal" w:pos="1276"/>
              </w:tabs>
              <w:spacing w:after="0" w:line="240" w:lineRule="auto"/>
              <w:rPr>
                <w:rFonts w:ascii="Arial" w:hAnsi="Arial" w:cs="Arial"/>
                <w:sz w:val="17"/>
                <w:szCs w:val="17"/>
              </w:rPr>
            </w:pPr>
            <w:r w:rsidRPr="002A7906">
              <w:rPr>
                <w:rFonts w:ascii="Arial" w:hAnsi="Arial" w:cs="Arial"/>
                <w:sz w:val="17"/>
                <w:szCs w:val="17"/>
              </w:rPr>
              <w:t>39,925,297</w:t>
            </w:r>
          </w:p>
        </w:tc>
      </w:tr>
      <w:tr w:rsidR="00173740" w:rsidRPr="002A7906" w14:paraId="37C23EEE" w14:textId="77777777" w:rsidTr="001F50C5">
        <w:trPr>
          <w:trHeight w:val="50"/>
          <w:jc w:val="right"/>
        </w:trPr>
        <w:tc>
          <w:tcPr>
            <w:tcW w:w="5924" w:type="dxa"/>
            <w:tcBorders>
              <w:left w:val="nil"/>
              <w:bottom w:val="nil"/>
              <w:right w:val="nil"/>
            </w:tcBorders>
            <w:shd w:val="clear" w:color="auto" w:fill="auto"/>
            <w:noWrap/>
            <w:vAlign w:val="bottom"/>
          </w:tcPr>
          <w:p w14:paraId="104A4C71" w14:textId="77777777" w:rsidR="00173740" w:rsidRPr="002A7906" w:rsidRDefault="00173740" w:rsidP="00413455">
            <w:pPr>
              <w:spacing w:after="0" w:line="240" w:lineRule="auto"/>
              <w:ind w:left="-75"/>
              <w:rPr>
                <w:rFonts w:ascii="Arial" w:hAnsi="Arial" w:cs="Arial"/>
                <w:sz w:val="17"/>
                <w:szCs w:val="17"/>
              </w:rPr>
            </w:pPr>
          </w:p>
        </w:tc>
        <w:tc>
          <w:tcPr>
            <w:tcW w:w="1502" w:type="dxa"/>
            <w:tcBorders>
              <w:top w:val="single" w:sz="4" w:space="0" w:color="auto"/>
              <w:left w:val="nil"/>
              <w:bottom w:val="nil"/>
              <w:right w:val="nil"/>
            </w:tcBorders>
            <w:shd w:val="clear" w:color="auto" w:fill="auto"/>
            <w:noWrap/>
            <w:vAlign w:val="bottom"/>
          </w:tcPr>
          <w:p w14:paraId="0D635143" w14:textId="77777777" w:rsidR="00173740" w:rsidRPr="002A7906" w:rsidRDefault="00173740" w:rsidP="00413455">
            <w:pPr>
              <w:tabs>
                <w:tab w:val="decimal" w:pos="1276"/>
              </w:tabs>
              <w:spacing w:after="0" w:line="240" w:lineRule="auto"/>
              <w:rPr>
                <w:rFonts w:ascii="Arial" w:hAnsi="Arial" w:cs="Arial"/>
                <w:sz w:val="17"/>
                <w:szCs w:val="17"/>
              </w:rPr>
            </w:pPr>
          </w:p>
        </w:tc>
        <w:tc>
          <w:tcPr>
            <w:tcW w:w="169" w:type="dxa"/>
            <w:tcBorders>
              <w:left w:val="nil"/>
              <w:bottom w:val="nil"/>
              <w:right w:val="nil"/>
            </w:tcBorders>
            <w:shd w:val="clear" w:color="auto" w:fill="auto"/>
            <w:noWrap/>
            <w:vAlign w:val="bottom"/>
          </w:tcPr>
          <w:p w14:paraId="36313262" w14:textId="77777777" w:rsidR="00173740" w:rsidRPr="002A7906" w:rsidRDefault="00173740" w:rsidP="00413455">
            <w:pPr>
              <w:spacing w:after="0" w:line="240" w:lineRule="auto"/>
              <w:rPr>
                <w:rFonts w:ascii="Arial" w:eastAsia="Times New Roman" w:hAnsi="Arial" w:cs="Arial"/>
                <w:color w:val="000000"/>
                <w:sz w:val="17"/>
                <w:szCs w:val="17"/>
                <w:lang w:eastAsia="es-EC"/>
              </w:rPr>
            </w:pPr>
          </w:p>
        </w:tc>
        <w:tc>
          <w:tcPr>
            <w:tcW w:w="1502" w:type="dxa"/>
            <w:tcBorders>
              <w:top w:val="single" w:sz="4" w:space="0" w:color="auto"/>
              <w:left w:val="nil"/>
              <w:bottom w:val="nil"/>
              <w:right w:val="nil"/>
            </w:tcBorders>
            <w:shd w:val="clear" w:color="auto" w:fill="auto"/>
            <w:noWrap/>
            <w:vAlign w:val="bottom"/>
          </w:tcPr>
          <w:p w14:paraId="1866B88A" w14:textId="77777777" w:rsidR="00173740" w:rsidRPr="002A7906" w:rsidRDefault="00173740" w:rsidP="00413455">
            <w:pPr>
              <w:tabs>
                <w:tab w:val="decimal" w:pos="1276"/>
              </w:tabs>
              <w:spacing w:after="0" w:line="240" w:lineRule="auto"/>
              <w:rPr>
                <w:rFonts w:ascii="Arial" w:hAnsi="Arial" w:cs="Arial"/>
                <w:sz w:val="17"/>
                <w:szCs w:val="17"/>
              </w:rPr>
            </w:pPr>
          </w:p>
        </w:tc>
      </w:tr>
      <w:tr w:rsidR="00904ABF" w:rsidRPr="002A7906" w14:paraId="420AEC74" w14:textId="77777777" w:rsidTr="001F50C5">
        <w:trPr>
          <w:trHeight w:val="60"/>
          <w:jc w:val="right"/>
        </w:trPr>
        <w:tc>
          <w:tcPr>
            <w:tcW w:w="5924" w:type="dxa"/>
            <w:tcBorders>
              <w:top w:val="nil"/>
              <w:left w:val="nil"/>
              <w:bottom w:val="nil"/>
              <w:right w:val="nil"/>
            </w:tcBorders>
            <w:shd w:val="clear" w:color="auto" w:fill="auto"/>
            <w:noWrap/>
            <w:vAlign w:val="bottom"/>
          </w:tcPr>
          <w:p w14:paraId="1938D176" w14:textId="28EE482E" w:rsidR="00904ABF" w:rsidRPr="002A7906" w:rsidRDefault="00904ABF" w:rsidP="002F21E3">
            <w:pPr>
              <w:spacing w:after="0" w:line="240" w:lineRule="auto"/>
              <w:ind w:left="200" w:hanging="270"/>
              <w:rPr>
                <w:rFonts w:ascii="Arial" w:hAnsi="Arial" w:cs="Arial"/>
                <w:b/>
                <w:sz w:val="17"/>
                <w:szCs w:val="17"/>
              </w:rPr>
            </w:pPr>
            <w:r w:rsidRPr="002A7906">
              <w:rPr>
                <w:rFonts w:ascii="Arial" w:hAnsi="Arial" w:cs="Arial"/>
                <w:b/>
                <w:sz w:val="17"/>
                <w:szCs w:val="17"/>
              </w:rPr>
              <w:t xml:space="preserve">FLUJOS DE EFECTIVO </w:t>
            </w:r>
            <w:r w:rsidR="007F5A65" w:rsidRPr="002A7906">
              <w:rPr>
                <w:rFonts w:ascii="Arial" w:hAnsi="Arial" w:cs="Arial"/>
                <w:b/>
                <w:sz w:val="17"/>
                <w:szCs w:val="17"/>
              </w:rPr>
              <w:t>PARA</w:t>
            </w:r>
            <w:r w:rsidR="00C1110A" w:rsidRPr="002A7906">
              <w:rPr>
                <w:rFonts w:ascii="Arial" w:hAnsi="Arial" w:cs="Arial"/>
                <w:b/>
                <w:sz w:val="17"/>
                <w:szCs w:val="17"/>
              </w:rPr>
              <w:t xml:space="preserve"> </w:t>
            </w:r>
            <w:r w:rsidRPr="002A7906">
              <w:rPr>
                <w:rFonts w:ascii="Arial" w:hAnsi="Arial" w:cs="Arial"/>
                <w:b/>
                <w:sz w:val="17"/>
                <w:szCs w:val="17"/>
              </w:rPr>
              <w:t>ACTIVIDADES DE</w:t>
            </w:r>
            <w:r w:rsidR="00C1110A" w:rsidRPr="002A7906">
              <w:rPr>
                <w:rFonts w:ascii="Arial" w:hAnsi="Arial" w:cs="Arial"/>
                <w:b/>
                <w:sz w:val="17"/>
                <w:szCs w:val="17"/>
              </w:rPr>
              <w:t xml:space="preserve"> IN</w:t>
            </w:r>
            <w:r w:rsidRPr="002A7906">
              <w:rPr>
                <w:rFonts w:ascii="Arial" w:hAnsi="Arial" w:cs="Arial"/>
                <w:b/>
                <w:sz w:val="17"/>
                <w:szCs w:val="17"/>
              </w:rPr>
              <w:t>VERSIÓN:</w:t>
            </w:r>
          </w:p>
        </w:tc>
        <w:tc>
          <w:tcPr>
            <w:tcW w:w="1502" w:type="dxa"/>
            <w:tcBorders>
              <w:top w:val="nil"/>
              <w:left w:val="nil"/>
              <w:bottom w:val="nil"/>
              <w:right w:val="nil"/>
            </w:tcBorders>
            <w:shd w:val="clear" w:color="auto" w:fill="auto"/>
            <w:noWrap/>
            <w:vAlign w:val="bottom"/>
          </w:tcPr>
          <w:p w14:paraId="2A084D12" w14:textId="77777777" w:rsidR="00904ABF" w:rsidRPr="002A7906" w:rsidRDefault="00904ABF" w:rsidP="00413455">
            <w:pPr>
              <w:tabs>
                <w:tab w:val="decimal" w:pos="1276"/>
              </w:tabs>
              <w:spacing w:after="0" w:line="240" w:lineRule="auto"/>
              <w:rPr>
                <w:rFonts w:ascii="Arial" w:eastAsia="Times New Roman" w:hAnsi="Arial" w:cs="Arial"/>
                <w:color w:val="000000"/>
                <w:sz w:val="17"/>
                <w:szCs w:val="17"/>
                <w:lang w:eastAsia="es-EC"/>
              </w:rPr>
            </w:pPr>
          </w:p>
        </w:tc>
        <w:tc>
          <w:tcPr>
            <w:tcW w:w="169" w:type="dxa"/>
            <w:tcBorders>
              <w:top w:val="nil"/>
              <w:left w:val="nil"/>
              <w:bottom w:val="nil"/>
              <w:right w:val="nil"/>
            </w:tcBorders>
            <w:shd w:val="clear" w:color="auto" w:fill="auto"/>
            <w:noWrap/>
            <w:vAlign w:val="bottom"/>
          </w:tcPr>
          <w:p w14:paraId="1B816383" w14:textId="77777777" w:rsidR="00904ABF" w:rsidRPr="002A7906" w:rsidRDefault="00904ABF" w:rsidP="00413455">
            <w:pPr>
              <w:spacing w:after="0" w:line="240" w:lineRule="auto"/>
              <w:rPr>
                <w:rFonts w:ascii="Arial" w:eastAsia="Times New Roman" w:hAnsi="Arial" w:cs="Arial"/>
                <w:color w:val="000000"/>
                <w:sz w:val="17"/>
                <w:szCs w:val="17"/>
                <w:lang w:eastAsia="es-EC"/>
              </w:rPr>
            </w:pPr>
          </w:p>
        </w:tc>
        <w:tc>
          <w:tcPr>
            <w:tcW w:w="1502" w:type="dxa"/>
            <w:tcBorders>
              <w:top w:val="nil"/>
              <w:left w:val="nil"/>
              <w:bottom w:val="nil"/>
              <w:right w:val="nil"/>
            </w:tcBorders>
            <w:shd w:val="clear" w:color="auto" w:fill="auto"/>
            <w:noWrap/>
            <w:vAlign w:val="bottom"/>
          </w:tcPr>
          <w:p w14:paraId="4DD3665D" w14:textId="77777777" w:rsidR="00904ABF" w:rsidRPr="002A7906" w:rsidRDefault="00904ABF" w:rsidP="00413455">
            <w:pPr>
              <w:tabs>
                <w:tab w:val="decimal" w:pos="1276"/>
              </w:tabs>
              <w:spacing w:after="0" w:line="240" w:lineRule="auto"/>
              <w:rPr>
                <w:rFonts w:ascii="Arial" w:eastAsia="Times New Roman" w:hAnsi="Arial" w:cs="Arial"/>
                <w:color w:val="000000"/>
                <w:sz w:val="17"/>
                <w:szCs w:val="17"/>
                <w:lang w:eastAsia="es-EC"/>
              </w:rPr>
            </w:pPr>
          </w:p>
        </w:tc>
      </w:tr>
      <w:tr w:rsidR="000C7981" w:rsidRPr="002A7906" w14:paraId="1447F507" w14:textId="77777777" w:rsidTr="001F50C5">
        <w:trPr>
          <w:trHeight w:val="60"/>
          <w:jc w:val="right"/>
        </w:trPr>
        <w:tc>
          <w:tcPr>
            <w:tcW w:w="5924" w:type="dxa"/>
            <w:tcBorders>
              <w:top w:val="nil"/>
              <w:left w:val="nil"/>
              <w:bottom w:val="nil"/>
              <w:right w:val="nil"/>
            </w:tcBorders>
            <w:shd w:val="clear" w:color="auto" w:fill="auto"/>
            <w:noWrap/>
            <w:vAlign w:val="bottom"/>
          </w:tcPr>
          <w:p w14:paraId="6FCF9442" w14:textId="76617FAD" w:rsidR="000C7981" w:rsidRPr="002A7906" w:rsidRDefault="00BE4FA8" w:rsidP="000C7981">
            <w:pPr>
              <w:spacing w:after="0" w:line="240" w:lineRule="auto"/>
              <w:ind w:left="200" w:hanging="270"/>
              <w:rPr>
                <w:rFonts w:ascii="Arial" w:hAnsi="Arial" w:cs="Arial"/>
                <w:b/>
                <w:sz w:val="17"/>
                <w:szCs w:val="17"/>
              </w:rPr>
            </w:pPr>
            <w:r w:rsidRPr="002A7906">
              <w:rPr>
                <w:rFonts w:ascii="Arial" w:hAnsi="Arial" w:cs="Arial"/>
                <w:sz w:val="17"/>
                <w:szCs w:val="17"/>
              </w:rPr>
              <w:t>P</w:t>
            </w:r>
            <w:r w:rsidR="000C7981" w:rsidRPr="002A7906">
              <w:rPr>
                <w:rFonts w:ascii="Arial" w:hAnsi="Arial" w:cs="Arial"/>
                <w:sz w:val="17"/>
                <w:szCs w:val="17"/>
              </w:rPr>
              <w:t>ropiedades y equipos</w:t>
            </w:r>
          </w:p>
        </w:tc>
        <w:tc>
          <w:tcPr>
            <w:tcW w:w="1502" w:type="dxa"/>
            <w:tcBorders>
              <w:top w:val="nil"/>
              <w:left w:val="nil"/>
              <w:bottom w:val="nil"/>
              <w:right w:val="nil"/>
            </w:tcBorders>
            <w:shd w:val="clear" w:color="auto" w:fill="auto"/>
            <w:noWrap/>
            <w:vAlign w:val="bottom"/>
          </w:tcPr>
          <w:p w14:paraId="097798E6" w14:textId="6F708588" w:rsidR="000C7981" w:rsidRPr="002A7906" w:rsidRDefault="006F7D77" w:rsidP="000C7981">
            <w:pPr>
              <w:tabs>
                <w:tab w:val="decimal" w:pos="1276"/>
              </w:tabs>
              <w:spacing w:after="0" w:line="240" w:lineRule="auto"/>
              <w:rPr>
                <w:rFonts w:ascii="Arial" w:eastAsia="Times New Roman" w:hAnsi="Arial" w:cs="Arial"/>
                <w:color w:val="000000"/>
                <w:sz w:val="17"/>
                <w:szCs w:val="17"/>
                <w:lang w:eastAsia="es-EC"/>
              </w:rPr>
            </w:pPr>
            <w:r w:rsidRPr="002A7906">
              <w:rPr>
                <w:rFonts w:ascii="Arial" w:eastAsia="Times New Roman" w:hAnsi="Arial" w:cs="Arial"/>
                <w:color w:val="000000"/>
                <w:sz w:val="17"/>
                <w:szCs w:val="17"/>
                <w:lang w:eastAsia="es-EC"/>
              </w:rPr>
              <w:t>(30,054,562)</w:t>
            </w:r>
          </w:p>
        </w:tc>
        <w:tc>
          <w:tcPr>
            <w:tcW w:w="169" w:type="dxa"/>
            <w:tcBorders>
              <w:top w:val="nil"/>
              <w:left w:val="nil"/>
              <w:bottom w:val="nil"/>
              <w:right w:val="nil"/>
            </w:tcBorders>
            <w:shd w:val="clear" w:color="auto" w:fill="auto"/>
            <w:noWrap/>
            <w:vAlign w:val="bottom"/>
          </w:tcPr>
          <w:p w14:paraId="4C3158D7" w14:textId="77777777" w:rsidR="000C7981" w:rsidRPr="002A7906" w:rsidRDefault="000C7981" w:rsidP="000C7981">
            <w:pPr>
              <w:spacing w:after="0" w:line="240" w:lineRule="auto"/>
              <w:rPr>
                <w:rFonts w:ascii="Arial" w:eastAsia="Times New Roman" w:hAnsi="Arial" w:cs="Arial"/>
                <w:color w:val="000000"/>
                <w:sz w:val="17"/>
                <w:szCs w:val="17"/>
                <w:lang w:eastAsia="es-EC"/>
              </w:rPr>
            </w:pPr>
          </w:p>
        </w:tc>
        <w:tc>
          <w:tcPr>
            <w:tcW w:w="1502" w:type="dxa"/>
            <w:tcBorders>
              <w:top w:val="nil"/>
              <w:left w:val="nil"/>
              <w:bottom w:val="nil"/>
              <w:right w:val="nil"/>
            </w:tcBorders>
            <w:shd w:val="clear" w:color="auto" w:fill="auto"/>
            <w:noWrap/>
            <w:vAlign w:val="bottom"/>
          </w:tcPr>
          <w:p w14:paraId="1C2A0D2B" w14:textId="20B9E8AC" w:rsidR="000C7981" w:rsidRPr="002A7906" w:rsidRDefault="00BF321E" w:rsidP="000C7981">
            <w:pPr>
              <w:tabs>
                <w:tab w:val="decimal" w:pos="1276"/>
              </w:tabs>
              <w:spacing w:after="0" w:line="240" w:lineRule="auto"/>
              <w:rPr>
                <w:rFonts w:ascii="Arial" w:eastAsia="Times New Roman" w:hAnsi="Arial" w:cs="Arial"/>
                <w:color w:val="000000"/>
                <w:sz w:val="17"/>
                <w:szCs w:val="17"/>
                <w:lang w:eastAsia="es-EC"/>
              </w:rPr>
            </w:pPr>
            <w:r w:rsidRPr="002A7906">
              <w:rPr>
                <w:rFonts w:ascii="Arial" w:eastAsia="Times New Roman" w:hAnsi="Arial" w:cs="Arial"/>
                <w:color w:val="000000"/>
                <w:sz w:val="17"/>
                <w:szCs w:val="17"/>
                <w:lang w:eastAsia="es-EC"/>
              </w:rPr>
              <w:t>(7,694,789)</w:t>
            </w:r>
          </w:p>
        </w:tc>
      </w:tr>
      <w:tr w:rsidR="000C7981" w:rsidRPr="002A7906" w14:paraId="79499596" w14:textId="77777777" w:rsidTr="002F21E3">
        <w:trPr>
          <w:trHeight w:val="60"/>
          <w:jc w:val="right"/>
        </w:trPr>
        <w:tc>
          <w:tcPr>
            <w:tcW w:w="5924" w:type="dxa"/>
            <w:tcBorders>
              <w:top w:val="nil"/>
              <w:left w:val="nil"/>
              <w:bottom w:val="nil"/>
              <w:right w:val="nil"/>
            </w:tcBorders>
            <w:shd w:val="clear" w:color="auto" w:fill="auto"/>
            <w:noWrap/>
            <w:vAlign w:val="bottom"/>
          </w:tcPr>
          <w:p w14:paraId="381E02D8" w14:textId="6E424F71"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Activos por derecho de uso</w:t>
            </w:r>
          </w:p>
        </w:tc>
        <w:tc>
          <w:tcPr>
            <w:tcW w:w="1502" w:type="dxa"/>
            <w:tcBorders>
              <w:top w:val="nil"/>
              <w:left w:val="nil"/>
              <w:right w:val="nil"/>
            </w:tcBorders>
            <w:shd w:val="clear" w:color="auto" w:fill="auto"/>
            <w:noWrap/>
            <w:vAlign w:val="bottom"/>
          </w:tcPr>
          <w:p w14:paraId="66978A18" w14:textId="01CBFD5D" w:rsidR="000C7981" w:rsidRPr="002A7906" w:rsidRDefault="006F7D77"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(2,210,500)</w:t>
            </w:r>
          </w:p>
        </w:tc>
        <w:tc>
          <w:tcPr>
            <w:tcW w:w="169" w:type="dxa"/>
            <w:tcBorders>
              <w:top w:val="nil"/>
              <w:left w:val="nil"/>
              <w:bottom w:val="nil"/>
              <w:right w:val="nil"/>
            </w:tcBorders>
            <w:shd w:val="clear" w:color="auto" w:fill="auto"/>
            <w:noWrap/>
            <w:vAlign w:val="bottom"/>
          </w:tcPr>
          <w:p w14:paraId="5E99990D"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45917BDD" w14:textId="3A293B12"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205,582</w:t>
            </w:r>
          </w:p>
        </w:tc>
      </w:tr>
      <w:tr w:rsidR="000C7981" w:rsidRPr="002A7906" w14:paraId="642624EF" w14:textId="77777777" w:rsidTr="002F21E3">
        <w:trPr>
          <w:trHeight w:val="77"/>
          <w:jc w:val="right"/>
        </w:trPr>
        <w:tc>
          <w:tcPr>
            <w:tcW w:w="5924" w:type="dxa"/>
            <w:tcBorders>
              <w:top w:val="nil"/>
              <w:left w:val="nil"/>
              <w:bottom w:val="nil"/>
              <w:right w:val="nil"/>
            </w:tcBorders>
            <w:shd w:val="clear" w:color="auto" w:fill="auto"/>
            <w:noWrap/>
            <w:vAlign w:val="bottom"/>
          </w:tcPr>
          <w:p w14:paraId="594015FE" w14:textId="37098A5E" w:rsidR="000C7981" w:rsidRPr="002A7906" w:rsidRDefault="00D21D57" w:rsidP="000C7981">
            <w:pPr>
              <w:spacing w:after="0" w:line="240" w:lineRule="auto"/>
              <w:ind w:left="-75"/>
              <w:rPr>
                <w:rFonts w:ascii="Arial" w:hAnsi="Arial" w:cs="Arial"/>
                <w:sz w:val="17"/>
                <w:szCs w:val="17"/>
              </w:rPr>
            </w:pPr>
            <w:r w:rsidRPr="002A7906">
              <w:rPr>
                <w:rFonts w:ascii="Arial" w:hAnsi="Arial" w:cs="Arial"/>
                <w:sz w:val="17"/>
                <w:szCs w:val="17"/>
              </w:rPr>
              <w:t>D</w:t>
            </w:r>
            <w:r w:rsidR="000C7981" w:rsidRPr="002A7906">
              <w:rPr>
                <w:rFonts w:ascii="Arial" w:hAnsi="Arial" w:cs="Arial"/>
                <w:sz w:val="17"/>
                <w:szCs w:val="17"/>
              </w:rPr>
              <w:t>erechos fiduciarios</w:t>
            </w:r>
          </w:p>
        </w:tc>
        <w:tc>
          <w:tcPr>
            <w:tcW w:w="1502" w:type="dxa"/>
            <w:tcBorders>
              <w:top w:val="nil"/>
              <w:left w:val="nil"/>
              <w:right w:val="nil"/>
            </w:tcBorders>
            <w:shd w:val="clear" w:color="auto" w:fill="auto"/>
            <w:noWrap/>
            <w:vAlign w:val="bottom"/>
          </w:tcPr>
          <w:p w14:paraId="0A989A8D" w14:textId="60464FF7" w:rsidR="000C7981" w:rsidRPr="002A7906" w:rsidRDefault="006F7D77"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(1,592,618)</w:t>
            </w:r>
          </w:p>
        </w:tc>
        <w:tc>
          <w:tcPr>
            <w:tcW w:w="169" w:type="dxa"/>
            <w:tcBorders>
              <w:top w:val="nil"/>
              <w:left w:val="nil"/>
              <w:bottom w:val="nil"/>
              <w:right w:val="nil"/>
            </w:tcBorders>
            <w:shd w:val="clear" w:color="auto" w:fill="auto"/>
            <w:noWrap/>
            <w:vAlign w:val="bottom"/>
          </w:tcPr>
          <w:p w14:paraId="1B6DCE92"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5E9A651E" w14:textId="0E997653"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(251,355)</w:t>
            </w:r>
          </w:p>
        </w:tc>
      </w:tr>
      <w:tr w:rsidR="000C7981" w:rsidRPr="002A7906" w14:paraId="18CFDEB5" w14:textId="77777777" w:rsidTr="002F21E3">
        <w:trPr>
          <w:trHeight w:val="60"/>
          <w:jc w:val="right"/>
        </w:trPr>
        <w:tc>
          <w:tcPr>
            <w:tcW w:w="5924" w:type="dxa"/>
            <w:tcBorders>
              <w:top w:val="nil"/>
              <w:left w:val="nil"/>
              <w:bottom w:val="nil"/>
              <w:right w:val="nil"/>
            </w:tcBorders>
            <w:shd w:val="clear" w:color="auto" w:fill="auto"/>
            <w:noWrap/>
            <w:vAlign w:val="bottom"/>
          </w:tcPr>
          <w:p w14:paraId="5BB60D33" w14:textId="3446994C" w:rsidR="000C7981" w:rsidRPr="002A7906" w:rsidRDefault="007D18A8" w:rsidP="000C7981">
            <w:pPr>
              <w:spacing w:after="0" w:line="240" w:lineRule="auto"/>
              <w:ind w:left="-75"/>
              <w:rPr>
                <w:rFonts w:ascii="Arial" w:hAnsi="Arial" w:cs="Arial"/>
                <w:sz w:val="17"/>
                <w:szCs w:val="17"/>
              </w:rPr>
            </w:pPr>
            <w:r w:rsidRPr="002A7906">
              <w:rPr>
                <w:rFonts w:ascii="Arial" w:hAnsi="Arial" w:cs="Arial"/>
                <w:sz w:val="17"/>
                <w:szCs w:val="17"/>
              </w:rPr>
              <w:t>I</w:t>
            </w:r>
            <w:r w:rsidR="000C7981" w:rsidRPr="002A7906">
              <w:rPr>
                <w:rFonts w:ascii="Arial" w:hAnsi="Arial" w:cs="Arial"/>
                <w:sz w:val="17"/>
                <w:szCs w:val="17"/>
              </w:rPr>
              <w:t>nversiones temporales</w:t>
            </w:r>
          </w:p>
        </w:tc>
        <w:tc>
          <w:tcPr>
            <w:tcW w:w="1502" w:type="dxa"/>
            <w:tcBorders>
              <w:top w:val="nil"/>
              <w:left w:val="nil"/>
              <w:right w:val="nil"/>
            </w:tcBorders>
            <w:shd w:val="clear" w:color="auto" w:fill="auto"/>
            <w:noWrap/>
            <w:vAlign w:val="bottom"/>
          </w:tcPr>
          <w:p w14:paraId="72253CAF" w14:textId="5DE4D00B" w:rsidR="000C7981" w:rsidRPr="002A7906" w:rsidRDefault="006F7D77"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250,797</w:t>
            </w:r>
          </w:p>
        </w:tc>
        <w:tc>
          <w:tcPr>
            <w:tcW w:w="169" w:type="dxa"/>
            <w:tcBorders>
              <w:top w:val="nil"/>
              <w:left w:val="nil"/>
              <w:bottom w:val="nil"/>
              <w:right w:val="nil"/>
            </w:tcBorders>
            <w:shd w:val="clear" w:color="auto" w:fill="auto"/>
            <w:noWrap/>
            <w:vAlign w:val="bottom"/>
          </w:tcPr>
          <w:p w14:paraId="1995F9A4"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2996C9FE" w14:textId="39A8889A"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(904,453)</w:t>
            </w:r>
          </w:p>
        </w:tc>
      </w:tr>
      <w:tr w:rsidR="000C7981" w:rsidRPr="002A7906" w14:paraId="69C6CFDE" w14:textId="77777777" w:rsidTr="001F50C5">
        <w:trPr>
          <w:trHeight w:val="60"/>
          <w:jc w:val="right"/>
        </w:trPr>
        <w:tc>
          <w:tcPr>
            <w:tcW w:w="5924" w:type="dxa"/>
            <w:tcBorders>
              <w:top w:val="nil"/>
              <w:left w:val="nil"/>
              <w:bottom w:val="nil"/>
              <w:right w:val="nil"/>
            </w:tcBorders>
            <w:shd w:val="clear" w:color="auto" w:fill="auto"/>
            <w:noWrap/>
            <w:vAlign w:val="bottom"/>
          </w:tcPr>
          <w:p w14:paraId="40147FA9" w14:textId="5F56B22F"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Activos intangibles</w:t>
            </w:r>
          </w:p>
        </w:tc>
        <w:tc>
          <w:tcPr>
            <w:tcW w:w="1502" w:type="dxa"/>
            <w:tcBorders>
              <w:top w:val="nil"/>
              <w:left w:val="nil"/>
              <w:right w:val="nil"/>
            </w:tcBorders>
            <w:shd w:val="clear" w:color="auto" w:fill="auto"/>
            <w:noWrap/>
            <w:vAlign w:val="bottom"/>
          </w:tcPr>
          <w:p w14:paraId="6D724B83" w14:textId="7A87F3EE" w:rsidR="000C7981" w:rsidRPr="002A7906" w:rsidRDefault="006F7D77"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(80,040)</w:t>
            </w:r>
          </w:p>
        </w:tc>
        <w:tc>
          <w:tcPr>
            <w:tcW w:w="169" w:type="dxa"/>
            <w:tcBorders>
              <w:top w:val="nil"/>
              <w:left w:val="nil"/>
              <w:bottom w:val="nil"/>
              <w:right w:val="nil"/>
            </w:tcBorders>
            <w:shd w:val="clear" w:color="auto" w:fill="auto"/>
            <w:noWrap/>
            <w:vAlign w:val="bottom"/>
          </w:tcPr>
          <w:p w14:paraId="54C7C79E"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0F41C8F3" w14:textId="52AAAAA0"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(1,484,399)</w:t>
            </w:r>
          </w:p>
        </w:tc>
      </w:tr>
      <w:tr w:rsidR="000C7981" w:rsidRPr="002A7906" w14:paraId="10842A2F" w14:textId="77777777" w:rsidTr="002A61FE">
        <w:trPr>
          <w:trHeight w:val="102"/>
          <w:jc w:val="right"/>
        </w:trPr>
        <w:tc>
          <w:tcPr>
            <w:tcW w:w="5924" w:type="dxa"/>
            <w:tcBorders>
              <w:top w:val="nil"/>
              <w:left w:val="nil"/>
              <w:bottom w:val="nil"/>
              <w:right w:val="nil"/>
            </w:tcBorders>
            <w:shd w:val="clear" w:color="auto" w:fill="auto"/>
            <w:noWrap/>
            <w:vAlign w:val="bottom"/>
          </w:tcPr>
          <w:p w14:paraId="1404C1B2" w14:textId="77777777" w:rsidR="000C7981" w:rsidRPr="002A7906" w:rsidRDefault="000C7981" w:rsidP="000C7981">
            <w:pPr>
              <w:spacing w:after="0" w:line="240" w:lineRule="auto"/>
              <w:ind w:left="-75"/>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0A9C16F6" w14:textId="77777777" w:rsidR="000C7981" w:rsidRPr="002A7906" w:rsidRDefault="000C7981" w:rsidP="000C7981">
            <w:pPr>
              <w:tabs>
                <w:tab w:val="decimal" w:pos="1276"/>
              </w:tabs>
              <w:spacing w:after="0" w:line="240" w:lineRule="auto"/>
              <w:ind w:right="-68"/>
              <w:rPr>
                <w:rFonts w:ascii="Arial" w:eastAsia="Times New Roman" w:hAnsi="Arial" w:cs="Arial"/>
                <w:sz w:val="17"/>
                <w:szCs w:val="17"/>
                <w:lang w:val="es-MX" w:eastAsia="es-MX"/>
              </w:rPr>
            </w:pPr>
          </w:p>
        </w:tc>
        <w:tc>
          <w:tcPr>
            <w:tcW w:w="169" w:type="dxa"/>
            <w:tcBorders>
              <w:top w:val="nil"/>
              <w:left w:val="nil"/>
              <w:right w:val="nil"/>
            </w:tcBorders>
            <w:shd w:val="clear" w:color="auto" w:fill="auto"/>
            <w:noWrap/>
            <w:vAlign w:val="bottom"/>
          </w:tcPr>
          <w:p w14:paraId="212982B5" w14:textId="77777777" w:rsidR="000C7981" w:rsidRPr="002A7906" w:rsidRDefault="000C7981" w:rsidP="000C7981">
            <w:pPr>
              <w:spacing w:after="0" w:line="240" w:lineRule="auto"/>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50881B17" w14:textId="77777777" w:rsidR="000C7981" w:rsidRPr="002A7906" w:rsidRDefault="000C7981" w:rsidP="000C7981">
            <w:pPr>
              <w:tabs>
                <w:tab w:val="decimal" w:pos="1276"/>
              </w:tabs>
              <w:spacing w:after="0" w:line="240" w:lineRule="auto"/>
              <w:ind w:right="-68"/>
              <w:rPr>
                <w:rFonts w:ascii="Arial" w:eastAsia="Times New Roman" w:hAnsi="Arial" w:cs="Arial"/>
                <w:sz w:val="17"/>
                <w:szCs w:val="17"/>
                <w:lang w:val="es-MX" w:eastAsia="es-MX"/>
              </w:rPr>
            </w:pPr>
          </w:p>
        </w:tc>
      </w:tr>
      <w:tr w:rsidR="000C7981" w:rsidRPr="002A7906" w14:paraId="2EE990DF" w14:textId="77777777" w:rsidTr="001F50C5">
        <w:trPr>
          <w:trHeight w:val="60"/>
          <w:jc w:val="right"/>
        </w:trPr>
        <w:tc>
          <w:tcPr>
            <w:tcW w:w="5924" w:type="dxa"/>
            <w:tcBorders>
              <w:top w:val="nil"/>
              <w:left w:val="nil"/>
              <w:bottom w:val="nil"/>
              <w:right w:val="nil"/>
            </w:tcBorders>
            <w:shd w:val="clear" w:color="auto" w:fill="auto"/>
            <w:noWrap/>
            <w:vAlign w:val="bottom"/>
          </w:tcPr>
          <w:p w14:paraId="05B77484" w14:textId="0196CB01"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 xml:space="preserve">Efectivo neto </w:t>
            </w:r>
            <w:r w:rsidR="001F50C5" w:rsidRPr="002A7906">
              <w:rPr>
                <w:rFonts w:ascii="Arial" w:hAnsi="Arial" w:cs="Arial"/>
                <w:sz w:val="17"/>
                <w:szCs w:val="17"/>
              </w:rPr>
              <w:t>utilizado</w:t>
            </w:r>
            <w:r w:rsidRPr="002A7906">
              <w:rPr>
                <w:rFonts w:ascii="Arial" w:hAnsi="Arial" w:cs="Arial"/>
                <w:sz w:val="17"/>
                <w:szCs w:val="17"/>
              </w:rPr>
              <w:t xml:space="preserve"> en actividades de inversión</w:t>
            </w:r>
          </w:p>
        </w:tc>
        <w:tc>
          <w:tcPr>
            <w:tcW w:w="1502" w:type="dxa"/>
            <w:tcBorders>
              <w:left w:val="nil"/>
              <w:right w:val="nil"/>
            </w:tcBorders>
            <w:shd w:val="clear" w:color="auto" w:fill="auto"/>
            <w:noWrap/>
            <w:vAlign w:val="bottom"/>
          </w:tcPr>
          <w:p w14:paraId="41DCF081" w14:textId="3286E7F2" w:rsidR="000C7981" w:rsidRPr="002A7906" w:rsidRDefault="006F7D77"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(33,686,923)</w:t>
            </w:r>
          </w:p>
        </w:tc>
        <w:tc>
          <w:tcPr>
            <w:tcW w:w="169" w:type="dxa"/>
            <w:tcBorders>
              <w:left w:val="nil"/>
              <w:bottom w:val="nil"/>
              <w:right w:val="nil"/>
            </w:tcBorders>
            <w:shd w:val="clear" w:color="auto" w:fill="auto"/>
            <w:noWrap/>
            <w:vAlign w:val="bottom"/>
          </w:tcPr>
          <w:p w14:paraId="54035A21" w14:textId="77777777" w:rsidR="000C7981" w:rsidRPr="002A7906" w:rsidRDefault="000C7981" w:rsidP="000C7981">
            <w:pPr>
              <w:spacing w:after="0" w:line="240" w:lineRule="auto"/>
              <w:rPr>
                <w:rFonts w:ascii="Arial" w:hAnsi="Arial" w:cs="Arial"/>
                <w:sz w:val="17"/>
                <w:szCs w:val="17"/>
              </w:rPr>
            </w:pPr>
          </w:p>
        </w:tc>
        <w:tc>
          <w:tcPr>
            <w:tcW w:w="1502" w:type="dxa"/>
            <w:tcBorders>
              <w:left w:val="nil"/>
              <w:right w:val="nil"/>
            </w:tcBorders>
            <w:shd w:val="clear" w:color="auto" w:fill="auto"/>
            <w:noWrap/>
            <w:vAlign w:val="bottom"/>
          </w:tcPr>
          <w:p w14:paraId="1FA598F4" w14:textId="1A8F23B3"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(10,129,414)</w:t>
            </w:r>
          </w:p>
        </w:tc>
      </w:tr>
      <w:tr w:rsidR="000C7981" w:rsidRPr="002A7906" w14:paraId="0682720A" w14:textId="77777777" w:rsidTr="002F21E3">
        <w:trPr>
          <w:trHeight w:val="50"/>
          <w:jc w:val="right"/>
        </w:trPr>
        <w:tc>
          <w:tcPr>
            <w:tcW w:w="5924" w:type="dxa"/>
            <w:tcBorders>
              <w:top w:val="nil"/>
              <w:left w:val="nil"/>
              <w:bottom w:val="nil"/>
              <w:right w:val="nil"/>
            </w:tcBorders>
            <w:shd w:val="clear" w:color="auto" w:fill="auto"/>
            <w:noWrap/>
            <w:vAlign w:val="bottom"/>
          </w:tcPr>
          <w:p w14:paraId="516798BF" w14:textId="77777777" w:rsidR="000C7981" w:rsidRPr="002A7906" w:rsidRDefault="000C7981" w:rsidP="000C7981">
            <w:pPr>
              <w:spacing w:after="0" w:line="240" w:lineRule="auto"/>
              <w:ind w:left="-75"/>
              <w:rPr>
                <w:rFonts w:ascii="Arial" w:hAnsi="Arial" w:cs="Arial"/>
                <w:sz w:val="17"/>
                <w:szCs w:val="17"/>
              </w:rPr>
            </w:pPr>
          </w:p>
        </w:tc>
        <w:tc>
          <w:tcPr>
            <w:tcW w:w="1502" w:type="dxa"/>
            <w:tcBorders>
              <w:top w:val="single" w:sz="4" w:space="0" w:color="auto"/>
              <w:left w:val="nil"/>
              <w:bottom w:val="nil"/>
              <w:right w:val="nil"/>
            </w:tcBorders>
            <w:shd w:val="clear" w:color="auto" w:fill="auto"/>
            <w:noWrap/>
            <w:vAlign w:val="bottom"/>
          </w:tcPr>
          <w:p w14:paraId="7000E05A"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top w:val="nil"/>
              <w:left w:val="nil"/>
              <w:bottom w:val="nil"/>
              <w:right w:val="nil"/>
            </w:tcBorders>
            <w:shd w:val="clear" w:color="auto" w:fill="auto"/>
            <w:noWrap/>
            <w:vAlign w:val="bottom"/>
          </w:tcPr>
          <w:p w14:paraId="6CABBE66" w14:textId="77777777" w:rsidR="000C7981" w:rsidRPr="002A7906" w:rsidRDefault="000C7981" w:rsidP="000C7981">
            <w:pPr>
              <w:spacing w:after="0" w:line="240" w:lineRule="auto"/>
              <w:rPr>
                <w:rFonts w:ascii="Arial" w:hAnsi="Arial" w:cs="Arial"/>
                <w:sz w:val="17"/>
                <w:szCs w:val="17"/>
              </w:rPr>
            </w:pPr>
          </w:p>
        </w:tc>
        <w:tc>
          <w:tcPr>
            <w:tcW w:w="1502" w:type="dxa"/>
            <w:tcBorders>
              <w:top w:val="single" w:sz="4" w:space="0" w:color="auto"/>
              <w:left w:val="nil"/>
              <w:bottom w:val="nil"/>
              <w:right w:val="nil"/>
            </w:tcBorders>
            <w:shd w:val="clear" w:color="auto" w:fill="auto"/>
            <w:noWrap/>
            <w:vAlign w:val="bottom"/>
          </w:tcPr>
          <w:p w14:paraId="13B449DD"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314EA1CF" w14:textId="77777777" w:rsidTr="002F21E3">
        <w:trPr>
          <w:trHeight w:val="60"/>
          <w:jc w:val="right"/>
        </w:trPr>
        <w:tc>
          <w:tcPr>
            <w:tcW w:w="5924" w:type="dxa"/>
            <w:tcBorders>
              <w:top w:val="nil"/>
              <w:left w:val="nil"/>
              <w:bottom w:val="nil"/>
              <w:right w:val="nil"/>
            </w:tcBorders>
            <w:shd w:val="clear" w:color="auto" w:fill="auto"/>
            <w:noWrap/>
            <w:vAlign w:val="bottom"/>
          </w:tcPr>
          <w:p w14:paraId="555D9970" w14:textId="254A361B" w:rsidR="000C7981" w:rsidRPr="002A7906" w:rsidRDefault="000C7981" w:rsidP="002F21E3">
            <w:pPr>
              <w:spacing w:after="0" w:line="240" w:lineRule="auto"/>
              <w:ind w:left="200" w:hanging="270"/>
              <w:rPr>
                <w:rFonts w:ascii="Arial" w:hAnsi="Arial" w:cs="Arial"/>
                <w:b/>
                <w:sz w:val="17"/>
                <w:szCs w:val="17"/>
              </w:rPr>
            </w:pPr>
            <w:r w:rsidRPr="002A7906">
              <w:rPr>
                <w:rFonts w:ascii="Arial" w:hAnsi="Arial" w:cs="Arial"/>
                <w:b/>
                <w:sz w:val="17"/>
                <w:szCs w:val="17"/>
              </w:rPr>
              <w:t>FLUJOS DE EFECTIVO DE (PARA) ACTIVIDADES DE FINANCIAMIENTO:</w:t>
            </w:r>
          </w:p>
        </w:tc>
        <w:tc>
          <w:tcPr>
            <w:tcW w:w="1502" w:type="dxa"/>
            <w:tcBorders>
              <w:top w:val="nil"/>
              <w:left w:val="nil"/>
              <w:right w:val="nil"/>
            </w:tcBorders>
            <w:shd w:val="clear" w:color="auto" w:fill="auto"/>
            <w:noWrap/>
            <w:vAlign w:val="bottom"/>
          </w:tcPr>
          <w:p w14:paraId="21BC4F38"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top w:val="nil"/>
              <w:left w:val="nil"/>
              <w:right w:val="nil"/>
            </w:tcBorders>
            <w:shd w:val="clear" w:color="auto" w:fill="auto"/>
            <w:noWrap/>
            <w:vAlign w:val="bottom"/>
          </w:tcPr>
          <w:p w14:paraId="5037D337"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08AEB47C"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06CCB052" w14:textId="77777777" w:rsidTr="001F50C5">
        <w:trPr>
          <w:trHeight w:val="60"/>
          <w:jc w:val="right"/>
        </w:trPr>
        <w:tc>
          <w:tcPr>
            <w:tcW w:w="5924" w:type="dxa"/>
            <w:tcBorders>
              <w:top w:val="nil"/>
              <w:left w:val="nil"/>
              <w:bottom w:val="nil"/>
              <w:right w:val="nil"/>
            </w:tcBorders>
            <w:shd w:val="clear" w:color="auto" w:fill="auto"/>
            <w:noWrap/>
            <w:vAlign w:val="bottom"/>
          </w:tcPr>
          <w:p w14:paraId="1E7BD814" w14:textId="03198691" w:rsidR="000C7981" w:rsidRPr="002A7906" w:rsidRDefault="00EB6A39" w:rsidP="000C7981">
            <w:pPr>
              <w:spacing w:after="0" w:line="240" w:lineRule="auto"/>
              <w:ind w:left="200" w:hanging="270"/>
              <w:rPr>
                <w:rFonts w:ascii="Arial" w:hAnsi="Arial" w:cs="Arial"/>
                <w:b/>
                <w:sz w:val="17"/>
                <w:szCs w:val="17"/>
              </w:rPr>
            </w:pPr>
            <w:r w:rsidRPr="002A7906">
              <w:rPr>
                <w:rFonts w:ascii="Arial" w:hAnsi="Arial" w:cs="Arial"/>
                <w:sz w:val="17"/>
                <w:szCs w:val="17"/>
              </w:rPr>
              <w:t>Otros pasivos financieros</w:t>
            </w:r>
          </w:p>
        </w:tc>
        <w:tc>
          <w:tcPr>
            <w:tcW w:w="1502" w:type="dxa"/>
            <w:tcBorders>
              <w:top w:val="nil"/>
              <w:left w:val="nil"/>
              <w:right w:val="nil"/>
            </w:tcBorders>
            <w:shd w:val="clear" w:color="auto" w:fill="auto"/>
            <w:noWrap/>
            <w:vAlign w:val="bottom"/>
          </w:tcPr>
          <w:p w14:paraId="101D304A" w14:textId="780D337D" w:rsidR="000C7981" w:rsidRPr="002A7906" w:rsidRDefault="00654BC1" w:rsidP="000C7981">
            <w:pPr>
              <w:tabs>
                <w:tab w:val="decimal" w:pos="1276"/>
              </w:tabs>
              <w:spacing w:after="0" w:line="240" w:lineRule="auto"/>
              <w:jc w:val="right"/>
              <w:rPr>
                <w:rFonts w:ascii="Arial" w:hAnsi="Arial" w:cs="Arial"/>
                <w:sz w:val="17"/>
                <w:szCs w:val="17"/>
              </w:rPr>
            </w:pPr>
            <w:r w:rsidRPr="002A7906">
              <w:rPr>
                <w:rFonts w:ascii="Arial" w:hAnsi="Arial" w:cs="Arial"/>
                <w:sz w:val="17"/>
                <w:szCs w:val="17"/>
              </w:rPr>
              <w:t>11,113,050</w:t>
            </w:r>
          </w:p>
        </w:tc>
        <w:tc>
          <w:tcPr>
            <w:tcW w:w="169" w:type="dxa"/>
            <w:tcBorders>
              <w:top w:val="nil"/>
              <w:left w:val="nil"/>
              <w:right w:val="nil"/>
            </w:tcBorders>
            <w:shd w:val="clear" w:color="auto" w:fill="auto"/>
            <w:noWrap/>
            <w:vAlign w:val="bottom"/>
          </w:tcPr>
          <w:p w14:paraId="4AD24320"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7F65FDF6" w14:textId="628CA9F0"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(8,550,313)</w:t>
            </w:r>
          </w:p>
        </w:tc>
      </w:tr>
      <w:tr w:rsidR="000C7981" w:rsidRPr="002A7906" w14:paraId="53618EB4" w14:textId="77777777" w:rsidTr="001F50C5">
        <w:trPr>
          <w:trHeight w:val="60"/>
          <w:jc w:val="right"/>
        </w:trPr>
        <w:tc>
          <w:tcPr>
            <w:tcW w:w="5924" w:type="dxa"/>
            <w:tcBorders>
              <w:top w:val="nil"/>
              <w:left w:val="nil"/>
              <w:bottom w:val="nil"/>
              <w:right w:val="nil"/>
            </w:tcBorders>
            <w:shd w:val="clear" w:color="auto" w:fill="auto"/>
            <w:noWrap/>
            <w:vAlign w:val="bottom"/>
          </w:tcPr>
          <w:p w14:paraId="5B51DB0E" w14:textId="0F0C74DE" w:rsidR="000C7981" w:rsidRPr="002A7906" w:rsidRDefault="000C7981" w:rsidP="000C7981">
            <w:pPr>
              <w:spacing w:after="0" w:line="240" w:lineRule="auto"/>
              <w:ind w:left="200" w:hanging="270"/>
              <w:rPr>
                <w:rFonts w:ascii="Arial" w:hAnsi="Arial" w:cs="Arial"/>
                <w:bCs/>
                <w:sz w:val="17"/>
                <w:szCs w:val="17"/>
              </w:rPr>
            </w:pPr>
            <w:r w:rsidRPr="002A7906">
              <w:rPr>
                <w:rFonts w:ascii="Arial" w:hAnsi="Arial" w:cs="Arial"/>
                <w:bCs/>
                <w:sz w:val="17"/>
                <w:szCs w:val="17"/>
              </w:rPr>
              <w:t>Pasivos por arrendamientos</w:t>
            </w:r>
          </w:p>
        </w:tc>
        <w:tc>
          <w:tcPr>
            <w:tcW w:w="1502" w:type="dxa"/>
            <w:tcBorders>
              <w:top w:val="nil"/>
              <w:left w:val="nil"/>
              <w:right w:val="nil"/>
            </w:tcBorders>
            <w:shd w:val="clear" w:color="auto" w:fill="auto"/>
            <w:noWrap/>
            <w:vAlign w:val="bottom"/>
          </w:tcPr>
          <w:p w14:paraId="6E4D7C9A" w14:textId="4BC8BF3A" w:rsidR="000C7981" w:rsidRPr="002A7906" w:rsidRDefault="00654BC1" w:rsidP="000C7981">
            <w:pPr>
              <w:tabs>
                <w:tab w:val="decimal" w:pos="1276"/>
              </w:tabs>
              <w:spacing w:after="0" w:line="240" w:lineRule="auto"/>
              <w:rPr>
                <w:rFonts w:ascii="Arial" w:hAnsi="Arial" w:cs="Arial"/>
                <w:sz w:val="17"/>
                <w:szCs w:val="17"/>
              </w:rPr>
            </w:pPr>
            <w:r w:rsidRPr="002A7906">
              <w:rPr>
                <w:rFonts w:ascii="Arial" w:hAnsi="Arial" w:cs="Arial"/>
                <w:sz w:val="17"/>
                <w:szCs w:val="17"/>
              </w:rPr>
              <w:t>(1,826,770)</w:t>
            </w:r>
          </w:p>
        </w:tc>
        <w:tc>
          <w:tcPr>
            <w:tcW w:w="169" w:type="dxa"/>
            <w:tcBorders>
              <w:top w:val="nil"/>
              <w:left w:val="nil"/>
              <w:right w:val="nil"/>
            </w:tcBorders>
            <w:shd w:val="clear" w:color="auto" w:fill="auto"/>
            <w:noWrap/>
            <w:vAlign w:val="bottom"/>
          </w:tcPr>
          <w:p w14:paraId="2DB21BF4"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24E72ACC" w14:textId="37EFD1BE"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w:t>
            </w:r>
            <w:r w:rsidR="00F12328" w:rsidRPr="002A7906">
              <w:rPr>
                <w:rFonts w:ascii="Arial" w:hAnsi="Arial" w:cs="Arial"/>
                <w:sz w:val="17"/>
                <w:szCs w:val="17"/>
              </w:rPr>
              <w:t>5,395,976</w:t>
            </w:r>
            <w:r w:rsidRPr="002A7906">
              <w:rPr>
                <w:rFonts w:ascii="Arial" w:hAnsi="Arial" w:cs="Arial"/>
                <w:sz w:val="17"/>
                <w:szCs w:val="17"/>
              </w:rPr>
              <w:t>)</w:t>
            </w:r>
          </w:p>
        </w:tc>
      </w:tr>
      <w:tr w:rsidR="000C7981" w:rsidRPr="002A7906" w14:paraId="11B56B3F" w14:textId="77777777" w:rsidTr="001F50C5">
        <w:trPr>
          <w:trHeight w:val="60"/>
          <w:jc w:val="right"/>
        </w:trPr>
        <w:tc>
          <w:tcPr>
            <w:tcW w:w="5924" w:type="dxa"/>
            <w:tcBorders>
              <w:top w:val="nil"/>
              <w:left w:val="nil"/>
              <w:bottom w:val="nil"/>
              <w:right w:val="nil"/>
            </w:tcBorders>
            <w:shd w:val="clear" w:color="auto" w:fill="auto"/>
            <w:noWrap/>
            <w:vAlign w:val="bottom"/>
          </w:tcPr>
          <w:p w14:paraId="30A254D9" w14:textId="7898DD74" w:rsidR="000C7981" w:rsidRPr="002A7906" w:rsidRDefault="00A52063" w:rsidP="000C7981">
            <w:pPr>
              <w:spacing w:after="0" w:line="240" w:lineRule="auto"/>
              <w:ind w:left="-75"/>
              <w:rPr>
                <w:rFonts w:ascii="Arial" w:hAnsi="Arial" w:cs="Arial"/>
                <w:sz w:val="17"/>
                <w:szCs w:val="17"/>
              </w:rPr>
            </w:pPr>
            <w:r w:rsidRPr="002A7906">
              <w:rPr>
                <w:rFonts w:ascii="Arial" w:hAnsi="Arial" w:cs="Arial"/>
                <w:sz w:val="17"/>
                <w:szCs w:val="17"/>
              </w:rPr>
              <w:t>Préstamos</w:t>
            </w:r>
          </w:p>
        </w:tc>
        <w:tc>
          <w:tcPr>
            <w:tcW w:w="1502" w:type="dxa"/>
            <w:tcBorders>
              <w:top w:val="nil"/>
              <w:left w:val="nil"/>
              <w:right w:val="nil"/>
            </w:tcBorders>
            <w:shd w:val="clear" w:color="auto" w:fill="auto"/>
            <w:noWrap/>
            <w:vAlign w:val="bottom"/>
          </w:tcPr>
          <w:p w14:paraId="66507D38" w14:textId="58181A58" w:rsidR="000C7981" w:rsidRPr="002A7906" w:rsidRDefault="00654BC1"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(516,990)</w:t>
            </w:r>
          </w:p>
        </w:tc>
        <w:tc>
          <w:tcPr>
            <w:tcW w:w="169" w:type="dxa"/>
            <w:tcBorders>
              <w:top w:val="nil"/>
              <w:left w:val="nil"/>
              <w:right w:val="nil"/>
            </w:tcBorders>
            <w:shd w:val="clear" w:color="auto" w:fill="auto"/>
            <w:noWrap/>
            <w:vAlign w:val="bottom"/>
          </w:tcPr>
          <w:p w14:paraId="38E0C455"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21D8B571" w14:textId="4ACC4573"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(12,364,222)</w:t>
            </w:r>
          </w:p>
        </w:tc>
      </w:tr>
      <w:tr w:rsidR="000C7981" w:rsidRPr="002A7906" w14:paraId="53654DCB" w14:textId="77777777" w:rsidTr="002F21E3">
        <w:trPr>
          <w:trHeight w:val="50"/>
          <w:jc w:val="right"/>
        </w:trPr>
        <w:tc>
          <w:tcPr>
            <w:tcW w:w="5924" w:type="dxa"/>
            <w:tcBorders>
              <w:top w:val="nil"/>
              <w:left w:val="nil"/>
              <w:bottom w:val="nil"/>
              <w:right w:val="nil"/>
            </w:tcBorders>
            <w:shd w:val="clear" w:color="auto" w:fill="auto"/>
            <w:noWrap/>
            <w:vAlign w:val="bottom"/>
          </w:tcPr>
          <w:p w14:paraId="26FC4A1C" w14:textId="77777777" w:rsidR="000C7981" w:rsidRPr="002A7906" w:rsidRDefault="000C7981" w:rsidP="000C7981">
            <w:pPr>
              <w:spacing w:after="0" w:line="240" w:lineRule="auto"/>
              <w:ind w:left="-75"/>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0C01034D"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left w:val="nil"/>
              <w:right w:val="nil"/>
            </w:tcBorders>
            <w:shd w:val="clear" w:color="auto" w:fill="auto"/>
            <w:noWrap/>
            <w:vAlign w:val="bottom"/>
          </w:tcPr>
          <w:p w14:paraId="1DE85773" w14:textId="77777777" w:rsidR="000C7981" w:rsidRPr="002A7906" w:rsidRDefault="000C7981" w:rsidP="000C7981">
            <w:pPr>
              <w:spacing w:after="0" w:line="240" w:lineRule="auto"/>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756F8C46"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244E2A93" w14:textId="77777777" w:rsidTr="001F50C5">
        <w:trPr>
          <w:trHeight w:val="71"/>
          <w:jc w:val="right"/>
        </w:trPr>
        <w:tc>
          <w:tcPr>
            <w:tcW w:w="5924" w:type="dxa"/>
            <w:tcBorders>
              <w:top w:val="nil"/>
              <w:left w:val="nil"/>
              <w:bottom w:val="nil"/>
              <w:right w:val="nil"/>
            </w:tcBorders>
            <w:shd w:val="clear" w:color="auto" w:fill="auto"/>
            <w:noWrap/>
            <w:vAlign w:val="bottom"/>
          </w:tcPr>
          <w:p w14:paraId="70664207" w14:textId="67633AB6"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 xml:space="preserve">Efectivo neto </w:t>
            </w:r>
            <w:r w:rsidR="00CA4610" w:rsidRPr="002A7906">
              <w:rPr>
                <w:rFonts w:ascii="Arial" w:hAnsi="Arial" w:cs="Arial"/>
                <w:sz w:val="17"/>
                <w:szCs w:val="17"/>
              </w:rPr>
              <w:t>proveniente (</w:t>
            </w:r>
            <w:r w:rsidRPr="002A7906">
              <w:rPr>
                <w:rFonts w:ascii="Arial" w:hAnsi="Arial" w:cs="Arial"/>
                <w:sz w:val="17"/>
                <w:szCs w:val="17"/>
              </w:rPr>
              <w:t>utilizado</w:t>
            </w:r>
            <w:r w:rsidR="00CA4610" w:rsidRPr="002A7906">
              <w:rPr>
                <w:rFonts w:ascii="Arial" w:hAnsi="Arial" w:cs="Arial"/>
                <w:sz w:val="17"/>
                <w:szCs w:val="17"/>
              </w:rPr>
              <w:t>)</w:t>
            </w:r>
            <w:r w:rsidRPr="002A7906">
              <w:rPr>
                <w:rFonts w:ascii="Arial" w:hAnsi="Arial" w:cs="Arial"/>
                <w:sz w:val="17"/>
                <w:szCs w:val="17"/>
              </w:rPr>
              <w:t xml:space="preserve"> en actividades de financiamiento</w:t>
            </w:r>
          </w:p>
        </w:tc>
        <w:tc>
          <w:tcPr>
            <w:tcW w:w="1502" w:type="dxa"/>
            <w:tcBorders>
              <w:left w:val="nil"/>
              <w:bottom w:val="single" w:sz="4" w:space="0" w:color="auto"/>
              <w:right w:val="nil"/>
            </w:tcBorders>
            <w:shd w:val="clear" w:color="auto" w:fill="auto"/>
            <w:noWrap/>
            <w:vAlign w:val="bottom"/>
          </w:tcPr>
          <w:p w14:paraId="02E1759F" w14:textId="630306CB" w:rsidR="000C7981" w:rsidRPr="002A7906" w:rsidRDefault="00654BC1" w:rsidP="000C7981">
            <w:pPr>
              <w:tabs>
                <w:tab w:val="decimal" w:pos="1276"/>
              </w:tabs>
              <w:spacing w:after="0" w:line="240" w:lineRule="auto"/>
              <w:ind w:right="-68"/>
              <w:rPr>
                <w:rFonts w:ascii="Arial" w:eastAsia="Times New Roman" w:hAnsi="Arial" w:cs="Arial"/>
                <w:sz w:val="17"/>
                <w:szCs w:val="17"/>
                <w:lang w:val="es-MX" w:eastAsia="es-MX"/>
              </w:rPr>
            </w:pPr>
            <w:r w:rsidRPr="002A7906">
              <w:rPr>
                <w:rFonts w:ascii="Arial" w:eastAsia="Times New Roman" w:hAnsi="Arial" w:cs="Arial"/>
                <w:sz w:val="17"/>
                <w:szCs w:val="17"/>
                <w:lang w:val="es-MX" w:eastAsia="es-MX"/>
              </w:rPr>
              <w:t>8,769,290</w:t>
            </w:r>
          </w:p>
        </w:tc>
        <w:tc>
          <w:tcPr>
            <w:tcW w:w="169" w:type="dxa"/>
            <w:tcBorders>
              <w:left w:val="nil"/>
              <w:bottom w:val="nil"/>
              <w:right w:val="nil"/>
            </w:tcBorders>
            <w:shd w:val="clear" w:color="auto" w:fill="auto"/>
            <w:noWrap/>
            <w:vAlign w:val="bottom"/>
          </w:tcPr>
          <w:p w14:paraId="1E6A0DDC" w14:textId="77777777" w:rsidR="000C7981" w:rsidRPr="002A7906" w:rsidRDefault="000C7981" w:rsidP="000C7981">
            <w:pPr>
              <w:spacing w:after="0" w:line="240" w:lineRule="auto"/>
              <w:rPr>
                <w:rFonts w:ascii="Arial" w:hAnsi="Arial" w:cs="Arial"/>
                <w:sz w:val="17"/>
                <w:szCs w:val="17"/>
              </w:rPr>
            </w:pPr>
          </w:p>
        </w:tc>
        <w:tc>
          <w:tcPr>
            <w:tcW w:w="1502" w:type="dxa"/>
            <w:tcBorders>
              <w:left w:val="nil"/>
              <w:bottom w:val="single" w:sz="4" w:space="0" w:color="auto"/>
              <w:right w:val="nil"/>
            </w:tcBorders>
            <w:shd w:val="clear" w:color="auto" w:fill="auto"/>
            <w:noWrap/>
            <w:vAlign w:val="bottom"/>
          </w:tcPr>
          <w:p w14:paraId="65A27422" w14:textId="262DF260"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(2</w:t>
            </w:r>
            <w:r w:rsidR="00F12328" w:rsidRPr="002A7906">
              <w:rPr>
                <w:rFonts w:ascii="Arial" w:hAnsi="Arial" w:cs="Arial"/>
                <w:sz w:val="17"/>
                <w:szCs w:val="17"/>
              </w:rPr>
              <w:t>6</w:t>
            </w:r>
            <w:r w:rsidRPr="002A7906">
              <w:rPr>
                <w:rFonts w:ascii="Arial" w:hAnsi="Arial" w:cs="Arial"/>
                <w:sz w:val="17"/>
                <w:szCs w:val="17"/>
              </w:rPr>
              <w:t>,</w:t>
            </w:r>
            <w:r w:rsidR="00F12328" w:rsidRPr="002A7906">
              <w:rPr>
                <w:rFonts w:ascii="Arial" w:hAnsi="Arial" w:cs="Arial"/>
                <w:sz w:val="17"/>
                <w:szCs w:val="17"/>
              </w:rPr>
              <w:t>310,511</w:t>
            </w:r>
            <w:r w:rsidRPr="002A7906">
              <w:rPr>
                <w:rFonts w:ascii="Arial" w:hAnsi="Arial" w:cs="Arial"/>
                <w:sz w:val="17"/>
                <w:szCs w:val="17"/>
              </w:rPr>
              <w:t>)</w:t>
            </w:r>
          </w:p>
        </w:tc>
      </w:tr>
      <w:tr w:rsidR="000C7981" w:rsidRPr="002A7906" w14:paraId="02FC2D0C" w14:textId="77777777" w:rsidTr="00A52063">
        <w:trPr>
          <w:trHeight w:val="50"/>
          <w:jc w:val="right"/>
        </w:trPr>
        <w:tc>
          <w:tcPr>
            <w:tcW w:w="5924" w:type="dxa"/>
            <w:tcBorders>
              <w:top w:val="nil"/>
              <w:left w:val="nil"/>
              <w:bottom w:val="nil"/>
              <w:right w:val="nil"/>
            </w:tcBorders>
            <w:shd w:val="clear" w:color="auto" w:fill="auto"/>
            <w:noWrap/>
            <w:vAlign w:val="bottom"/>
          </w:tcPr>
          <w:p w14:paraId="65C4044B" w14:textId="77777777" w:rsidR="000C7981" w:rsidRPr="002A7906" w:rsidRDefault="000C7981" w:rsidP="000C7981">
            <w:pPr>
              <w:spacing w:after="0" w:line="240" w:lineRule="auto"/>
              <w:ind w:left="-75"/>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248229B6"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left w:val="nil"/>
              <w:bottom w:val="nil"/>
              <w:right w:val="nil"/>
            </w:tcBorders>
            <w:shd w:val="clear" w:color="auto" w:fill="auto"/>
            <w:noWrap/>
            <w:vAlign w:val="bottom"/>
          </w:tcPr>
          <w:p w14:paraId="3086F812" w14:textId="77777777" w:rsidR="000C7981" w:rsidRPr="002A7906" w:rsidRDefault="000C7981" w:rsidP="000C7981">
            <w:pPr>
              <w:spacing w:after="0" w:line="240" w:lineRule="auto"/>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44E792EB"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596A6387" w14:textId="77777777" w:rsidTr="001F50C5">
        <w:trPr>
          <w:trHeight w:val="78"/>
          <w:jc w:val="right"/>
        </w:trPr>
        <w:tc>
          <w:tcPr>
            <w:tcW w:w="5924" w:type="dxa"/>
            <w:tcBorders>
              <w:top w:val="nil"/>
              <w:left w:val="nil"/>
              <w:bottom w:val="nil"/>
              <w:right w:val="nil"/>
            </w:tcBorders>
            <w:shd w:val="clear" w:color="auto" w:fill="auto"/>
            <w:noWrap/>
            <w:vAlign w:val="bottom"/>
          </w:tcPr>
          <w:p w14:paraId="1F58D983" w14:textId="77777777" w:rsidR="000C7981" w:rsidRPr="002A7906" w:rsidRDefault="000C7981" w:rsidP="000C7981">
            <w:pPr>
              <w:spacing w:after="0" w:line="240" w:lineRule="auto"/>
              <w:ind w:left="-75"/>
              <w:rPr>
                <w:rFonts w:ascii="Arial" w:hAnsi="Arial" w:cs="Arial"/>
                <w:b/>
                <w:bCs/>
                <w:sz w:val="17"/>
                <w:szCs w:val="17"/>
              </w:rPr>
            </w:pPr>
            <w:r w:rsidRPr="002A7906">
              <w:rPr>
                <w:rFonts w:ascii="Arial" w:hAnsi="Arial" w:cs="Arial"/>
                <w:b/>
                <w:bCs/>
                <w:sz w:val="17"/>
                <w:szCs w:val="17"/>
              </w:rPr>
              <w:t>EFECTIVO Y EQUIVALENTES DE EFECTIVO:</w:t>
            </w:r>
          </w:p>
        </w:tc>
        <w:tc>
          <w:tcPr>
            <w:tcW w:w="1502" w:type="dxa"/>
            <w:tcBorders>
              <w:top w:val="nil"/>
              <w:left w:val="nil"/>
              <w:bottom w:val="nil"/>
              <w:right w:val="nil"/>
            </w:tcBorders>
            <w:shd w:val="clear" w:color="auto" w:fill="auto"/>
            <w:noWrap/>
            <w:vAlign w:val="bottom"/>
          </w:tcPr>
          <w:p w14:paraId="60D09AEA"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top w:val="nil"/>
              <w:left w:val="nil"/>
              <w:bottom w:val="nil"/>
              <w:right w:val="nil"/>
            </w:tcBorders>
            <w:shd w:val="clear" w:color="auto" w:fill="auto"/>
            <w:noWrap/>
            <w:vAlign w:val="bottom"/>
          </w:tcPr>
          <w:p w14:paraId="3DD3F1E7"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bottom w:val="nil"/>
              <w:right w:val="nil"/>
            </w:tcBorders>
            <w:shd w:val="clear" w:color="auto" w:fill="auto"/>
            <w:noWrap/>
            <w:vAlign w:val="bottom"/>
          </w:tcPr>
          <w:p w14:paraId="06F3FE2B"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4D4F67FA" w14:textId="77777777" w:rsidTr="001F50C5">
        <w:trPr>
          <w:trHeight w:val="60"/>
          <w:jc w:val="right"/>
        </w:trPr>
        <w:tc>
          <w:tcPr>
            <w:tcW w:w="5924" w:type="dxa"/>
            <w:tcBorders>
              <w:top w:val="nil"/>
              <w:left w:val="nil"/>
              <w:bottom w:val="nil"/>
              <w:right w:val="nil"/>
            </w:tcBorders>
            <w:shd w:val="clear" w:color="auto" w:fill="auto"/>
            <w:noWrap/>
            <w:vAlign w:val="bottom"/>
          </w:tcPr>
          <w:p w14:paraId="61791CD0" w14:textId="4984E98C"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Aumento neto durante el año</w:t>
            </w:r>
          </w:p>
        </w:tc>
        <w:tc>
          <w:tcPr>
            <w:tcW w:w="1502" w:type="dxa"/>
            <w:tcBorders>
              <w:top w:val="nil"/>
              <w:left w:val="nil"/>
              <w:right w:val="nil"/>
            </w:tcBorders>
            <w:shd w:val="clear" w:color="auto" w:fill="auto"/>
            <w:noWrap/>
            <w:vAlign w:val="bottom"/>
          </w:tcPr>
          <w:p w14:paraId="5D6C369C" w14:textId="182AFA5A" w:rsidR="000C7981" w:rsidRPr="002A7906" w:rsidRDefault="0067240A" w:rsidP="000C7981">
            <w:pPr>
              <w:tabs>
                <w:tab w:val="decimal" w:pos="1276"/>
              </w:tabs>
              <w:spacing w:after="0" w:line="240" w:lineRule="auto"/>
              <w:rPr>
                <w:rFonts w:ascii="Arial" w:hAnsi="Arial" w:cs="Arial"/>
                <w:sz w:val="17"/>
                <w:szCs w:val="17"/>
              </w:rPr>
            </w:pPr>
            <w:r w:rsidRPr="002A7906">
              <w:rPr>
                <w:rFonts w:ascii="Arial" w:hAnsi="Arial" w:cs="Arial"/>
                <w:sz w:val="17"/>
                <w:szCs w:val="17"/>
              </w:rPr>
              <w:t>15,471,992</w:t>
            </w:r>
          </w:p>
        </w:tc>
        <w:tc>
          <w:tcPr>
            <w:tcW w:w="169" w:type="dxa"/>
            <w:tcBorders>
              <w:top w:val="nil"/>
              <w:left w:val="nil"/>
              <w:bottom w:val="nil"/>
              <w:right w:val="nil"/>
            </w:tcBorders>
            <w:shd w:val="clear" w:color="auto" w:fill="auto"/>
            <w:noWrap/>
            <w:vAlign w:val="bottom"/>
          </w:tcPr>
          <w:p w14:paraId="1B77D4EB"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right w:val="nil"/>
            </w:tcBorders>
            <w:shd w:val="clear" w:color="auto" w:fill="auto"/>
            <w:noWrap/>
            <w:vAlign w:val="bottom"/>
          </w:tcPr>
          <w:p w14:paraId="5F2FF178" w14:textId="2F9FDF98" w:rsidR="000C7981" w:rsidRPr="002A7906" w:rsidRDefault="00F12328" w:rsidP="000C7981">
            <w:pPr>
              <w:tabs>
                <w:tab w:val="decimal" w:pos="1276"/>
              </w:tabs>
              <w:spacing w:after="0" w:line="240" w:lineRule="auto"/>
              <w:rPr>
                <w:rFonts w:ascii="Arial" w:hAnsi="Arial" w:cs="Arial"/>
                <w:sz w:val="17"/>
                <w:szCs w:val="17"/>
              </w:rPr>
            </w:pPr>
            <w:r w:rsidRPr="002A7906">
              <w:rPr>
                <w:rFonts w:ascii="Arial" w:hAnsi="Arial" w:cs="Arial"/>
                <w:sz w:val="17"/>
                <w:szCs w:val="17"/>
              </w:rPr>
              <w:t>3,485,372</w:t>
            </w:r>
          </w:p>
        </w:tc>
      </w:tr>
      <w:tr w:rsidR="000C7981" w:rsidRPr="002A7906" w14:paraId="6784B0B7" w14:textId="77777777" w:rsidTr="001F50C5">
        <w:trPr>
          <w:trHeight w:val="60"/>
          <w:jc w:val="right"/>
        </w:trPr>
        <w:tc>
          <w:tcPr>
            <w:tcW w:w="5924" w:type="dxa"/>
            <w:tcBorders>
              <w:top w:val="nil"/>
              <w:left w:val="nil"/>
              <w:bottom w:val="nil"/>
              <w:right w:val="nil"/>
            </w:tcBorders>
            <w:shd w:val="clear" w:color="auto" w:fill="auto"/>
            <w:noWrap/>
            <w:vAlign w:val="bottom"/>
          </w:tcPr>
          <w:p w14:paraId="7A54C46C" w14:textId="77777777" w:rsidR="000C7981" w:rsidRPr="002A7906" w:rsidRDefault="000C7981" w:rsidP="000C7981">
            <w:pPr>
              <w:spacing w:after="0" w:line="240" w:lineRule="auto"/>
              <w:ind w:left="-75"/>
              <w:rPr>
                <w:rFonts w:ascii="Arial" w:hAnsi="Arial" w:cs="Arial"/>
                <w:sz w:val="17"/>
                <w:szCs w:val="17"/>
              </w:rPr>
            </w:pPr>
            <w:r w:rsidRPr="002A7906">
              <w:rPr>
                <w:rFonts w:ascii="Arial" w:hAnsi="Arial" w:cs="Arial"/>
                <w:sz w:val="17"/>
                <w:szCs w:val="17"/>
              </w:rPr>
              <w:t>Saldo al inicio del año</w:t>
            </w:r>
          </w:p>
        </w:tc>
        <w:tc>
          <w:tcPr>
            <w:tcW w:w="1502" w:type="dxa"/>
            <w:tcBorders>
              <w:top w:val="nil"/>
              <w:left w:val="nil"/>
              <w:bottom w:val="single" w:sz="4" w:space="0" w:color="auto"/>
              <w:right w:val="nil"/>
            </w:tcBorders>
            <w:shd w:val="clear" w:color="auto" w:fill="auto"/>
            <w:noWrap/>
            <w:vAlign w:val="bottom"/>
          </w:tcPr>
          <w:p w14:paraId="272D0ED9" w14:textId="061C63D8" w:rsidR="000C7981" w:rsidRPr="002A7906" w:rsidRDefault="0067240A" w:rsidP="000C7981">
            <w:pPr>
              <w:tabs>
                <w:tab w:val="decimal" w:pos="1276"/>
              </w:tabs>
              <w:spacing w:after="0" w:line="240" w:lineRule="auto"/>
              <w:rPr>
                <w:rFonts w:ascii="Arial" w:hAnsi="Arial" w:cs="Arial"/>
                <w:sz w:val="17"/>
                <w:szCs w:val="17"/>
              </w:rPr>
            </w:pPr>
            <w:r w:rsidRPr="002A7906">
              <w:rPr>
                <w:rFonts w:ascii="Arial" w:hAnsi="Arial" w:cs="Arial"/>
                <w:sz w:val="17"/>
                <w:szCs w:val="17"/>
              </w:rPr>
              <w:t>7,639,576</w:t>
            </w:r>
          </w:p>
        </w:tc>
        <w:tc>
          <w:tcPr>
            <w:tcW w:w="169" w:type="dxa"/>
            <w:tcBorders>
              <w:top w:val="nil"/>
              <w:left w:val="nil"/>
              <w:bottom w:val="nil"/>
              <w:right w:val="nil"/>
            </w:tcBorders>
            <w:shd w:val="clear" w:color="auto" w:fill="auto"/>
            <w:noWrap/>
            <w:vAlign w:val="bottom"/>
          </w:tcPr>
          <w:p w14:paraId="069F7580"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bottom w:val="single" w:sz="4" w:space="0" w:color="auto"/>
              <w:right w:val="nil"/>
            </w:tcBorders>
            <w:shd w:val="clear" w:color="auto" w:fill="auto"/>
            <w:noWrap/>
            <w:vAlign w:val="bottom"/>
          </w:tcPr>
          <w:p w14:paraId="2E6B5ABC" w14:textId="18E800E3" w:rsidR="000C7981" w:rsidRPr="002A7906" w:rsidRDefault="00BF321E" w:rsidP="000C7981">
            <w:pPr>
              <w:tabs>
                <w:tab w:val="decimal" w:pos="1276"/>
              </w:tabs>
              <w:spacing w:after="0" w:line="240" w:lineRule="auto"/>
              <w:rPr>
                <w:rFonts w:ascii="Arial" w:hAnsi="Arial" w:cs="Arial"/>
                <w:sz w:val="17"/>
                <w:szCs w:val="17"/>
              </w:rPr>
            </w:pPr>
            <w:r w:rsidRPr="002A7906">
              <w:rPr>
                <w:rFonts w:ascii="Arial" w:hAnsi="Arial" w:cs="Arial"/>
                <w:sz w:val="17"/>
                <w:szCs w:val="17"/>
              </w:rPr>
              <w:t>4,154,204</w:t>
            </w:r>
          </w:p>
        </w:tc>
      </w:tr>
      <w:tr w:rsidR="000C7981" w:rsidRPr="002A7906" w14:paraId="128E2460" w14:textId="77777777" w:rsidTr="001F50C5">
        <w:trPr>
          <w:trHeight w:val="50"/>
          <w:jc w:val="right"/>
        </w:trPr>
        <w:tc>
          <w:tcPr>
            <w:tcW w:w="5924" w:type="dxa"/>
            <w:tcBorders>
              <w:top w:val="nil"/>
              <w:left w:val="nil"/>
              <w:bottom w:val="nil"/>
              <w:right w:val="nil"/>
            </w:tcBorders>
            <w:shd w:val="clear" w:color="auto" w:fill="auto"/>
            <w:noWrap/>
            <w:vAlign w:val="bottom"/>
          </w:tcPr>
          <w:p w14:paraId="687C5530" w14:textId="77777777" w:rsidR="000C7981" w:rsidRPr="002A7906" w:rsidRDefault="000C7981" w:rsidP="000C7981">
            <w:pPr>
              <w:spacing w:after="0" w:line="240" w:lineRule="auto"/>
              <w:ind w:left="-75"/>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2DF62836" w14:textId="77777777" w:rsidR="000C7981" w:rsidRPr="002A7906" w:rsidRDefault="000C7981" w:rsidP="000C7981">
            <w:pPr>
              <w:tabs>
                <w:tab w:val="decimal" w:pos="1276"/>
              </w:tabs>
              <w:spacing w:after="0" w:line="240" w:lineRule="auto"/>
              <w:rPr>
                <w:rFonts w:ascii="Arial" w:hAnsi="Arial" w:cs="Arial"/>
                <w:sz w:val="17"/>
                <w:szCs w:val="17"/>
              </w:rPr>
            </w:pPr>
          </w:p>
        </w:tc>
        <w:tc>
          <w:tcPr>
            <w:tcW w:w="169" w:type="dxa"/>
            <w:tcBorders>
              <w:top w:val="nil"/>
              <w:left w:val="nil"/>
              <w:right w:val="nil"/>
            </w:tcBorders>
            <w:shd w:val="clear" w:color="auto" w:fill="auto"/>
            <w:noWrap/>
            <w:vAlign w:val="bottom"/>
          </w:tcPr>
          <w:p w14:paraId="57716EBE" w14:textId="77777777" w:rsidR="000C7981" w:rsidRPr="002A7906" w:rsidRDefault="000C7981" w:rsidP="000C7981">
            <w:pPr>
              <w:spacing w:after="0" w:line="240" w:lineRule="auto"/>
              <w:rPr>
                <w:rFonts w:ascii="Arial" w:hAnsi="Arial" w:cs="Arial"/>
                <w:sz w:val="17"/>
                <w:szCs w:val="17"/>
              </w:rPr>
            </w:pPr>
          </w:p>
        </w:tc>
        <w:tc>
          <w:tcPr>
            <w:tcW w:w="1502" w:type="dxa"/>
            <w:tcBorders>
              <w:top w:val="single" w:sz="4" w:space="0" w:color="auto"/>
              <w:left w:val="nil"/>
              <w:right w:val="nil"/>
            </w:tcBorders>
            <w:shd w:val="clear" w:color="auto" w:fill="auto"/>
            <w:noWrap/>
            <w:vAlign w:val="bottom"/>
          </w:tcPr>
          <w:p w14:paraId="35B241AC" w14:textId="77777777" w:rsidR="000C7981" w:rsidRPr="002A7906" w:rsidRDefault="000C7981" w:rsidP="000C7981">
            <w:pPr>
              <w:tabs>
                <w:tab w:val="decimal" w:pos="1276"/>
              </w:tabs>
              <w:spacing w:after="0" w:line="240" w:lineRule="auto"/>
              <w:rPr>
                <w:rFonts w:ascii="Arial" w:hAnsi="Arial" w:cs="Arial"/>
                <w:sz w:val="17"/>
                <w:szCs w:val="17"/>
              </w:rPr>
            </w:pPr>
          </w:p>
        </w:tc>
      </w:tr>
      <w:tr w:rsidR="000C7981" w:rsidRPr="002A7906" w14:paraId="73B141BB" w14:textId="77777777" w:rsidTr="002F21E3">
        <w:trPr>
          <w:trHeight w:val="60"/>
          <w:jc w:val="right"/>
        </w:trPr>
        <w:tc>
          <w:tcPr>
            <w:tcW w:w="5924" w:type="dxa"/>
            <w:tcBorders>
              <w:top w:val="nil"/>
              <w:left w:val="nil"/>
              <w:bottom w:val="nil"/>
              <w:right w:val="nil"/>
            </w:tcBorders>
            <w:shd w:val="clear" w:color="auto" w:fill="auto"/>
            <w:noWrap/>
            <w:vAlign w:val="bottom"/>
          </w:tcPr>
          <w:p w14:paraId="721635E3" w14:textId="7A2709A2" w:rsidR="000C7981" w:rsidRPr="002A7906" w:rsidRDefault="000C7981" w:rsidP="000C7981">
            <w:pPr>
              <w:spacing w:after="0" w:line="240" w:lineRule="auto"/>
              <w:ind w:left="-75"/>
              <w:rPr>
                <w:rFonts w:ascii="Arial" w:hAnsi="Arial" w:cs="Arial"/>
                <w:b/>
                <w:bCs/>
                <w:sz w:val="17"/>
                <w:szCs w:val="17"/>
              </w:rPr>
            </w:pPr>
            <w:r w:rsidRPr="002A7906">
              <w:rPr>
                <w:rFonts w:ascii="Arial" w:hAnsi="Arial" w:cs="Arial"/>
                <w:b/>
                <w:bCs/>
                <w:sz w:val="17"/>
                <w:szCs w:val="17"/>
              </w:rPr>
              <w:t>SALDO AL FINAL DEL AÑO</w:t>
            </w:r>
          </w:p>
        </w:tc>
        <w:tc>
          <w:tcPr>
            <w:tcW w:w="1502" w:type="dxa"/>
            <w:tcBorders>
              <w:top w:val="nil"/>
              <w:left w:val="nil"/>
              <w:bottom w:val="double" w:sz="4" w:space="0" w:color="auto"/>
              <w:right w:val="nil"/>
            </w:tcBorders>
            <w:shd w:val="clear" w:color="auto" w:fill="auto"/>
            <w:noWrap/>
            <w:vAlign w:val="bottom"/>
          </w:tcPr>
          <w:p w14:paraId="7801F2B2" w14:textId="0B24A312" w:rsidR="000C7981" w:rsidRPr="002A7906" w:rsidRDefault="0067240A" w:rsidP="000C7981">
            <w:pPr>
              <w:tabs>
                <w:tab w:val="decimal" w:pos="1276"/>
              </w:tabs>
              <w:spacing w:after="0" w:line="240" w:lineRule="auto"/>
              <w:rPr>
                <w:rFonts w:ascii="Arial" w:hAnsi="Arial" w:cs="Arial"/>
                <w:sz w:val="17"/>
                <w:szCs w:val="17"/>
              </w:rPr>
            </w:pPr>
            <w:r w:rsidRPr="002A7906">
              <w:rPr>
                <w:rFonts w:ascii="Arial" w:hAnsi="Arial" w:cs="Arial"/>
                <w:sz w:val="17"/>
                <w:szCs w:val="17"/>
              </w:rPr>
              <w:t>23,111,568</w:t>
            </w:r>
          </w:p>
        </w:tc>
        <w:tc>
          <w:tcPr>
            <w:tcW w:w="169" w:type="dxa"/>
            <w:tcBorders>
              <w:top w:val="nil"/>
              <w:left w:val="nil"/>
              <w:right w:val="nil"/>
            </w:tcBorders>
            <w:shd w:val="clear" w:color="auto" w:fill="auto"/>
            <w:noWrap/>
            <w:vAlign w:val="bottom"/>
          </w:tcPr>
          <w:p w14:paraId="7DC89E95" w14:textId="77777777" w:rsidR="000C7981" w:rsidRPr="002A7906" w:rsidRDefault="000C7981" w:rsidP="000C7981">
            <w:pPr>
              <w:spacing w:after="0" w:line="240" w:lineRule="auto"/>
              <w:rPr>
                <w:rFonts w:ascii="Arial" w:hAnsi="Arial" w:cs="Arial"/>
                <w:sz w:val="17"/>
                <w:szCs w:val="17"/>
              </w:rPr>
            </w:pPr>
          </w:p>
        </w:tc>
        <w:tc>
          <w:tcPr>
            <w:tcW w:w="1502" w:type="dxa"/>
            <w:tcBorders>
              <w:top w:val="nil"/>
              <w:left w:val="nil"/>
              <w:bottom w:val="double" w:sz="4" w:space="0" w:color="auto"/>
              <w:right w:val="nil"/>
            </w:tcBorders>
            <w:shd w:val="clear" w:color="auto" w:fill="auto"/>
            <w:noWrap/>
            <w:vAlign w:val="bottom"/>
          </w:tcPr>
          <w:p w14:paraId="1478A727" w14:textId="0DF3FC16" w:rsidR="000C7981" w:rsidRPr="002A7906" w:rsidRDefault="00F12328" w:rsidP="000C7981">
            <w:pPr>
              <w:tabs>
                <w:tab w:val="decimal" w:pos="1276"/>
              </w:tabs>
              <w:spacing w:after="0" w:line="240" w:lineRule="auto"/>
              <w:rPr>
                <w:rFonts w:ascii="Arial" w:hAnsi="Arial" w:cs="Arial"/>
                <w:sz w:val="17"/>
                <w:szCs w:val="17"/>
              </w:rPr>
            </w:pPr>
            <w:r w:rsidRPr="002A7906">
              <w:rPr>
                <w:rFonts w:ascii="Arial" w:hAnsi="Arial" w:cs="Arial"/>
                <w:sz w:val="17"/>
                <w:szCs w:val="17"/>
              </w:rPr>
              <w:t>7,639,576</w:t>
            </w:r>
          </w:p>
        </w:tc>
      </w:tr>
    </w:tbl>
    <w:p w14:paraId="72339678" w14:textId="79CC7FF6" w:rsidR="00DE5661" w:rsidRPr="0074154F" w:rsidRDefault="00DE5661" w:rsidP="00413455">
      <w:pPr>
        <w:spacing w:after="0" w:line="240" w:lineRule="auto"/>
        <w:contextualSpacing/>
        <w:mirrorIndents/>
        <w:rPr>
          <w:rFonts w:ascii="Arial" w:eastAsia="Times New Roman" w:hAnsi="Arial" w:cs="Arial"/>
          <w:sz w:val="20"/>
          <w:szCs w:val="20"/>
        </w:rPr>
      </w:pPr>
    </w:p>
    <w:p w14:paraId="4FE101D9" w14:textId="01FC17FC" w:rsidR="001F0F2E" w:rsidRDefault="001F0F2E" w:rsidP="00413455">
      <w:pPr>
        <w:spacing w:after="0" w:line="240" w:lineRule="auto"/>
        <w:contextualSpacing/>
        <w:mirrorIndents/>
        <w:rPr>
          <w:rFonts w:ascii="Arial" w:eastAsia="Times New Roman" w:hAnsi="Arial" w:cs="Arial"/>
          <w:sz w:val="16"/>
          <w:szCs w:val="16"/>
        </w:rPr>
      </w:pPr>
    </w:p>
    <w:p w14:paraId="3F30D5B2" w14:textId="77777777" w:rsidR="002A7906" w:rsidRDefault="002A7906" w:rsidP="00413455">
      <w:pPr>
        <w:spacing w:after="0" w:line="240" w:lineRule="auto"/>
        <w:contextualSpacing/>
        <w:mirrorIndents/>
        <w:rPr>
          <w:rFonts w:ascii="Arial" w:eastAsia="Times New Roman" w:hAnsi="Arial" w:cs="Arial"/>
          <w:sz w:val="16"/>
          <w:szCs w:val="16"/>
        </w:rPr>
      </w:pPr>
    </w:p>
    <w:p w14:paraId="4C5297C4" w14:textId="150BC514" w:rsidR="001F0F2E" w:rsidRDefault="001F0F2E" w:rsidP="00413455">
      <w:pPr>
        <w:spacing w:after="0" w:line="240" w:lineRule="auto"/>
        <w:contextualSpacing/>
        <w:mirrorIndents/>
        <w:rPr>
          <w:rFonts w:ascii="Arial" w:eastAsia="Times New Roman" w:hAnsi="Arial" w:cs="Arial"/>
          <w:sz w:val="16"/>
          <w:szCs w:val="16"/>
        </w:rPr>
      </w:pPr>
    </w:p>
    <w:p w14:paraId="7F944397" w14:textId="77777777" w:rsidR="002A7906" w:rsidRPr="0074154F" w:rsidRDefault="002A7906" w:rsidP="00413455">
      <w:pPr>
        <w:spacing w:after="0" w:line="240" w:lineRule="auto"/>
        <w:contextualSpacing/>
        <w:mirrorIndents/>
        <w:rPr>
          <w:rFonts w:ascii="Arial" w:eastAsia="Times New Roman" w:hAnsi="Arial" w:cs="Arial"/>
          <w:sz w:val="16"/>
          <w:szCs w:val="16"/>
        </w:rPr>
      </w:pPr>
    </w:p>
    <w:tbl>
      <w:tblPr>
        <w:tblW w:w="9072" w:type="dxa"/>
        <w:jc w:val="center"/>
        <w:tblLook w:val="01E0" w:firstRow="1" w:lastRow="1" w:firstColumn="1" w:lastColumn="1" w:noHBand="0" w:noVBand="0"/>
      </w:tblPr>
      <w:tblGrid>
        <w:gridCol w:w="3821"/>
        <w:gridCol w:w="1643"/>
        <w:gridCol w:w="3608"/>
      </w:tblGrid>
      <w:tr w:rsidR="005F5BAE" w:rsidRPr="0074154F" w14:paraId="507ECC8D" w14:textId="77777777" w:rsidTr="002F21E3">
        <w:trPr>
          <w:trHeight w:val="118"/>
          <w:jc w:val="center"/>
        </w:trPr>
        <w:tc>
          <w:tcPr>
            <w:tcW w:w="3821" w:type="dxa"/>
            <w:tcBorders>
              <w:top w:val="single" w:sz="4" w:space="0" w:color="auto"/>
            </w:tcBorders>
          </w:tcPr>
          <w:p w14:paraId="2AF38E7E" w14:textId="77777777" w:rsidR="005F5BAE" w:rsidRPr="0074154F" w:rsidRDefault="005F5BAE" w:rsidP="0064333C">
            <w:pPr>
              <w:pStyle w:val="Footer"/>
              <w:ind w:right="-9"/>
              <w:contextualSpacing/>
              <w:mirrorIndents/>
              <w:jc w:val="center"/>
              <w:rPr>
                <w:rFonts w:ascii="Arial" w:hAnsi="Arial" w:cs="Arial"/>
                <w:sz w:val="17"/>
                <w:szCs w:val="17"/>
                <w:lang w:val="en-US"/>
              </w:rPr>
            </w:pPr>
            <w:r w:rsidRPr="0074154F">
              <w:rPr>
                <w:rFonts w:ascii="Arial" w:hAnsi="Arial" w:cs="Arial"/>
                <w:sz w:val="17"/>
                <w:szCs w:val="17"/>
                <w:lang w:val="en-US"/>
              </w:rPr>
              <w:t>Ing. Tomislav Topic</w:t>
            </w:r>
          </w:p>
        </w:tc>
        <w:tc>
          <w:tcPr>
            <w:tcW w:w="1643" w:type="dxa"/>
          </w:tcPr>
          <w:p w14:paraId="5CAE38A9" w14:textId="77777777" w:rsidR="005F5BAE" w:rsidRPr="0074154F" w:rsidRDefault="005F5BAE" w:rsidP="0064333C">
            <w:pPr>
              <w:pStyle w:val="Footer"/>
              <w:ind w:right="-9"/>
              <w:contextualSpacing/>
              <w:mirrorIndents/>
              <w:jc w:val="center"/>
              <w:rPr>
                <w:rFonts w:ascii="Arial" w:hAnsi="Arial" w:cs="Arial"/>
                <w:sz w:val="17"/>
                <w:szCs w:val="17"/>
                <w:lang w:val="en-US"/>
              </w:rPr>
            </w:pPr>
          </w:p>
        </w:tc>
        <w:tc>
          <w:tcPr>
            <w:tcW w:w="3608" w:type="dxa"/>
            <w:tcBorders>
              <w:top w:val="single" w:sz="4" w:space="0" w:color="auto"/>
            </w:tcBorders>
          </w:tcPr>
          <w:p w14:paraId="22C090C6" w14:textId="02AE5477" w:rsidR="005F5BAE" w:rsidRPr="0074154F" w:rsidRDefault="0063027B" w:rsidP="0064333C">
            <w:pPr>
              <w:pStyle w:val="Footer"/>
              <w:ind w:right="-9"/>
              <w:contextualSpacing/>
              <w:mirrorIndents/>
              <w:jc w:val="center"/>
              <w:rPr>
                <w:rFonts w:ascii="Arial" w:hAnsi="Arial" w:cs="Arial"/>
                <w:sz w:val="17"/>
                <w:szCs w:val="17"/>
              </w:rPr>
            </w:pPr>
            <w:r w:rsidRPr="0074154F">
              <w:rPr>
                <w:rFonts w:ascii="Arial" w:hAnsi="Arial" w:cs="Arial"/>
                <w:sz w:val="17"/>
                <w:szCs w:val="17"/>
              </w:rPr>
              <w:t xml:space="preserve">CPA. </w:t>
            </w:r>
            <w:r w:rsidR="002D5A87" w:rsidRPr="0074154F">
              <w:rPr>
                <w:rFonts w:ascii="Arial" w:hAnsi="Arial" w:cs="Arial"/>
                <w:sz w:val="17"/>
                <w:szCs w:val="17"/>
              </w:rPr>
              <w:t>Félix</w:t>
            </w:r>
            <w:r w:rsidR="005F5BAE" w:rsidRPr="0074154F">
              <w:rPr>
                <w:rFonts w:ascii="Arial" w:hAnsi="Arial" w:cs="Arial"/>
                <w:sz w:val="17"/>
                <w:szCs w:val="17"/>
              </w:rPr>
              <w:t xml:space="preserve"> Valarezo</w:t>
            </w:r>
          </w:p>
        </w:tc>
      </w:tr>
      <w:tr w:rsidR="005F5BAE" w:rsidRPr="0074154F" w14:paraId="43BB9D25" w14:textId="77777777" w:rsidTr="002F21E3">
        <w:trPr>
          <w:trHeight w:val="60"/>
          <w:jc w:val="center"/>
        </w:trPr>
        <w:tc>
          <w:tcPr>
            <w:tcW w:w="3821" w:type="dxa"/>
          </w:tcPr>
          <w:p w14:paraId="2B7A2826" w14:textId="77777777" w:rsidR="005F5BAE" w:rsidRPr="0074154F" w:rsidRDefault="005F5BAE" w:rsidP="0064333C">
            <w:pPr>
              <w:pStyle w:val="Footer"/>
              <w:ind w:right="-9"/>
              <w:contextualSpacing/>
              <w:mirrorIndents/>
              <w:jc w:val="center"/>
              <w:rPr>
                <w:rFonts w:ascii="Arial" w:hAnsi="Arial" w:cs="Arial"/>
                <w:sz w:val="17"/>
                <w:szCs w:val="17"/>
              </w:rPr>
            </w:pPr>
            <w:r w:rsidRPr="0074154F">
              <w:rPr>
                <w:rFonts w:ascii="Arial" w:hAnsi="Arial" w:cs="Arial"/>
                <w:sz w:val="17"/>
                <w:szCs w:val="17"/>
              </w:rPr>
              <w:t>Gerente General</w:t>
            </w:r>
          </w:p>
        </w:tc>
        <w:tc>
          <w:tcPr>
            <w:tcW w:w="1643" w:type="dxa"/>
          </w:tcPr>
          <w:p w14:paraId="0862F500" w14:textId="77777777" w:rsidR="005F5BAE" w:rsidRPr="0074154F" w:rsidRDefault="005F5BAE" w:rsidP="0064333C">
            <w:pPr>
              <w:pStyle w:val="Footer"/>
              <w:ind w:right="-36"/>
              <w:contextualSpacing/>
              <w:mirrorIndents/>
              <w:jc w:val="center"/>
              <w:rPr>
                <w:rFonts w:ascii="Arial" w:hAnsi="Arial" w:cs="Arial"/>
                <w:sz w:val="17"/>
                <w:szCs w:val="17"/>
              </w:rPr>
            </w:pPr>
          </w:p>
        </w:tc>
        <w:tc>
          <w:tcPr>
            <w:tcW w:w="3608" w:type="dxa"/>
          </w:tcPr>
          <w:p w14:paraId="575DC782" w14:textId="77777777" w:rsidR="005F5BAE" w:rsidRPr="0074154F" w:rsidRDefault="005F5BAE" w:rsidP="0064333C">
            <w:pPr>
              <w:pStyle w:val="Footer"/>
              <w:ind w:right="-36"/>
              <w:contextualSpacing/>
              <w:mirrorIndents/>
              <w:jc w:val="center"/>
              <w:rPr>
                <w:rFonts w:ascii="Arial" w:hAnsi="Arial" w:cs="Arial"/>
                <w:sz w:val="17"/>
                <w:szCs w:val="17"/>
              </w:rPr>
            </w:pPr>
            <w:r w:rsidRPr="0074154F">
              <w:rPr>
                <w:rFonts w:ascii="Arial" w:hAnsi="Arial" w:cs="Arial"/>
                <w:sz w:val="17"/>
                <w:szCs w:val="17"/>
              </w:rPr>
              <w:t>Contador General</w:t>
            </w:r>
          </w:p>
        </w:tc>
      </w:tr>
    </w:tbl>
    <w:p w14:paraId="384DA04F" w14:textId="77777777" w:rsidR="002A7906" w:rsidRDefault="002A7906" w:rsidP="005D1D61">
      <w:pPr>
        <w:pBdr>
          <w:bottom w:val="single" w:sz="4" w:space="1" w:color="auto"/>
        </w:pBdr>
        <w:spacing w:after="0" w:line="240" w:lineRule="auto"/>
        <w:contextualSpacing/>
        <w:mirrorIndents/>
        <w:rPr>
          <w:rFonts w:ascii="Arial" w:hAnsi="Arial" w:cs="Arial"/>
          <w:sz w:val="16"/>
          <w:szCs w:val="16"/>
        </w:rPr>
      </w:pPr>
    </w:p>
    <w:p w14:paraId="09223FF4" w14:textId="77777777" w:rsidR="002A7906" w:rsidRDefault="002A7906" w:rsidP="005D1D61">
      <w:pPr>
        <w:pBdr>
          <w:bottom w:val="single" w:sz="4" w:space="1" w:color="auto"/>
        </w:pBdr>
        <w:spacing w:after="0" w:line="240" w:lineRule="auto"/>
        <w:contextualSpacing/>
        <w:mirrorIndents/>
        <w:rPr>
          <w:rFonts w:ascii="Arial" w:hAnsi="Arial" w:cs="Arial"/>
          <w:sz w:val="16"/>
          <w:szCs w:val="16"/>
        </w:rPr>
      </w:pPr>
    </w:p>
    <w:p w14:paraId="2862DA9B" w14:textId="60005DFB" w:rsidR="005D1D61" w:rsidRPr="005D1D61" w:rsidRDefault="005D1D61" w:rsidP="005D1D61">
      <w:pPr>
        <w:pBdr>
          <w:bottom w:val="single" w:sz="4" w:space="1" w:color="auto"/>
        </w:pBdr>
        <w:spacing w:after="0" w:line="240" w:lineRule="auto"/>
        <w:contextualSpacing/>
        <w:mirrorIndents/>
        <w:rPr>
          <w:rFonts w:ascii="Arial" w:hAnsi="Arial" w:cs="Arial"/>
          <w:sz w:val="16"/>
          <w:szCs w:val="16"/>
        </w:rPr>
      </w:pPr>
      <w:r w:rsidRPr="005D1D61">
        <w:rPr>
          <w:rFonts w:ascii="Arial" w:hAnsi="Arial" w:cs="Arial"/>
          <w:sz w:val="16"/>
          <w:szCs w:val="16"/>
        </w:rPr>
        <w:t>Ver notas a los estados financieros y compañía relacionada</w:t>
      </w:r>
    </w:p>
    <w:p w14:paraId="0FBD052E" w14:textId="77777777" w:rsidR="000E18B5" w:rsidRPr="005D1D61" w:rsidRDefault="000E18B5" w:rsidP="00413455">
      <w:pPr>
        <w:spacing w:after="0" w:line="240" w:lineRule="auto"/>
        <w:ind w:right="-1"/>
        <w:rPr>
          <w:rFonts w:ascii="Arial" w:hAnsi="Arial" w:cs="Arial"/>
          <w:b/>
          <w:sz w:val="20"/>
          <w:szCs w:val="20"/>
          <w:u w:val="single"/>
        </w:rPr>
      </w:pPr>
    </w:p>
    <w:p w14:paraId="5D50FE86" w14:textId="75F1E1F3" w:rsidR="007C38A3" w:rsidRPr="0074154F" w:rsidRDefault="00C153BB" w:rsidP="00413455">
      <w:pPr>
        <w:spacing w:after="0" w:line="240" w:lineRule="auto"/>
        <w:ind w:right="-1"/>
        <w:rPr>
          <w:rFonts w:ascii="Arial" w:hAnsi="Arial" w:cs="Arial"/>
          <w:b/>
          <w:sz w:val="20"/>
          <w:szCs w:val="20"/>
          <w:u w:val="single"/>
          <w:lang w:val="es-MX"/>
        </w:rPr>
      </w:pPr>
      <w:r w:rsidRPr="0074154F">
        <w:rPr>
          <w:rFonts w:ascii="Arial" w:hAnsi="Arial" w:cs="Arial"/>
          <w:b/>
          <w:sz w:val="20"/>
          <w:szCs w:val="20"/>
          <w:u w:val="single"/>
          <w:lang w:val="es-MX"/>
        </w:rPr>
        <w:lastRenderedPageBreak/>
        <w:t>TELCONET S.A.</w:t>
      </w:r>
      <w:r w:rsidR="00893042" w:rsidRPr="0074154F">
        <w:rPr>
          <w:rFonts w:ascii="Arial" w:hAnsi="Arial" w:cs="Arial"/>
          <w:b/>
          <w:sz w:val="20"/>
          <w:szCs w:val="20"/>
          <w:u w:val="single"/>
          <w:lang w:val="es-MX"/>
        </w:rPr>
        <w:t xml:space="preserve"> Y COMPAÑÍA</w:t>
      </w:r>
      <w:r w:rsidR="00A74F4A">
        <w:rPr>
          <w:rFonts w:ascii="Arial" w:hAnsi="Arial" w:cs="Arial"/>
          <w:b/>
          <w:sz w:val="20"/>
          <w:szCs w:val="20"/>
          <w:u w:val="single"/>
          <w:lang w:val="es-MX"/>
        </w:rPr>
        <w:t xml:space="preserve"> RELACIONADA</w:t>
      </w:r>
    </w:p>
    <w:p w14:paraId="6696CC5B" w14:textId="77777777" w:rsidR="00703E77" w:rsidRPr="002A7906" w:rsidRDefault="00703E77" w:rsidP="00413455">
      <w:pPr>
        <w:spacing w:after="0" w:line="240" w:lineRule="auto"/>
        <w:rPr>
          <w:rFonts w:ascii="Arial" w:hAnsi="Arial" w:cs="Arial"/>
          <w:sz w:val="20"/>
          <w:szCs w:val="20"/>
          <w:lang w:val="es-MX"/>
        </w:rPr>
      </w:pPr>
    </w:p>
    <w:p w14:paraId="6E3D64D1" w14:textId="3597442A" w:rsidR="007C38A3" w:rsidRPr="0074154F" w:rsidRDefault="007C38A3" w:rsidP="00413455">
      <w:pPr>
        <w:spacing w:after="0" w:line="240" w:lineRule="auto"/>
        <w:rPr>
          <w:rFonts w:ascii="Arial" w:hAnsi="Arial" w:cs="Arial"/>
          <w:sz w:val="20"/>
          <w:szCs w:val="20"/>
        </w:rPr>
      </w:pPr>
      <w:r w:rsidRPr="0074154F">
        <w:rPr>
          <w:rFonts w:ascii="Arial" w:hAnsi="Arial" w:cs="Arial"/>
          <w:sz w:val="20"/>
          <w:szCs w:val="20"/>
        </w:rPr>
        <w:t>Notas a los Estados Financieros</w:t>
      </w:r>
      <w:r w:rsidR="00C34297" w:rsidRPr="0074154F">
        <w:rPr>
          <w:rFonts w:ascii="Arial" w:hAnsi="Arial" w:cs="Arial"/>
          <w:sz w:val="20"/>
          <w:szCs w:val="20"/>
        </w:rPr>
        <w:t xml:space="preserve"> </w:t>
      </w:r>
      <w:r w:rsidR="005B4216" w:rsidRPr="0074154F">
        <w:rPr>
          <w:rFonts w:ascii="Arial" w:hAnsi="Arial" w:cs="Arial"/>
          <w:sz w:val="20"/>
          <w:szCs w:val="20"/>
        </w:rPr>
        <w:t>Consolidado</w:t>
      </w:r>
    </w:p>
    <w:p w14:paraId="4451A9F3" w14:textId="75C291DF" w:rsidR="007C38A3" w:rsidRPr="0074154F" w:rsidRDefault="007C38A3" w:rsidP="00413455">
      <w:pPr>
        <w:spacing w:after="0" w:line="240" w:lineRule="auto"/>
        <w:rPr>
          <w:rFonts w:ascii="Arial" w:hAnsi="Arial" w:cs="Arial"/>
          <w:sz w:val="20"/>
          <w:szCs w:val="20"/>
        </w:rPr>
      </w:pPr>
      <w:r w:rsidRPr="0074154F">
        <w:rPr>
          <w:rFonts w:ascii="Arial" w:hAnsi="Arial" w:cs="Arial"/>
          <w:sz w:val="20"/>
          <w:szCs w:val="20"/>
        </w:rPr>
        <w:t xml:space="preserve">Por el año terminado el </w:t>
      </w:r>
      <w:r w:rsidR="00D82827" w:rsidRPr="0074154F">
        <w:rPr>
          <w:rFonts w:ascii="Arial" w:hAnsi="Arial" w:cs="Arial"/>
          <w:sz w:val="20"/>
          <w:szCs w:val="20"/>
        </w:rPr>
        <w:t>31 de diciembre del 20</w:t>
      </w:r>
      <w:r w:rsidR="00BC3BD8" w:rsidRPr="0074154F">
        <w:rPr>
          <w:rFonts w:ascii="Arial" w:hAnsi="Arial" w:cs="Arial"/>
          <w:sz w:val="20"/>
          <w:szCs w:val="20"/>
        </w:rPr>
        <w:t>20</w:t>
      </w:r>
    </w:p>
    <w:p w14:paraId="0BF1AB38" w14:textId="77777777" w:rsidR="007C38A3" w:rsidRPr="0074154F" w:rsidRDefault="007C38A3" w:rsidP="00413455">
      <w:pPr>
        <w:pBdr>
          <w:bottom w:val="single" w:sz="4" w:space="1" w:color="auto"/>
        </w:pBdr>
        <w:spacing w:after="0" w:line="240" w:lineRule="auto"/>
        <w:rPr>
          <w:rFonts w:ascii="Arial" w:hAnsi="Arial" w:cs="Arial"/>
          <w:sz w:val="20"/>
          <w:szCs w:val="20"/>
        </w:rPr>
      </w:pPr>
      <w:r w:rsidRPr="0074154F">
        <w:rPr>
          <w:rFonts w:ascii="Arial" w:hAnsi="Arial" w:cs="Arial"/>
          <w:sz w:val="20"/>
          <w:szCs w:val="20"/>
        </w:rPr>
        <w:t>(En dólares de los Estados Unidos de América)</w:t>
      </w:r>
    </w:p>
    <w:p w14:paraId="514231F3" w14:textId="77777777" w:rsidR="007C38A3" w:rsidRPr="0074154F" w:rsidRDefault="007C38A3" w:rsidP="00413455">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7383105D" w14:textId="77777777" w:rsidR="005A5DA3" w:rsidRPr="0074154F" w:rsidRDefault="005A5DA3"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INFORMACIÓN GENERAL</w:t>
      </w:r>
    </w:p>
    <w:p w14:paraId="0617BEDE" w14:textId="77777777" w:rsidR="00893537" w:rsidRPr="0074154F" w:rsidRDefault="00893537" w:rsidP="00413455">
      <w:pPr>
        <w:tabs>
          <w:tab w:val="left" w:pos="1276"/>
          <w:tab w:val="left" w:pos="6989"/>
        </w:tabs>
        <w:spacing w:after="0" w:line="240" w:lineRule="auto"/>
        <w:ind w:left="851"/>
        <w:contextualSpacing/>
        <w:mirrorIndents/>
        <w:jc w:val="both"/>
        <w:rPr>
          <w:rFonts w:ascii="Arial" w:hAnsi="Arial" w:cs="Arial"/>
          <w:b/>
          <w:sz w:val="20"/>
          <w:szCs w:val="20"/>
          <w:u w:val="single"/>
        </w:rPr>
      </w:pPr>
    </w:p>
    <w:p w14:paraId="04753371" w14:textId="491B409F" w:rsidR="00281B07" w:rsidRPr="0074154F" w:rsidRDefault="00C153BB" w:rsidP="00413455">
      <w:pPr>
        <w:pStyle w:val="Cuerpodeltexto20"/>
        <w:shd w:val="clear" w:color="auto" w:fill="auto"/>
        <w:spacing w:before="0" w:line="240" w:lineRule="auto"/>
        <w:ind w:left="567" w:firstLine="0"/>
        <w:rPr>
          <w:rFonts w:eastAsiaTheme="minorHAnsi"/>
          <w:sz w:val="20"/>
          <w:szCs w:val="20"/>
          <w:lang w:val="es-EC"/>
        </w:rPr>
      </w:pPr>
      <w:bookmarkStart w:id="6" w:name="_Hlk34685373"/>
      <w:bookmarkStart w:id="7" w:name="_Hlk512453406"/>
      <w:r w:rsidRPr="0074154F">
        <w:rPr>
          <w:rFonts w:eastAsiaTheme="minorHAnsi"/>
          <w:sz w:val="20"/>
          <w:szCs w:val="20"/>
          <w:lang w:val="es-EC"/>
        </w:rPr>
        <w:t>Telconet S.A.</w:t>
      </w:r>
      <w:r w:rsidR="004055CE" w:rsidRPr="0074154F">
        <w:rPr>
          <w:rFonts w:eastAsiaTheme="minorHAnsi"/>
          <w:sz w:val="20"/>
          <w:szCs w:val="20"/>
          <w:lang w:val="es-EC"/>
        </w:rPr>
        <w:t xml:space="preserve"> </w:t>
      </w:r>
      <w:r w:rsidR="002A663C" w:rsidRPr="0074154F">
        <w:rPr>
          <w:rFonts w:eastAsiaTheme="minorHAnsi"/>
          <w:sz w:val="20"/>
          <w:szCs w:val="20"/>
          <w:lang w:val="es-EC"/>
        </w:rPr>
        <w:t xml:space="preserve">y </w:t>
      </w:r>
      <w:r w:rsidR="00F04C82">
        <w:rPr>
          <w:rFonts w:eastAsiaTheme="minorHAnsi"/>
          <w:sz w:val="20"/>
          <w:szCs w:val="20"/>
          <w:lang w:val="es-EC"/>
        </w:rPr>
        <w:t xml:space="preserve">Compañía </w:t>
      </w:r>
      <w:r w:rsidR="008A16A0">
        <w:rPr>
          <w:rFonts w:eastAsiaTheme="minorHAnsi"/>
          <w:sz w:val="20"/>
          <w:szCs w:val="20"/>
          <w:lang w:val="es-EC"/>
        </w:rPr>
        <w:t>R</w:t>
      </w:r>
      <w:r w:rsidR="00F04C82">
        <w:rPr>
          <w:rFonts w:eastAsiaTheme="minorHAnsi"/>
          <w:sz w:val="20"/>
          <w:szCs w:val="20"/>
          <w:lang w:val="es-EC"/>
        </w:rPr>
        <w:t>elacionada</w:t>
      </w:r>
      <w:r w:rsidR="004055CE" w:rsidRPr="0074154F">
        <w:rPr>
          <w:rFonts w:eastAsiaTheme="minorHAnsi"/>
          <w:sz w:val="20"/>
          <w:szCs w:val="20"/>
          <w:lang w:val="es-EC"/>
        </w:rPr>
        <w:t xml:space="preserve">, fue constituida </w:t>
      </w:r>
      <w:bookmarkEnd w:id="6"/>
      <w:r w:rsidR="00123DFF" w:rsidRPr="0074154F">
        <w:rPr>
          <w:rFonts w:eastAsiaTheme="minorHAnsi"/>
          <w:sz w:val="20"/>
          <w:szCs w:val="20"/>
          <w:lang w:val="es-EC"/>
        </w:rPr>
        <w:t xml:space="preserve">en </w:t>
      </w:r>
      <w:r w:rsidR="00415EBB" w:rsidRPr="0074154F">
        <w:rPr>
          <w:rFonts w:eastAsiaTheme="minorHAnsi"/>
          <w:sz w:val="20"/>
          <w:szCs w:val="20"/>
          <w:lang w:val="es-EC"/>
        </w:rPr>
        <w:t xml:space="preserve">la República del </w:t>
      </w:r>
      <w:r w:rsidR="00123DFF" w:rsidRPr="0074154F">
        <w:rPr>
          <w:rFonts w:eastAsiaTheme="minorHAnsi"/>
          <w:sz w:val="20"/>
          <w:szCs w:val="20"/>
          <w:lang w:val="es-EC"/>
        </w:rPr>
        <w:t>Ecuador</w:t>
      </w:r>
      <w:r w:rsidR="00610484" w:rsidRPr="0074154F">
        <w:rPr>
          <w:rFonts w:eastAsiaTheme="minorHAnsi"/>
          <w:sz w:val="20"/>
          <w:szCs w:val="20"/>
          <w:lang w:val="es-EC"/>
        </w:rPr>
        <w:t xml:space="preserve"> en la</w:t>
      </w:r>
      <w:r w:rsidR="00267AA5" w:rsidRPr="0074154F">
        <w:rPr>
          <w:rFonts w:eastAsiaTheme="minorHAnsi"/>
          <w:sz w:val="20"/>
          <w:szCs w:val="20"/>
          <w:lang w:val="es-EC"/>
        </w:rPr>
        <w:t xml:space="preserve"> </w:t>
      </w:r>
      <w:r w:rsidR="00610484" w:rsidRPr="0074154F">
        <w:rPr>
          <w:rFonts w:eastAsiaTheme="minorHAnsi"/>
          <w:sz w:val="20"/>
          <w:szCs w:val="20"/>
          <w:lang w:val="es-EC"/>
        </w:rPr>
        <w:t>ciudad de Guayaquil</w:t>
      </w:r>
      <w:r w:rsidR="00123DFF" w:rsidRPr="0074154F">
        <w:rPr>
          <w:rFonts w:eastAsiaTheme="minorHAnsi"/>
          <w:sz w:val="20"/>
          <w:szCs w:val="20"/>
          <w:lang w:val="es-EC"/>
        </w:rPr>
        <w:t xml:space="preserve">, el </w:t>
      </w:r>
      <w:r w:rsidR="00610484" w:rsidRPr="0074154F">
        <w:rPr>
          <w:rFonts w:eastAsiaTheme="minorHAnsi"/>
          <w:sz w:val="20"/>
          <w:szCs w:val="20"/>
          <w:lang w:val="es-EC"/>
        </w:rPr>
        <w:t>24</w:t>
      </w:r>
      <w:r w:rsidR="00123DFF" w:rsidRPr="0074154F">
        <w:rPr>
          <w:rFonts w:eastAsiaTheme="minorHAnsi"/>
          <w:sz w:val="20"/>
          <w:szCs w:val="20"/>
          <w:lang w:val="es-EC"/>
        </w:rPr>
        <w:t xml:space="preserve"> de </w:t>
      </w:r>
      <w:r w:rsidR="00610484" w:rsidRPr="0074154F">
        <w:rPr>
          <w:rFonts w:eastAsiaTheme="minorHAnsi"/>
          <w:sz w:val="20"/>
          <w:szCs w:val="20"/>
          <w:lang w:val="es-EC"/>
        </w:rPr>
        <w:t>agosto</w:t>
      </w:r>
      <w:r w:rsidR="00123DFF" w:rsidRPr="0074154F">
        <w:rPr>
          <w:rFonts w:eastAsiaTheme="minorHAnsi"/>
          <w:sz w:val="20"/>
          <w:szCs w:val="20"/>
          <w:lang w:val="es-EC"/>
        </w:rPr>
        <w:t xml:space="preserve"> de 199</w:t>
      </w:r>
      <w:r w:rsidR="00610484" w:rsidRPr="0074154F">
        <w:rPr>
          <w:rFonts w:eastAsiaTheme="minorHAnsi"/>
          <w:sz w:val="20"/>
          <w:szCs w:val="20"/>
          <w:lang w:val="es-EC"/>
        </w:rPr>
        <w:t>5</w:t>
      </w:r>
      <w:r w:rsidR="00123DFF" w:rsidRPr="0074154F">
        <w:rPr>
          <w:rFonts w:eastAsiaTheme="minorHAnsi"/>
          <w:sz w:val="20"/>
          <w:szCs w:val="20"/>
          <w:lang w:val="es-EC"/>
        </w:rPr>
        <w:t xml:space="preserve"> e inscrito en el Registro Mercantil el </w:t>
      </w:r>
      <w:r w:rsidR="00610484" w:rsidRPr="0074154F">
        <w:rPr>
          <w:rFonts w:eastAsiaTheme="minorHAnsi"/>
          <w:sz w:val="20"/>
          <w:szCs w:val="20"/>
          <w:lang w:val="es-EC"/>
        </w:rPr>
        <w:t>14</w:t>
      </w:r>
      <w:r w:rsidR="00123DFF" w:rsidRPr="0074154F">
        <w:rPr>
          <w:rFonts w:eastAsiaTheme="minorHAnsi"/>
          <w:sz w:val="20"/>
          <w:szCs w:val="20"/>
          <w:lang w:val="es-EC"/>
        </w:rPr>
        <w:t xml:space="preserve"> de </w:t>
      </w:r>
      <w:r w:rsidR="00610484" w:rsidRPr="0074154F">
        <w:rPr>
          <w:rFonts w:eastAsiaTheme="minorHAnsi"/>
          <w:sz w:val="20"/>
          <w:szCs w:val="20"/>
          <w:lang w:val="es-EC"/>
        </w:rPr>
        <w:t>sept</w:t>
      </w:r>
      <w:r w:rsidR="00123DFF" w:rsidRPr="0074154F">
        <w:rPr>
          <w:rFonts w:eastAsiaTheme="minorHAnsi"/>
          <w:sz w:val="20"/>
          <w:szCs w:val="20"/>
          <w:lang w:val="es-EC"/>
        </w:rPr>
        <w:t>iembre del mismo año</w:t>
      </w:r>
      <w:r w:rsidR="00415EBB" w:rsidRPr="0074154F">
        <w:rPr>
          <w:rFonts w:eastAsiaTheme="minorHAnsi"/>
          <w:sz w:val="20"/>
          <w:szCs w:val="20"/>
          <w:lang w:val="es-EC"/>
        </w:rPr>
        <w:t>.</w:t>
      </w:r>
      <w:r w:rsidR="00267AA5" w:rsidRPr="0074154F">
        <w:rPr>
          <w:rFonts w:eastAsiaTheme="minorHAnsi"/>
          <w:sz w:val="20"/>
          <w:szCs w:val="20"/>
          <w:lang w:val="es-EC"/>
        </w:rPr>
        <w:t xml:space="preserve"> </w:t>
      </w:r>
      <w:r w:rsidR="00415EBB" w:rsidRPr="0074154F">
        <w:rPr>
          <w:rFonts w:eastAsiaTheme="minorHAnsi"/>
          <w:sz w:val="20"/>
          <w:szCs w:val="20"/>
          <w:lang w:val="es-EC"/>
        </w:rPr>
        <w:t xml:space="preserve">Su actividad principal es </w:t>
      </w:r>
      <w:r w:rsidR="00610484" w:rsidRPr="0074154F">
        <w:rPr>
          <w:rFonts w:eastAsiaTheme="minorHAnsi"/>
          <w:sz w:val="20"/>
          <w:szCs w:val="20"/>
          <w:lang w:val="es-EC"/>
        </w:rPr>
        <w:t>a la provisión de servicio de internet, la prestación de servicios de portadores (servicios de telecomunicaciones que proporcionan la capacidad necesaria para transmisión de señales entre puntos de terminación definidos de red) en el territorio nacional y con conexión internacional y servicios de data center</w:t>
      </w:r>
      <w:r w:rsidR="00123DFF" w:rsidRPr="0074154F">
        <w:rPr>
          <w:rFonts w:eastAsiaTheme="minorHAnsi"/>
          <w:sz w:val="20"/>
          <w:szCs w:val="20"/>
          <w:lang w:val="es-EC"/>
        </w:rPr>
        <w:t xml:space="preserve">. </w:t>
      </w:r>
    </w:p>
    <w:p w14:paraId="5A65FD16" w14:textId="77777777" w:rsidR="00281B07" w:rsidRPr="0074154F" w:rsidRDefault="00281B07" w:rsidP="00413455">
      <w:pPr>
        <w:pStyle w:val="Cuerpodeltexto20"/>
        <w:shd w:val="clear" w:color="auto" w:fill="auto"/>
        <w:spacing w:before="0" w:line="240" w:lineRule="auto"/>
        <w:ind w:left="567" w:firstLine="0"/>
        <w:rPr>
          <w:rFonts w:eastAsiaTheme="minorHAnsi"/>
          <w:sz w:val="16"/>
          <w:szCs w:val="16"/>
          <w:lang w:val="es-EC"/>
        </w:rPr>
      </w:pPr>
    </w:p>
    <w:p w14:paraId="00141308" w14:textId="63439B04" w:rsidR="00123DFF" w:rsidRPr="0074154F" w:rsidRDefault="001F6C11" w:rsidP="00413455">
      <w:pPr>
        <w:pStyle w:val="Cuerpodeltexto20"/>
        <w:shd w:val="clear" w:color="auto" w:fill="auto"/>
        <w:spacing w:before="0" w:line="240" w:lineRule="auto"/>
        <w:ind w:left="567" w:firstLine="0"/>
        <w:rPr>
          <w:rFonts w:eastAsiaTheme="minorHAnsi"/>
          <w:sz w:val="20"/>
          <w:szCs w:val="20"/>
          <w:lang w:val="es-EC"/>
        </w:rPr>
      </w:pPr>
      <w:r w:rsidRPr="0074154F">
        <w:rPr>
          <w:rFonts w:eastAsiaTheme="minorHAnsi"/>
          <w:sz w:val="20"/>
          <w:szCs w:val="20"/>
          <w:lang w:val="es-EC"/>
        </w:rPr>
        <w:t>El</w:t>
      </w:r>
      <w:r w:rsidR="00123DFF" w:rsidRPr="0074154F">
        <w:rPr>
          <w:rFonts w:eastAsiaTheme="minorHAnsi"/>
          <w:sz w:val="20"/>
          <w:szCs w:val="20"/>
          <w:lang w:val="es-EC"/>
        </w:rPr>
        <w:t xml:space="preserve"> domicilio tributario de </w:t>
      </w:r>
      <w:r w:rsidR="00FA59CD">
        <w:rPr>
          <w:rFonts w:eastAsiaTheme="minorHAnsi"/>
          <w:sz w:val="20"/>
          <w:szCs w:val="20"/>
          <w:lang w:val="es-EC"/>
        </w:rPr>
        <w:t xml:space="preserve">la Compañía que consolida </w:t>
      </w:r>
      <w:r w:rsidR="008A16A0">
        <w:rPr>
          <w:rFonts w:eastAsiaTheme="minorHAnsi"/>
          <w:sz w:val="20"/>
          <w:szCs w:val="20"/>
          <w:lang w:val="es-EC"/>
        </w:rPr>
        <w:t xml:space="preserve">Telconet </w:t>
      </w:r>
      <w:r w:rsidR="009A7F44">
        <w:rPr>
          <w:rFonts w:eastAsiaTheme="minorHAnsi"/>
          <w:sz w:val="20"/>
          <w:szCs w:val="20"/>
          <w:lang w:val="es-EC"/>
        </w:rPr>
        <w:t xml:space="preserve">S.A. </w:t>
      </w:r>
      <w:r w:rsidR="00123DFF" w:rsidRPr="0074154F">
        <w:rPr>
          <w:rFonts w:eastAsiaTheme="minorHAnsi"/>
          <w:sz w:val="20"/>
          <w:szCs w:val="20"/>
          <w:lang w:val="es-EC"/>
        </w:rPr>
        <w:t xml:space="preserve">es Ciudadela </w:t>
      </w:r>
      <w:r w:rsidR="006F7D3B" w:rsidRPr="0074154F">
        <w:rPr>
          <w:rFonts w:eastAsiaTheme="minorHAnsi"/>
          <w:sz w:val="20"/>
          <w:szCs w:val="20"/>
          <w:lang w:val="es-EC"/>
        </w:rPr>
        <w:t>Kennedy Norte</w:t>
      </w:r>
      <w:r w:rsidR="00123DFF" w:rsidRPr="0074154F">
        <w:rPr>
          <w:rFonts w:eastAsiaTheme="minorHAnsi"/>
          <w:sz w:val="20"/>
          <w:szCs w:val="20"/>
          <w:lang w:val="es-EC"/>
        </w:rPr>
        <w:t xml:space="preserve">, calle </w:t>
      </w:r>
      <w:r w:rsidR="006F7D3B" w:rsidRPr="0074154F">
        <w:rPr>
          <w:rFonts w:eastAsiaTheme="minorHAnsi"/>
          <w:sz w:val="20"/>
          <w:szCs w:val="20"/>
          <w:lang w:val="es-EC"/>
        </w:rPr>
        <w:t xml:space="preserve">Luis Orrantia </w:t>
      </w:r>
      <w:r w:rsidR="00DB59ED" w:rsidRPr="0074154F">
        <w:rPr>
          <w:rFonts w:eastAsiaTheme="minorHAnsi"/>
          <w:sz w:val="20"/>
          <w:szCs w:val="20"/>
          <w:lang w:val="es-EC"/>
        </w:rPr>
        <w:t>S</w:t>
      </w:r>
      <w:r w:rsidR="006F7D3B" w:rsidRPr="0074154F">
        <w:rPr>
          <w:rFonts w:eastAsiaTheme="minorHAnsi"/>
          <w:sz w:val="20"/>
          <w:szCs w:val="20"/>
          <w:lang w:val="es-EC"/>
        </w:rPr>
        <w:t>olar 21</w:t>
      </w:r>
      <w:r w:rsidR="00123DFF" w:rsidRPr="0074154F">
        <w:rPr>
          <w:rFonts w:eastAsiaTheme="minorHAnsi"/>
          <w:sz w:val="20"/>
          <w:szCs w:val="20"/>
          <w:lang w:val="es-EC"/>
        </w:rPr>
        <w:t>,</w:t>
      </w:r>
      <w:r w:rsidR="006F7D3B" w:rsidRPr="0074154F">
        <w:rPr>
          <w:rFonts w:eastAsiaTheme="minorHAnsi"/>
          <w:sz w:val="20"/>
          <w:szCs w:val="20"/>
          <w:lang w:val="es-EC"/>
        </w:rPr>
        <w:t xml:space="preserve"> intersección Av. </w:t>
      </w:r>
      <w:proofErr w:type="spellStart"/>
      <w:r w:rsidR="006F7D3B" w:rsidRPr="0074154F">
        <w:rPr>
          <w:rFonts w:eastAsiaTheme="minorHAnsi"/>
          <w:sz w:val="20"/>
          <w:szCs w:val="20"/>
          <w:lang w:val="es-EC"/>
        </w:rPr>
        <w:t>Victor</w:t>
      </w:r>
      <w:proofErr w:type="spellEnd"/>
      <w:r w:rsidR="006F7D3B" w:rsidRPr="0074154F">
        <w:rPr>
          <w:rFonts w:eastAsiaTheme="minorHAnsi"/>
          <w:sz w:val="20"/>
          <w:szCs w:val="20"/>
          <w:lang w:val="es-EC"/>
        </w:rPr>
        <w:t xml:space="preserve"> Hugo </w:t>
      </w:r>
      <w:proofErr w:type="spellStart"/>
      <w:r w:rsidR="006F7D3B" w:rsidRPr="0074154F">
        <w:rPr>
          <w:rFonts w:eastAsiaTheme="minorHAnsi"/>
          <w:sz w:val="20"/>
          <w:szCs w:val="20"/>
          <w:lang w:val="es-EC"/>
        </w:rPr>
        <w:t>Sicouret</w:t>
      </w:r>
      <w:proofErr w:type="spellEnd"/>
      <w:r w:rsidR="006F7D3B" w:rsidRPr="0074154F">
        <w:rPr>
          <w:rFonts w:eastAsiaTheme="minorHAnsi"/>
          <w:sz w:val="20"/>
          <w:szCs w:val="20"/>
          <w:lang w:val="es-EC"/>
        </w:rPr>
        <w:t xml:space="preserve"> </w:t>
      </w:r>
      <w:r w:rsidR="00267AA5" w:rsidRPr="0074154F">
        <w:rPr>
          <w:rFonts w:eastAsiaTheme="minorHAnsi"/>
          <w:sz w:val="20"/>
          <w:szCs w:val="20"/>
          <w:lang w:val="es-EC"/>
        </w:rPr>
        <w:t>M</w:t>
      </w:r>
      <w:r w:rsidR="006F7D3B" w:rsidRPr="0074154F">
        <w:rPr>
          <w:rFonts w:eastAsiaTheme="minorHAnsi"/>
          <w:sz w:val="20"/>
          <w:szCs w:val="20"/>
          <w:lang w:val="es-EC"/>
        </w:rPr>
        <w:t xml:space="preserve">anzana </w:t>
      </w:r>
      <w:r w:rsidR="00DB59ED" w:rsidRPr="0074154F">
        <w:rPr>
          <w:rFonts w:eastAsiaTheme="minorHAnsi"/>
          <w:sz w:val="20"/>
          <w:szCs w:val="20"/>
          <w:lang w:val="es-EC"/>
        </w:rPr>
        <w:t xml:space="preserve">No. </w:t>
      </w:r>
      <w:r w:rsidR="006F7D3B" w:rsidRPr="0074154F">
        <w:rPr>
          <w:rFonts w:eastAsiaTheme="minorHAnsi"/>
          <w:sz w:val="20"/>
          <w:szCs w:val="20"/>
          <w:lang w:val="es-EC"/>
        </w:rPr>
        <w:t>109, Edificio Condominio Hermanos Morla</w:t>
      </w:r>
      <w:r w:rsidR="00123DFF" w:rsidRPr="0074154F">
        <w:rPr>
          <w:rFonts w:eastAsiaTheme="minorHAnsi"/>
          <w:sz w:val="20"/>
          <w:szCs w:val="20"/>
          <w:lang w:val="es-EC"/>
        </w:rPr>
        <w:t xml:space="preserve"> </w:t>
      </w:r>
      <w:r w:rsidR="006F7D3B" w:rsidRPr="0074154F">
        <w:rPr>
          <w:rFonts w:eastAsiaTheme="minorHAnsi"/>
          <w:sz w:val="20"/>
          <w:szCs w:val="20"/>
          <w:lang w:val="es-EC"/>
        </w:rPr>
        <w:t>detrás de mi juguetería</w:t>
      </w:r>
      <w:r w:rsidR="00415EBB" w:rsidRPr="0074154F">
        <w:rPr>
          <w:rFonts w:eastAsiaTheme="minorHAnsi"/>
          <w:sz w:val="20"/>
          <w:szCs w:val="20"/>
          <w:lang w:val="es-EC"/>
        </w:rPr>
        <w:t>.</w:t>
      </w:r>
      <w:r w:rsidR="00DB59ED" w:rsidRPr="0074154F">
        <w:rPr>
          <w:rFonts w:eastAsiaTheme="minorHAnsi"/>
          <w:sz w:val="20"/>
          <w:szCs w:val="20"/>
          <w:lang w:val="es-EC"/>
        </w:rPr>
        <w:t xml:space="preserve"> </w:t>
      </w:r>
      <w:r w:rsidR="00415EBB" w:rsidRPr="0074154F">
        <w:rPr>
          <w:rFonts w:eastAsiaTheme="minorHAnsi"/>
          <w:sz w:val="20"/>
          <w:szCs w:val="20"/>
          <w:lang w:val="es-EC"/>
        </w:rPr>
        <w:t>La Compañía s</w:t>
      </w:r>
      <w:r w:rsidR="00123DFF" w:rsidRPr="0074154F">
        <w:rPr>
          <w:rFonts w:eastAsiaTheme="minorHAnsi"/>
          <w:sz w:val="20"/>
          <w:szCs w:val="20"/>
          <w:lang w:val="es-EC"/>
        </w:rPr>
        <w:t>e encuentra registrad</w:t>
      </w:r>
      <w:r w:rsidR="00415EBB" w:rsidRPr="0074154F">
        <w:rPr>
          <w:rFonts w:eastAsiaTheme="minorHAnsi"/>
          <w:sz w:val="20"/>
          <w:szCs w:val="20"/>
          <w:lang w:val="es-EC"/>
        </w:rPr>
        <w:t>a</w:t>
      </w:r>
      <w:r w:rsidR="00123DFF" w:rsidRPr="0074154F">
        <w:rPr>
          <w:rFonts w:eastAsiaTheme="minorHAnsi"/>
          <w:sz w:val="20"/>
          <w:szCs w:val="20"/>
          <w:lang w:val="es-EC"/>
        </w:rPr>
        <w:t xml:space="preserve"> ante el Servicio de Rentas Internas </w:t>
      </w:r>
      <w:r w:rsidR="00415EBB" w:rsidRPr="0074154F">
        <w:rPr>
          <w:rFonts w:eastAsiaTheme="minorHAnsi"/>
          <w:sz w:val="20"/>
          <w:szCs w:val="20"/>
          <w:lang w:val="es-EC"/>
        </w:rPr>
        <w:t xml:space="preserve">(SRI) </w:t>
      </w:r>
      <w:r w:rsidR="00123DFF" w:rsidRPr="0074154F">
        <w:rPr>
          <w:rFonts w:eastAsiaTheme="minorHAnsi"/>
          <w:sz w:val="20"/>
          <w:szCs w:val="20"/>
          <w:lang w:val="es-EC"/>
        </w:rPr>
        <w:t xml:space="preserve">bajo el número de Registro Único de Contribuyente </w:t>
      </w:r>
      <w:r w:rsidR="00415EBB" w:rsidRPr="0074154F">
        <w:rPr>
          <w:rFonts w:eastAsiaTheme="minorHAnsi"/>
          <w:sz w:val="20"/>
          <w:szCs w:val="20"/>
          <w:lang w:val="es-EC"/>
        </w:rPr>
        <w:t xml:space="preserve">RUC </w:t>
      </w:r>
      <w:r w:rsidR="00123DFF" w:rsidRPr="0074154F">
        <w:rPr>
          <w:rFonts w:eastAsiaTheme="minorHAnsi"/>
          <w:sz w:val="20"/>
          <w:szCs w:val="20"/>
          <w:lang w:val="es-EC"/>
        </w:rPr>
        <w:t>No. 0991</w:t>
      </w:r>
      <w:r w:rsidR="006F7D3B" w:rsidRPr="0074154F">
        <w:rPr>
          <w:rFonts w:eastAsiaTheme="minorHAnsi"/>
          <w:sz w:val="20"/>
          <w:szCs w:val="20"/>
          <w:lang w:val="es-EC"/>
        </w:rPr>
        <w:t>327371</w:t>
      </w:r>
      <w:r w:rsidR="00123DFF" w:rsidRPr="0074154F">
        <w:rPr>
          <w:rFonts w:eastAsiaTheme="minorHAnsi"/>
          <w:sz w:val="20"/>
          <w:szCs w:val="20"/>
          <w:lang w:val="es-EC"/>
        </w:rPr>
        <w:t>001.</w:t>
      </w:r>
    </w:p>
    <w:p w14:paraId="08B76987" w14:textId="7F580D39" w:rsidR="00123DFF" w:rsidRPr="0074154F" w:rsidRDefault="00123DFF" w:rsidP="00413455">
      <w:pPr>
        <w:pStyle w:val="Cuerpodeltexto20"/>
        <w:shd w:val="clear" w:color="auto" w:fill="auto"/>
        <w:spacing w:before="0" w:line="240" w:lineRule="auto"/>
        <w:ind w:left="567" w:firstLine="0"/>
        <w:rPr>
          <w:rFonts w:eastAsiaTheme="minorHAnsi"/>
          <w:sz w:val="16"/>
          <w:szCs w:val="16"/>
          <w:lang w:val="es-EC"/>
        </w:rPr>
      </w:pPr>
    </w:p>
    <w:p w14:paraId="700031D9" w14:textId="1ACA8180" w:rsidR="00123DFF" w:rsidRPr="0074154F" w:rsidRDefault="00643072" w:rsidP="00413455">
      <w:pPr>
        <w:pStyle w:val="Cuerpodeltexto20"/>
        <w:shd w:val="clear" w:color="auto" w:fill="auto"/>
        <w:spacing w:before="0" w:line="240" w:lineRule="auto"/>
        <w:ind w:left="567" w:firstLine="0"/>
        <w:rPr>
          <w:rFonts w:eastAsiaTheme="minorHAnsi"/>
          <w:sz w:val="20"/>
          <w:szCs w:val="20"/>
          <w:lang w:val="es-EC"/>
        </w:rPr>
      </w:pPr>
      <w:r w:rsidRPr="0074154F">
        <w:rPr>
          <w:rFonts w:eastAsiaTheme="minorHAnsi"/>
          <w:sz w:val="20"/>
          <w:szCs w:val="20"/>
          <w:lang w:val="es-EC"/>
        </w:rPr>
        <w:t xml:space="preserve">Sus principales accionistas de nacionalidad ecuatoriana son: Con el 82.00% del paquete accionario </w:t>
      </w:r>
      <w:r w:rsidRPr="0074154F">
        <w:rPr>
          <w:rFonts w:eastAsiaTheme="minorHAnsi"/>
          <w:color w:val="000000" w:themeColor="text1"/>
          <w:sz w:val="20"/>
          <w:szCs w:val="20"/>
          <w:lang w:val="es-EC"/>
        </w:rPr>
        <w:t>(35,430,661 acciones</w:t>
      </w:r>
      <w:r w:rsidRPr="0074154F">
        <w:rPr>
          <w:rFonts w:eastAsiaTheme="minorHAnsi"/>
          <w:sz w:val="20"/>
          <w:szCs w:val="20"/>
          <w:lang w:val="es-EC"/>
        </w:rPr>
        <w:t>) el Sr. Jan Tomislav Topic Feraud seguida con el 18.00 % del paquete accionario (</w:t>
      </w:r>
      <w:r w:rsidRPr="0074154F">
        <w:rPr>
          <w:rFonts w:eastAsiaTheme="minorHAnsi"/>
          <w:color w:val="000000" w:themeColor="text1"/>
          <w:sz w:val="20"/>
          <w:szCs w:val="20"/>
          <w:lang w:val="es-EC"/>
        </w:rPr>
        <w:t>7,827,701</w:t>
      </w:r>
      <w:r w:rsidR="008E2B20" w:rsidRPr="0074154F">
        <w:rPr>
          <w:rFonts w:eastAsiaTheme="minorHAnsi"/>
          <w:color w:val="000000" w:themeColor="text1"/>
          <w:sz w:val="20"/>
          <w:szCs w:val="20"/>
          <w:lang w:val="es-EC"/>
        </w:rPr>
        <w:t xml:space="preserve"> </w:t>
      </w:r>
      <w:r w:rsidRPr="0074154F">
        <w:rPr>
          <w:rFonts w:eastAsiaTheme="minorHAnsi"/>
          <w:color w:val="000000" w:themeColor="text1"/>
          <w:sz w:val="20"/>
          <w:szCs w:val="20"/>
          <w:lang w:val="es-EC"/>
        </w:rPr>
        <w:t>acciones</w:t>
      </w:r>
      <w:r w:rsidRPr="0074154F">
        <w:rPr>
          <w:rFonts w:eastAsiaTheme="minorHAnsi"/>
          <w:sz w:val="20"/>
          <w:szCs w:val="20"/>
          <w:lang w:val="es-EC"/>
        </w:rPr>
        <w:t xml:space="preserve">) el Sr. Marion Tomislav Topic Granados. De conformidad con Acta de Junta de Accionistas del mes de diciembre del 2020, se realizó disminución de capital y redistribución del paquete accionario, el cual, a la fecha de este informe, se encuentra pendiente de legalización y registro en </w:t>
      </w:r>
      <w:r w:rsidR="00920077" w:rsidRPr="0074154F">
        <w:rPr>
          <w:rFonts w:eastAsiaTheme="minorHAnsi"/>
          <w:sz w:val="20"/>
          <w:szCs w:val="20"/>
          <w:lang w:val="es-EC"/>
        </w:rPr>
        <w:t xml:space="preserve">el organismo de control societario – Superintendencia de Compañías, Valores y Seguros (SCVS) y quedaría como sigue: </w:t>
      </w:r>
      <w:r w:rsidR="00415EBB" w:rsidRPr="0074154F">
        <w:rPr>
          <w:rFonts w:eastAsiaTheme="minorHAnsi"/>
          <w:sz w:val="20"/>
          <w:szCs w:val="20"/>
          <w:lang w:val="es-EC"/>
        </w:rPr>
        <w:t xml:space="preserve">Con el </w:t>
      </w:r>
      <w:r w:rsidR="0019130A" w:rsidRPr="0074154F">
        <w:rPr>
          <w:rFonts w:eastAsiaTheme="minorHAnsi"/>
          <w:sz w:val="20"/>
          <w:szCs w:val="20"/>
          <w:lang w:val="es-EC"/>
        </w:rPr>
        <w:t>64</w:t>
      </w:r>
      <w:r w:rsidR="00415EBB" w:rsidRPr="0074154F">
        <w:rPr>
          <w:rFonts w:eastAsiaTheme="minorHAnsi"/>
          <w:sz w:val="20"/>
          <w:szCs w:val="20"/>
          <w:lang w:val="es-EC"/>
        </w:rPr>
        <w:t>.</w:t>
      </w:r>
      <w:r w:rsidR="003D0FBE" w:rsidRPr="0074154F">
        <w:rPr>
          <w:rFonts w:eastAsiaTheme="minorHAnsi"/>
          <w:sz w:val="20"/>
          <w:szCs w:val="20"/>
          <w:lang w:val="es-EC"/>
        </w:rPr>
        <w:t>00</w:t>
      </w:r>
      <w:r w:rsidR="00415EBB" w:rsidRPr="0074154F">
        <w:rPr>
          <w:rFonts w:eastAsiaTheme="minorHAnsi"/>
          <w:sz w:val="20"/>
          <w:szCs w:val="20"/>
          <w:lang w:val="es-EC"/>
        </w:rPr>
        <w:t xml:space="preserve">% del paquete accionario </w:t>
      </w:r>
      <w:r w:rsidR="00415EBB" w:rsidRPr="0074154F">
        <w:rPr>
          <w:rFonts w:eastAsiaTheme="minorHAnsi"/>
          <w:color w:val="000000" w:themeColor="text1"/>
          <w:sz w:val="20"/>
          <w:szCs w:val="20"/>
          <w:lang w:val="es-EC"/>
        </w:rPr>
        <w:t>(</w:t>
      </w:r>
      <w:r w:rsidR="00AB6818" w:rsidRPr="0074154F">
        <w:rPr>
          <w:rFonts w:eastAsiaTheme="minorHAnsi"/>
          <w:color w:val="000000" w:themeColor="text1"/>
          <w:sz w:val="20"/>
          <w:szCs w:val="20"/>
          <w:lang w:val="es-EC"/>
        </w:rPr>
        <w:t>13,842,676</w:t>
      </w:r>
      <w:r w:rsidR="00415EBB" w:rsidRPr="0074154F">
        <w:rPr>
          <w:rFonts w:eastAsiaTheme="minorHAnsi"/>
          <w:color w:val="000000" w:themeColor="text1"/>
          <w:sz w:val="20"/>
          <w:szCs w:val="20"/>
          <w:lang w:val="es-EC"/>
        </w:rPr>
        <w:t xml:space="preserve"> acciones</w:t>
      </w:r>
      <w:r w:rsidR="00415EBB" w:rsidRPr="0074154F">
        <w:rPr>
          <w:rFonts w:eastAsiaTheme="minorHAnsi"/>
          <w:sz w:val="20"/>
          <w:szCs w:val="20"/>
          <w:lang w:val="es-EC"/>
        </w:rPr>
        <w:t xml:space="preserve">) </w:t>
      </w:r>
      <w:r w:rsidR="003D0FBE" w:rsidRPr="0074154F">
        <w:rPr>
          <w:rFonts w:eastAsiaTheme="minorHAnsi"/>
          <w:sz w:val="20"/>
          <w:szCs w:val="20"/>
          <w:lang w:val="es-EC"/>
        </w:rPr>
        <w:t>el</w:t>
      </w:r>
      <w:r w:rsidR="00415EBB" w:rsidRPr="0074154F">
        <w:rPr>
          <w:rFonts w:eastAsiaTheme="minorHAnsi"/>
          <w:sz w:val="20"/>
          <w:szCs w:val="20"/>
          <w:lang w:val="es-EC"/>
        </w:rPr>
        <w:t xml:space="preserve"> </w:t>
      </w:r>
      <w:r w:rsidR="003D0FBE" w:rsidRPr="0074154F">
        <w:rPr>
          <w:rFonts w:eastAsiaTheme="minorHAnsi"/>
          <w:sz w:val="20"/>
          <w:szCs w:val="20"/>
          <w:lang w:val="es-EC"/>
        </w:rPr>
        <w:t>Sr. Jan Tomislav Topic Feraud</w:t>
      </w:r>
      <w:r w:rsidR="00415EBB" w:rsidRPr="0074154F">
        <w:rPr>
          <w:rFonts w:eastAsiaTheme="minorHAnsi"/>
          <w:sz w:val="20"/>
          <w:szCs w:val="20"/>
          <w:lang w:val="es-EC"/>
        </w:rPr>
        <w:t xml:space="preserve"> seguida con el </w:t>
      </w:r>
      <w:r w:rsidR="0019130A" w:rsidRPr="0074154F">
        <w:rPr>
          <w:rFonts w:eastAsiaTheme="minorHAnsi"/>
          <w:sz w:val="20"/>
          <w:szCs w:val="20"/>
          <w:lang w:val="es-EC"/>
        </w:rPr>
        <w:t>36</w:t>
      </w:r>
      <w:r w:rsidR="00415EBB" w:rsidRPr="0074154F">
        <w:rPr>
          <w:rFonts w:eastAsiaTheme="minorHAnsi"/>
          <w:sz w:val="20"/>
          <w:szCs w:val="20"/>
          <w:lang w:val="es-EC"/>
        </w:rPr>
        <w:t>.</w:t>
      </w:r>
      <w:r w:rsidR="003D0FBE" w:rsidRPr="0074154F">
        <w:rPr>
          <w:rFonts w:eastAsiaTheme="minorHAnsi"/>
          <w:sz w:val="20"/>
          <w:szCs w:val="20"/>
          <w:lang w:val="es-EC"/>
        </w:rPr>
        <w:t>00</w:t>
      </w:r>
      <w:r w:rsidR="00415EBB" w:rsidRPr="0074154F">
        <w:rPr>
          <w:rFonts w:eastAsiaTheme="minorHAnsi"/>
          <w:sz w:val="20"/>
          <w:szCs w:val="20"/>
          <w:lang w:val="es-EC"/>
        </w:rPr>
        <w:t>% del paquete accionario (</w:t>
      </w:r>
      <w:r w:rsidR="003D0FBE" w:rsidRPr="0074154F">
        <w:rPr>
          <w:rFonts w:eastAsiaTheme="minorHAnsi"/>
          <w:color w:val="000000" w:themeColor="text1"/>
          <w:sz w:val="20"/>
          <w:szCs w:val="20"/>
          <w:lang w:val="es-EC"/>
        </w:rPr>
        <w:t>7</w:t>
      </w:r>
      <w:r w:rsidR="00415EBB" w:rsidRPr="0074154F">
        <w:rPr>
          <w:rFonts w:eastAsiaTheme="minorHAnsi"/>
          <w:color w:val="000000" w:themeColor="text1"/>
          <w:sz w:val="20"/>
          <w:szCs w:val="20"/>
          <w:lang w:val="es-EC"/>
        </w:rPr>
        <w:t>,</w:t>
      </w:r>
      <w:r w:rsidR="00AB6818" w:rsidRPr="0074154F">
        <w:rPr>
          <w:rFonts w:eastAsiaTheme="minorHAnsi"/>
          <w:color w:val="000000" w:themeColor="text1"/>
          <w:sz w:val="20"/>
          <w:szCs w:val="20"/>
          <w:lang w:val="es-EC"/>
        </w:rPr>
        <w:t>786</w:t>
      </w:r>
      <w:r w:rsidR="003D0FBE" w:rsidRPr="0074154F">
        <w:rPr>
          <w:rFonts w:eastAsiaTheme="minorHAnsi"/>
          <w:color w:val="000000" w:themeColor="text1"/>
          <w:sz w:val="20"/>
          <w:szCs w:val="20"/>
          <w:lang w:val="es-EC"/>
        </w:rPr>
        <w:t>,</w:t>
      </w:r>
      <w:r w:rsidR="00AB6818" w:rsidRPr="0074154F">
        <w:rPr>
          <w:rFonts w:eastAsiaTheme="minorHAnsi"/>
          <w:color w:val="000000" w:themeColor="text1"/>
          <w:sz w:val="20"/>
          <w:szCs w:val="20"/>
          <w:lang w:val="es-EC"/>
        </w:rPr>
        <w:t>505</w:t>
      </w:r>
      <w:r w:rsidR="00415EBB" w:rsidRPr="0074154F">
        <w:rPr>
          <w:rFonts w:eastAsiaTheme="minorHAnsi"/>
          <w:color w:val="000000" w:themeColor="text1"/>
          <w:sz w:val="20"/>
          <w:szCs w:val="20"/>
          <w:lang w:val="es-EC"/>
        </w:rPr>
        <w:t xml:space="preserve"> acciones</w:t>
      </w:r>
      <w:r w:rsidR="00415EBB" w:rsidRPr="0074154F">
        <w:rPr>
          <w:rFonts w:eastAsiaTheme="minorHAnsi"/>
          <w:sz w:val="20"/>
          <w:szCs w:val="20"/>
          <w:lang w:val="es-EC"/>
        </w:rPr>
        <w:t xml:space="preserve">) </w:t>
      </w:r>
      <w:r w:rsidR="003D0FBE" w:rsidRPr="0074154F">
        <w:rPr>
          <w:rFonts w:eastAsiaTheme="minorHAnsi"/>
          <w:sz w:val="20"/>
          <w:szCs w:val="20"/>
          <w:lang w:val="es-EC"/>
        </w:rPr>
        <w:t>el Sr.</w:t>
      </w:r>
      <w:r w:rsidR="00415EBB" w:rsidRPr="0074154F">
        <w:rPr>
          <w:rFonts w:eastAsiaTheme="minorHAnsi"/>
          <w:sz w:val="20"/>
          <w:szCs w:val="20"/>
          <w:lang w:val="es-EC"/>
        </w:rPr>
        <w:t xml:space="preserve"> </w:t>
      </w:r>
      <w:r w:rsidR="003D0FBE" w:rsidRPr="0074154F">
        <w:rPr>
          <w:rFonts w:eastAsiaTheme="minorHAnsi"/>
          <w:sz w:val="20"/>
          <w:szCs w:val="20"/>
          <w:lang w:val="es-EC"/>
        </w:rPr>
        <w:t>Marion Tomislav T</w:t>
      </w:r>
      <w:r w:rsidR="00DB59ED" w:rsidRPr="0074154F">
        <w:rPr>
          <w:rFonts w:eastAsiaTheme="minorHAnsi"/>
          <w:sz w:val="20"/>
          <w:szCs w:val="20"/>
          <w:lang w:val="es-EC"/>
        </w:rPr>
        <w:t>o</w:t>
      </w:r>
      <w:r w:rsidR="003D0FBE" w:rsidRPr="0074154F">
        <w:rPr>
          <w:rFonts w:eastAsiaTheme="minorHAnsi"/>
          <w:sz w:val="20"/>
          <w:szCs w:val="20"/>
          <w:lang w:val="es-EC"/>
        </w:rPr>
        <w:t>pic Granados</w:t>
      </w:r>
      <w:r w:rsidR="00920077" w:rsidRPr="0074154F">
        <w:rPr>
          <w:rFonts w:eastAsiaTheme="minorHAnsi"/>
          <w:sz w:val="20"/>
          <w:szCs w:val="20"/>
          <w:lang w:val="es-EC"/>
        </w:rPr>
        <w:t>, ver Nota 25.</w:t>
      </w:r>
    </w:p>
    <w:p w14:paraId="33A882F4" w14:textId="286DDE5D" w:rsidR="00123DFF" w:rsidRPr="0074154F" w:rsidRDefault="00123DFF" w:rsidP="00413455">
      <w:pPr>
        <w:pStyle w:val="Cuerpodeltexto20"/>
        <w:shd w:val="clear" w:color="auto" w:fill="auto"/>
        <w:spacing w:before="0" w:line="240" w:lineRule="auto"/>
        <w:ind w:left="567" w:firstLine="0"/>
        <w:rPr>
          <w:rFonts w:eastAsiaTheme="minorHAnsi"/>
          <w:sz w:val="16"/>
          <w:szCs w:val="16"/>
          <w:lang w:val="es-EC"/>
        </w:rPr>
      </w:pPr>
    </w:p>
    <w:p w14:paraId="19F865E3" w14:textId="2D528356" w:rsidR="009928B4" w:rsidRPr="0074154F" w:rsidRDefault="009928B4" w:rsidP="00413455">
      <w:pPr>
        <w:pStyle w:val="Cuerpodeltexto20"/>
        <w:shd w:val="clear" w:color="auto" w:fill="auto"/>
        <w:spacing w:before="0" w:line="240" w:lineRule="auto"/>
        <w:ind w:left="567" w:firstLine="0"/>
        <w:rPr>
          <w:rFonts w:eastAsiaTheme="minorHAnsi"/>
          <w:sz w:val="20"/>
          <w:szCs w:val="20"/>
          <w:lang w:val="es-EC"/>
        </w:rPr>
      </w:pPr>
      <w:r w:rsidRPr="0074154F">
        <w:rPr>
          <w:rFonts w:eastAsiaTheme="minorHAnsi"/>
          <w:sz w:val="20"/>
          <w:szCs w:val="20"/>
          <w:lang w:val="es-EC"/>
        </w:rPr>
        <w:t>La Compañía se encuentra inmersa en Mercado de Valores. En el mes de marzo del 2020, se aprobó la resolución SCVS-INMV-DNAR-2020-00002978 de fecha 21 de enero del 2020 y la resolución SCVS-INMV-DNAR-2020-00002979 de fecha 21 de abril del 2020 autorizando la novena emisión de obligaciones por US$22</w:t>
      </w:r>
      <w:r w:rsidR="00DB59ED" w:rsidRPr="0074154F">
        <w:rPr>
          <w:rFonts w:eastAsiaTheme="minorHAnsi"/>
          <w:sz w:val="20"/>
          <w:szCs w:val="20"/>
          <w:lang w:val="es-EC"/>
        </w:rPr>
        <w:t xml:space="preserve"> millones </w:t>
      </w:r>
      <w:r w:rsidRPr="0074154F">
        <w:rPr>
          <w:rFonts w:eastAsiaTheme="minorHAnsi"/>
          <w:sz w:val="20"/>
          <w:szCs w:val="20"/>
          <w:lang w:val="es-EC"/>
        </w:rPr>
        <w:t>y de papel comercial por US$5</w:t>
      </w:r>
      <w:r w:rsidR="00DB59ED" w:rsidRPr="0074154F">
        <w:rPr>
          <w:rFonts w:eastAsiaTheme="minorHAnsi"/>
          <w:sz w:val="20"/>
          <w:szCs w:val="20"/>
          <w:lang w:val="es-EC"/>
        </w:rPr>
        <w:t xml:space="preserve"> millones </w:t>
      </w:r>
      <w:r w:rsidRPr="0074154F">
        <w:rPr>
          <w:rFonts w:eastAsiaTheme="minorHAnsi"/>
          <w:sz w:val="20"/>
          <w:szCs w:val="20"/>
          <w:lang w:val="es-EC"/>
        </w:rPr>
        <w:t>respectivamente con una calificación de AAA</w:t>
      </w:r>
      <w:r w:rsidR="00BB7394" w:rsidRPr="0074154F">
        <w:rPr>
          <w:rFonts w:eastAsiaTheme="minorHAnsi"/>
          <w:sz w:val="20"/>
          <w:szCs w:val="20"/>
          <w:lang w:val="es-EC"/>
        </w:rPr>
        <w:t>.</w:t>
      </w:r>
    </w:p>
    <w:p w14:paraId="53DD5E2C" w14:textId="77777777" w:rsidR="004A2959" w:rsidRPr="0074154F" w:rsidRDefault="004A2959" w:rsidP="00067489">
      <w:pPr>
        <w:pStyle w:val="Cuerpodeltexto20"/>
        <w:shd w:val="clear" w:color="auto" w:fill="auto"/>
        <w:spacing w:before="0" w:line="240" w:lineRule="auto"/>
        <w:ind w:firstLine="0"/>
        <w:rPr>
          <w:rFonts w:eastAsiaTheme="minorHAnsi"/>
          <w:b/>
          <w:bCs/>
          <w:color w:val="FF0000"/>
          <w:sz w:val="20"/>
          <w:szCs w:val="20"/>
          <w:lang w:val="es-EC"/>
        </w:rPr>
      </w:pPr>
    </w:p>
    <w:p w14:paraId="0FBCD1FC" w14:textId="734164D2" w:rsidR="00E02850" w:rsidRPr="0074154F" w:rsidRDefault="00E02850" w:rsidP="00413455">
      <w:pPr>
        <w:pStyle w:val="Cuerpodeltexto20"/>
        <w:shd w:val="clear" w:color="auto" w:fill="auto"/>
        <w:spacing w:before="0" w:line="240" w:lineRule="auto"/>
        <w:ind w:left="567" w:firstLine="0"/>
        <w:rPr>
          <w:rFonts w:eastAsiaTheme="minorHAnsi"/>
          <w:b/>
          <w:bCs/>
          <w:color w:val="000000" w:themeColor="text1"/>
          <w:sz w:val="20"/>
          <w:szCs w:val="20"/>
          <w:u w:val="single"/>
          <w:lang w:val="es-EC"/>
        </w:rPr>
      </w:pPr>
      <w:r w:rsidRPr="0074154F">
        <w:rPr>
          <w:rFonts w:eastAsiaTheme="minorHAnsi"/>
          <w:b/>
          <w:bCs/>
          <w:color w:val="000000" w:themeColor="text1"/>
          <w:sz w:val="20"/>
          <w:szCs w:val="20"/>
          <w:u w:val="single"/>
          <w:lang w:val="es-EC"/>
        </w:rPr>
        <w:t>Otros asuntos importantes</w:t>
      </w:r>
    </w:p>
    <w:p w14:paraId="2EC5C11B" w14:textId="738DE32D" w:rsidR="00E02850" w:rsidRPr="0074154F" w:rsidRDefault="00E02850" w:rsidP="00413455">
      <w:pPr>
        <w:pStyle w:val="Cuerpodeltexto20"/>
        <w:shd w:val="clear" w:color="auto" w:fill="auto"/>
        <w:spacing w:before="0" w:line="240" w:lineRule="auto"/>
        <w:ind w:left="567" w:firstLine="0"/>
        <w:rPr>
          <w:rFonts w:eastAsiaTheme="minorHAnsi"/>
          <w:b/>
          <w:bCs/>
          <w:color w:val="000000" w:themeColor="text1"/>
          <w:sz w:val="20"/>
          <w:szCs w:val="20"/>
          <w:u w:val="single"/>
          <w:lang w:val="es-EC"/>
        </w:rPr>
      </w:pPr>
    </w:p>
    <w:p w14:paraId="6FAFFE39" w14:textId="2C0884C7" w:rsidR="00067489" w:rsidRPr="0074154F" w:rsidRDefault="00067489" w:rsidP="00413455">
      <w:pPr>
        <w:pStyle w:val="Cuerpodeltexto20"/>
        <w:shd w:val="clear" w:color="auto" w:fill="auto"/>
        <w:spacing w:before="0" w:line="240" w:lineRule="auto"/>
        <w:ind w:left="567" w:firstLine="0"/>
        <w:rPr>
          <w:sz w:val="20"/>
          <w:szCs w:val="20"/>
          <w:lang w:val="es-EC"/>
        </w:rPr>
      </w:pPr>
      <w:r w:rsidRPr="0074154F">
        <w:rPr>
          <w:sz w:val="20"/>
          <w:szCs w:val="20"/>
          <w:lang w:val="es-EC"/>
        </w:rPr>
        <w:t>Desde el año 2017, la fiscalía se encuentra en investigación a los accionistas de la Compañía acerca del origen de una parte de los recursos que se invirtieron para la instalación del cable submarino, producto de la cual la Compañía ha comparecido, con el fin de coadyuvar, en el proceso de investigación por pedido de la Unidad de Análisis Financiero y Económico (UAFE), depositó en el mes enero del año 2019 de forma provisional la cantidad de US$13.5 millones en la cuenta del Servicio de Gestión Inmobiliaria (</w:t>
      </w:r>
      <w:proofErr w:type="spellStart"/>
      <w:r w:rsidRPr="0074154F">
        <w:rPr>
          <w:sz w:val="20"/>
          <w:szCs w:val="20"/>
          <w:lang w:val="es-EC"/>
        </w:rPr>
        <w:t>Inmobiliar</w:t>
      </w:r>
      <w:proofErr w:type="spellEnd"/>
      <w:r w:rsidRPr="0074154F">
        <w:rPr>
          <w:sz w:val="20"/>
          <w:szCs w:val="20"/>
          <w:lang w:val="es-EC"/>
        </w:rPr>
        <w:t xml:space="preserve">). A la fecha de emisión de </w:t>
      </w:r>
      <w:r w:rsidR="00643072" w:rsidRPr="0074154F">
        <w:rPr>
          <w:sz w:val="20"/>
          <w:szCs w:val="20"/>
          <w:lang w:val="es-EC"/>
        </w:rPr>
        <w:t xml:space="preserve">los </w:t>
      </w:r>
      <w:r w:rsidRPr="0074154F">
        <w:rPr>
          <w:sz w:val="20"/>
          <w:szCs w:val="20"/>
          <w:lang w:val="es-EC"/>
        </w:rPr>
        <w:t xml:space="preserve">estados financieros </w:t>
      </w:r>
      <w:r w:rsidR="00E36468" w:rsidRPr="0074154F">
        <w:rPr>
          <w:sz w:val="20"/>
          <w:szCs w:val="20"/>
          <w:lang w:val="es-EC"/>
        </w:rPr>
        <w:t>consolidado</w:t>
      </w:r>
      <w:r w:rsidRPr="0074154F">
        <w:rPr>
          <w:sz w:val="20"/>
          <w:szCs w:val="20"/>
          <w:lang w:val="es-EC"/>
        </w:rPr>
        <w:t xml:space="preserve">s, y de acuerdo con sus asesores legales, el proceso ya cumplió con el plazo de ley para su finalización, por lo que se prevé el cierre de </w:t>
      </w:r>
      <w:proofErr w:type="gramStart"/>
      <w:r w:rsidRPr="0074154F">
        <w:rPr>
          <w:sz w:val="20"/>
          <w:szCs w:val="20"/>
          <w:lang w:val="es-EC"/>
        </w:rPr>
        <w:t>la misma</w:t>
      </w:r>
      <w:proofErr w:type="gramEnd"/>
      <w:r w:rsidRPr="0074154F">
        <w:rPr>
          <w:sz w:val="20"/>
          <w:szCs w:val="20"/>
          <w:lang w:val="es-EC"/>
        </w:rPr>
        <w:t xml:space="preserve"> en </w:t>
      </w:r>
      <w:r w:rsidR="00643072" w:rsidRPr="0074154F">
        <w:rPr>
          <w:sz w:val="20"/>
          <w:szCs w:val="20"/>
          <w:lang w:val="es-EC"/>
        </w:rPr>
        <w:t>el corto plazo</w:t>
      </w:r>
      <w:r w:rsidRPr="0074154F">
        <w:rPr>
          <w:sz w:val="20"/>
          <w:szCs w:val="20"/>
          <w:lang w:val="es-EC"/>
        </w:rPr>
        <w:t>.</w:t>
      </w:r>
    </w:p>
    <w:p w14:paraId="43B24928" w14:textId="77777777" w:rsidR="00067489" w:rsidRPr="0074154F" w:rsidRDefault="00067489" w:rsidP="00413455">
      <w:pPr>
        <w:pStyle w:val="Cuerpodeltexto20"/>
        <w:shd w:val="clear" w:color="auto" w:fill="auto"/>
        <w:spacing w:before="0" w:line="240" w:lineRule="auto"/>
        <w:ind w:left="567" w:firstLine="0"/>
        <w:rPr>
          <w:sz w:val="20"/>
          <w:szCs w:val="20"/>
          <w:lang w:val="es-EC"/>
        </w:rPr>
      </w:pPr>
    </w:p>
    <w:p w14:paraId="3BCFFB7E" w14:textId="4DB8C033" w:rsidR="004A2959" w:rsidRPr="0074154F" w:rsidRDefault="004A2959" w:rsidP="00413455">
      <w:pPr>
        <w:pStyle w:val="Cuerpodeltexto20"/>
        <w:shd w:val="clear" w:color="auto" w:fill="auto"/>
        <w:spacing w:before="0" w:line="240" w:lineRule="auto"/>
        <w:ind w:left="567" w:firstLine="0"/>
        <w:rPr>
          <w:rFonts w:eastAsiaTheme="minorHAnsi"/>
          <w:b/>
          <w:bCs/>
          <w:color w:val="000000" w:themeColor="text1"/>
          <w:sz w:val="20"/>
          <w:szCs w:val="20"/>
          <w:u w:val="single"/>
          <w:lang w:val="es-EC"/>
        </w:rPr>
      </w:pPr>
      <w:r w:rsidRPr="0074154F">
        <w:rPr>
          <w:rFonts w:eastAsiaTheme="minorHAnsi"/>
          <w:b/>
          <w:bCs/>
          <w:color w:val="000000" w:themeColor="text1"/>
          <w:sz w:val="20"/>
          <w:szCs w:val="20"/>
          <w:u w:val="single"/>
          <w:lang w:val="es-EC"/>
        </w:rPr>
        <w:t>Intervención</w:t>
      </w:r>
    </w:p>
    <w:p w14:paraId="2A0790D8" w14:textId="7F4C88C1" w:rsidR="004A2959" w:rsidRPr="0074154F" w:rsidRDefault="004A2959" w:rsidP="00413455">
      <w:pPr>
        <w:pStyle w:val="Cuerpodeltexto20"/>
        <w:shd w:val="clear" w:color="auto" w:fill="auto"/>
        <w:spacing w:before="0" w:line="240" w:lineRule="auto"/>
        <w:ind w:left="567" w:firstLine="0"/>
        <w:rPr>
          <w:rFonts w:eastAsiaTheme="minorHAnsi"/>
          <w:b/>
          <w:bCs/>
          <w:color w:val="000000" w:themeColor="text1"/>
          <w:sz w:val="20"/>
          <w:szCs w:val="20"/>
          <w:lang w:val="es-EC"/>
        </w:rPr>
      </w:pPr>
    </w:p>
    <w:p w14:paraId="36274F99" w14:textId="536D681C" w:rsidR="004A2959" w:rsidRPr="0074154F" w:rsidRDefault="004A2959" w:rsidP="00413455">
      <w:pPr>
        <w:pStyle w:val="Cuerpodeltexto20"/>
        <w:shd w:val="clear" w:color="auto" w:fill="auto"/>
        <w:spacing w:before="0" w:line="240" w:lineRule="auto"/>
        <w:ind w:left="567" w:firstLine="0"/>
        <w:rPr>
          <w:rFonts w:eastAsiaTheme="minorHAnsi"/>
          <w:color w:val="000000" w:themeColor="text1"/>
          <w:sz w:val="20"/>
          <w:szCs w:val="20"/>
          <w:lang w:val="es-EC"/>
        </w:rPr>
      </w:pPr>
      <w:r w:rsidRPr="0074154F">
        <w:rPr>
          <w:rFonts w:eastAsiaTheme="minorHAnsi"/>
          <w:color w:val="000000" w:themeColor="text1"/>
          <w:sz w:val="20"/>
          <w:szCs w:val="20"/>
          <w:lang w:val="es-EC"/>
        </w:rPr>
        <w:t xml:space="preserve">El 26 de noviembre del 2018 de acuerdo </w:t>
      </w:r>
      <w:r w:rsidR="00643072" w:rsidRPr="0074154F">
        <w:rPr>
          <w:rFonts w:eastAsiaTheme="minorHAnsi"/>
          <w:color w:val="000000" w:themeColor="text1"/>
          <w:sz w:val="20"/>
          <w:szCs w:val="20"/>
          <w:lang w:val="es-EC"/>
        </w:rPr>
        <w:t xml:space="preserve">con </w:t>
      </w:r>
      <w:r w:rsidRPr="0074154F">
        <w:rPr>
          <w:rFonts w:eastAsiaTheme="minorHAnsi"/>
          <w:color w:val="000000" w:themeColor="text1"/>
          <w:sz w:val="20"/>
          <w:szCs w:val="20"/>
          <w:lang w:val="es-EC"/>
        </w:rPr>
        <w:t>la resolución No. SCVS.INC.DNASD-2018-0873 de la Superintendencia de Compañías, Valores y Seguros</w:t>
      </w:r>
      <w:r w:rsidR="00643072" w:rsidRPr="0074154F">
        <w:rPr>
          <w:rFonts w:eastAsiaTheme="minorHAnsi"/>
          <w:color w:val="000000" w:themeColor="text1"/>
          <w:sz w:val="20"/>
          <w:szCs w:val="20"/>
          <w:lang w:val="es-EC"/>
        </w:rPr>
        <w:t xml:space="preserve"> (SCVS)</w:t>
      </w:r>
      <w:r w:rsidRPr="0074154F">
        <w:rPr>
          <w:rFonts w:eastAsiaTheme="minorHAnsi"/>
          <w:color w:val="000000" w:themeColor="text1"/>
          <w:sz w:val="20"/>
          <w:szCs w:val="20"/>
          <w:lang w:val="es-EC"/>
        </w:rPr>
        <w:t xml:space="preserve">, declaró la intervención de la Compañía con el objeto de supervigilar la marcha económica financiera y propiciar la corrección de las irregularidades advertidas, a fin de evitar perjuicios a sus accionistas y/o terceros, por estar incursa en la causal tercera del Art. 354 de la </w:t>
      </w:r>
      <w:r w:rsidR="00643072" w:rsidRPr="0074154F">
        <w:rPr>
          <w:rFonts w:eastAsiaTheme="minorHAnsi"/>
          <w:color w:val="000000" w:themeColor="text1"/>
          <w:sz w:val="20"/>
          <w:szCs w:val="20"/>
          <w:lang w:val="es-EC"/>
        </w:rPr>
        <w:t>L</w:t>
      </w:r>
      <w:r w:rsidRPr="0074154F">
        <w:rPr>
          <w:rFonts w:eastAsiaTheme="minorHAnsi"/>
          <w:color w:val="000000" w:themeColor="text1"/>
          <w:sz w:val="20"/>
          <w:szCs w:val="20"/>
          <w:lang w:val="es-EC"/>
        </w:rPr>
        <w:t xml:space="preserve">ey de Compañías, de acuerdo a las conclusiones constantes en las memorandos de la Dirección Nacional de Inspección, Control, Auditoria e Intervención y de la Dirección Nacional de Actos Societarios y Disolución </w:t>
      </w:r>
      <w:r w:rsidR="00643072" w:rsidRPr="0074154F">
        <w:rPr>
          <w:rFonts w:eastAsiaTheme="minorHAnsi"/>
          <w:color w:val="000000" w:themeColor="text1"/>
          <w:sz w:val="20"/>
          <w:szCs w:val="20"/>
          <w:lang w:val="es-EC"/>
        </w:rPr>
        <w:t xml:space="preserve">                         </w:t>
      </w:r>
      <w:r w:rsidRPr="0074154F">
        <w:rPr>
          <w:rFonts w:eastAsiaTheme="minorHAnsi"/>
          <w:color w:val="000000" w:themeColor="text1"/>
          <w:sz w:val="20"/>
          <w:szCs w:val="20"/>
          <w:lang w:val="es-EC"/>
        </w:rPr>
        <w:t>No. S</w:t>
      </w:r>
      <w:r w:rsidR="00E02850" w:rsidRPr="0074154F">
        <w:rPr>
          <w:rFonts w:eastAsiaTheme="minorHAnsi"/>
          <w:color w:val="000000" w:themeColor="text1"/>
          <w:sz w:val="20"/>
          <w:szCs w:val="20"/>
          <w:lang w:val="es-EC"/>
        </w:rPr>
        <w:t xml:space="preserve">CVS-INC-DNICAI-2018-0634-M y No SCVS-INC-DNASD-2018-0478-M ambos del </w:t>
      </w:r>
      <w:r w:rsidR="00643072" w:rsidRPr="0074154F">
        <w:rPr>
          <w:rFonts w:eastAsiaTheme="minorHAnsi"/>
          <w:color w:val="000000" w:themeColor="text1"/>
          <w:sz w:val="20"/>
          <w:szCs w:val="20"/>
          <w:lang w:val="es-EC"/>
        </w:rPr>
        <w:t xml:space="preserve">             </w:t>
      </w:r>
      <w:r w:rsidR="00E02850" w:rsidRPr="0074154F">
        <w:rPr>
          <w:rFonts w:eastAsiaTheme="minorHAnsi"/>
          <w:color w:val="000000" w:themeColor="text1"/>
          <w:sz w:val="20"/>
          <w:szCs w:val="20"/>
          <w:lang w:val="es-EC"/>
        </w:rPr>
        <w:t>26 de noviembre del 2018, respectivamente.</w:t>
      </w:r>
    </w:p>
    <w:p w14:paraId="2DC18341" w14:textId="3D58668C" w:rsidR="00E02850" w:rsidRDefault="00E02850" w:rsidP="00413455">
      <w:pPr>
        <w:pStyle w:val="Cuerpodeltexto20"/>
        <w:shd w:val="clear" w:color="auto" w:fill="auto"/>
        <w:spacing w:before="0" w:line="240" w:lineRule="auto"/>
        <w:ind w:left="567" w:firstLine="0"/>
        <w:rPr>
          <w:rFonts w:eastAsiaTheme="minorHAnsi"/>
          <w:color w:val="000000" w:themeColor="text1"/>
          <w:sz w:val="20"/>
          <w:szCs w:val="20"/>
          <w:lang w:val="es-EC"/>
        </w:rPr>
      </w:pPr>
    </w:p>
    <w:p w14:paraId="436FE403" w14:textId="212A3094" w:rsidR="00E02850" w:rsidRPr="0074154F" w:rsidRDefault="00E02850" w:rsidP="00E02850">
      <w:pPr>
        <w:pStyle w:val="Cuerpodeltexto20"/>
        <w:shd w:val="clear" w:color="auto" w:fill="auto"/>
        <w:spacing w:before="0" w:line="240" w:lineRule="auto"/>
        <w:ind w:left="567" w:firstLine="0"/>
        <w:rPr>
          <w:rFonts w:eastAsiaTheme="minorHAnsi"/>
          <w:color w:val="000000" w:themeColor="text1"/>
          <w:sz w:val="20"/>
          <w:szCs w:val="20"/>
          <w:lang w:val="es-EC"/>
        </w:rPr>
      </w:pPr>
      <w:r w:rsidRPr="0074154F">
        <w:rPr>
          <w:rFonts w:eastAsiaTheme="minorHAnsi"/>
          <w:color w:val="000000" w:themeColor="text1"/>
          <w:sz w:val="20"/>
          <w:szCs w:val="20"/>
          <w:lang w:val="es-EC"/>
        </w:rPr>
        <w:lastRenderedPageBreak/>
        <w:t>En el año 2019, a través del interventor designado, se emitieron informes mensuales a la Intendencia Nacional de Valores acerca de las actividades cumplidas y de las acciones realizadas por los administradores, tendentes a superar las causales que originaron la intervención.</w:t>
      </w:r>
    </w:p>
    <w:p w14:paraId="09601C86" w14:textId="77777777" w:rsidR="00E02850" w:rsidRPr="0074154F" w:rsidRDefault="00E02850" w:rsidP="00E02850">
      <w:pPr>
        <w:pStyle w:val="Cuerpodeltexto20"/>
        <w:shd w:val="clear" w:color="auto" w:fill="auto"/>
        <w:spacing w:before="0" w:line="240" w:lineRule="auto"/>
        <w:ind w:left="567" w:firstLine="0"/>
        <w:rPr>
          <w:rFonts w:eastAsiaTheme="minorHAnsi"/>
          <w:color w:val="000000" w:themeColor="text1"/>
          <w:sz w:val="20"/>
          <w:szCs w:val="20"/>
          <w:lang w:val="es-EC"/>
        </w:rPr>
      </w:pPr>
    </w:p>
    <w:p w14:paraId="119AE639" w14:textId="377E1412" w:rsidR="00E02850" w:rsidRPr="0074154F" w:rsidRDefault="00E02850" w:rsidP="00413455">
      <w:pPr>
        <w:pStyle w:val="Cuerpodeltexto20"/>
        <w:shd w:val="clear" w:color="auto" w:fill="auto"/>
        <w:spacing w:before="0" w:line="240" w:lineRule="auto"/>
        <w:ind w:left="567" w:firstLine="0"/>
        <w:rPr>
          <w:rFonts w:eastAsiaTheme="minorHAnsi"/>
          <w:color w:val="000000" w:themeColor="text1"/>
          <w:sz w:val="20"/>
          <w:szCs w:val="20"/>
          <w:lang w:val="es-EC"/>
        </w:rPr>
      </w:pPr>
      <w:r w:rsidRPr="0074154F">
        <w:rPr>
          <w:rFonts w:eastAsiaTheme="minorHAnsi"/>
          <w:color w:val="000000" w:themeColor="text1"/>
          <w:sz w:val="20"/>
          <w:szCs w:val="20"/>
          <w:lang w:val="es-EC"/>
        </w:rPr>
        <w:t>Con fecha</w:t>
      </w:r>
      <w:r w:rsidR="00067489" w:rsidRPr="0074154F">
        <w:rPr>
          <w:rFonts w:eastAsiaTheme="minorHAnsi"/>
          <w:color w:val="000000" w:themeColor="text1"/>
          <w:sz w:val="20"/>
          <w:szCs w:val="20"/>
          <w:lang w:val="es-EC"/>
        </w:rPr>
        <w:t xml:space="preserve"> </w:t>
      </w:r>
      <w:r w:rsidRPr="0074154F">
        <w:rPr>
          <w:rFonts w:eastAsiaTheme="minorHAnsi"/>
          <w:color w:val="000000" w:themeColor="text1"/>
          <w:sz w:val="20"/>
          <w:szCs w:val="20"/>
          <w:lang w:val="es-EC"/>
        </w:rPr>
        <w:t xml:space="preserve">20 de diciembre del 2019, mediante oficio SCVS.SG.2019-02639-O de la Superintendencia de Compañías, Valores y Seguros se resuelve levantar la intervención de la Compañía.  </w:t>
      </w:r>
    </w:p>
    <w:p w14:paraId="7AD4C55C" w14:textId="77777777" w:rsidR="00920077" w:rsidRPr="0074154F" w:rsidRDefault="00920077" w:rsidP="00413455">
      <w:pPr>
        <w:pStyle w:val="Cuerpodeltexto20"/>
        <w:shd w:val="clear" w:color="auto" w:fill="auto"/>
        <w:spacing w:before="0" w:line="240" w:lineRule="auto"/>
        <w:ind w:left="567" w:firstLine="0"/>
        <w:rPr>
          <w:rFonts w:eastAsiaTheme="minorHAnsi"/>
          <w:color w:val="000000" w:themeColor="text1"/>
          <w:sz w:val="20"/>
          <w:szCs w:val="20"/>
          <w:lang w:val="es-EC"/>
        </w:rPr>
      </w:pPr>
    </w:p>
    <w:p w14:paraId="21F98193" w14:textId="305C68E9" w:rsidR="00FE1A4E" w:rsidRPr="0074154F" w:rsidRDefault="00FE1A4E" w:rsidP="00FE1A4E">
      <w:pPr>
        <w:pStyle w:val="Cuerpodeltexto20"/>
        <w:shd w:val="clear" w:color="auto" w:fill="auto"/>
        <w:spacing w:before="0" w:line="240" w:lineRule="auto"/>
        <w:ind w:left="567" w:firstLine="0"/>
        <w:rPr>
          <w:rFonts w:eastAsiaTheme="minorHAnsi"/>
          <w:b/>
          <w:bCs/>
          <w:sz w:val="20"/>
          <w:szCs w:val="20"/>
          <w:u w:val="single"/>
          <w:lang w:val="es-EC"/>
        </w:rPr>
      </w:pPr>
      <w:bookmarkStart w:id="8" w:name="_Hlk67995051"/>
      <w:r w:rsidRPr="0074154F">
        <w:rPr>
          <w:rFonts w:eastAsiaTheme="minorHAnsi"/>
          <w:b/>
          <w:bCs/>
          <w:sz w:val="20"/>
          <w:szCs w:val="20"/>
          <w:u w:val="single"/>
          <w:lang w:val="es-EC"/>
        </w:rPr>
        <w:t xml:space="preserve">Análisis de los impactos de la pandemia </w:t>
      </w:r>
      <w:r w:rsidR="00BA29FA" w:rsidRPr="0074154F">
        <w:rPr>
          <w:rFonts w:eastAsiaTheme="minorHAnsi"/>
          <w:b/>
          <w:bCs/>
          <w:sz w:val="20"/>
          <w:szCs w:val="20"/>
          <w:u w:val="single"/>
          <w:lang w:val="es-EC"/>
        </w:rPr>
        <w:t xml:space="preserve">SARS-CoV-2, </w:t>
      </w:r>
      <w:r w:rsidRPr="0074154F">
        <w:rPr>
          <w:rFonts w:eastAsiaTheme="minorHAnsi"/>
          <w:b/>
          <w:bCs/>
          <w:sz w:val="20"/>
          <w:szCs w:val="20"/>
          <w:u w:val="single"/>
          <w:lang w:val="es-EC"/>
        </w:rPr>
        <w:t>C</w:t>
      </w:r>
      <w:r w:rsidR="00BA29FA" w:rsidRPr="0074154F">
        <w:rPr>
          <w:rFonts w:eastAsiaTheme="minorHAnsi"/>
          <w:b/>
          <w:bCs/>
          <w:sz w:val="20"/>
          <w:szCs w:val="20"/>
          <w:u w:val="single"/>
          <w:lang w:val="es-EC"/>
        </w:rPr>
        <w:t>ovid</w:t>
      </w:r>
      <w:r w:rsidRPr="0074154F">
        <w:rPr>
          <w:rFonts w:eastAsiaTheme="minorHAnsi"/>
          <w:b/>
          <w:bCs/>
          <w:sz w:val="20"/>
          <w:szCs w:val="20"/>
          <w:u w:val="single"/>
          <w:lang w:val="es-EC"/>
        </w:rPr>
        <w:t xml:space="preserve">-19 </w:t>
      </w:r>
    </w:p>
    <w:p w14:paraId="7BEC9AA6" w14:textId="77777777" w:rsidR="00FE1A4E" w:rsidRPr="0074154F" w:rsidRDefault="00FE1A4E" w:rsidP="00FE1A4E">
      <w:pPr>
        <w:pStyle w:val="BodyText"/>
        <w:ind w:left="567" w:right="-1"/>
        <w:contextualSpacing/>
        <w:jc w:val="both"/>
        <w:rPr>
          <w:rFonts w:ascii="Arial" w:eastAsiaTheme="minorHAnsi" w:hAnsi="Arial" w:cs="Arial"/>
          <w:sz w:val="16"/>
          <w:szCs w:val="16"/>
          <w:lang w:val="es-EC" w:eastAsia="en-US"/>
        </w:rPr>
      </w:pPr>
    </w:p>
    <w:p w14:paraId="79141194" w14:textId="77777777" w:rsidR="00703E77" w:rsidRPr="0074154F" w:rsidRDefault="00703E77" w:rsidP="00703E77">
      <w:pPr>
        <w:pStyle w:val="BodyText"/>
        <w:ind w:left="567" w:right="-1"/>
        <w:contextualSpacing/>
        <w:jc w:val="both"/>
        <w:rPr>
          <w:rFonts w:ascii="Arial" w:eastAsiaTheme="minorHAnsi" w:hAnsi="Arial" w:cs="Arial"/>
          <w:sz w:val="18"/>
          <w:szCs w:val="18"/>
          <w:lang w:val="es-EC" w:eastAsia="en-US"/>
        </w:rPr>
      </w:pPr>
      <w:r w:rsidRPr="0074154F">
        <w:rPr>
          <w:rFonts w:ascii="Arial" w:hAnsi="Arial" w:cs="Arial"/>
          <w:sz w:val="20"/>
          <w:szCs w:val="18"/>
        </w:rPr>
        <w:t xml:space="preserve">A partir de los últimos meses del año 2019, se originó en China el brote de coronavirus de tipo 2 causante del síndrome respiratorio agudo severo, abreviado SARS-CoV-2, Covid-19, originando que la Organización Mundial de la Salud (OMS) lo declare como pandemia en marzo del 2020; consecuentemente a nivel nacional, el Ministerio de Salud Pública emitió el Acuerdo Ministerial No. 00126-2020 y estableció el Estado de Emergencia Sanitaria; y posteriormente, a partir del 16 de marzo del 2020 el Presidente de la República Sr. </w:t>
      </w:r>
      <w:proofErr w:type="spellStart"/>
      <w:r w:rsidRPr="0074154F">
        <w:rPr>
          <w:rFonts w:ascii="Arial" w:hAnsi="Arial" w:cs="Arial"/>
          <w:sz w:val="20"/>
          <w:szCs w:val="18"/>
        </w:rPr>
        <w:t>Lenín</w:t>
      </w:r>
      <w:proofErr w:type="spellEnd"/>
      <w:r w:rsidRPr="0074154F">
        <w:rPr>
          <w:rFonts w:ascii="Arial" w:hAnsi="Arial" w:cs="Arial"/>
          <w:sz w:val="20"/>
          <w:szCs w:val="18"/>
        </w:rPr>
        <w:t xml:space="preserve"> Moreno decretó el Estado de Excepción; y con ellos se activó el Comité de Operaciones de Emergencia (COE) a nivel nacional para la coordinación de la crisis sanitaria en el Ecuador, lo que implicó la adopción de medidas tendientes a evitar su propagación, como aislamiento, cierre de sitios públicos, negocios, prohibiciones tales como la realización de eventos que implique afluencia de personas y aglomeraciones de la población, estableciendo normas de distanciamiento social</w:t>
      </w:r>
    </w:p>
    <w:p w14:paraId="11F34564" w14:textId="77777777" w:rsidR="00703E77" w:rsidRPr="0074154F" w:rsidRDefault="00703E77" w:rsidP="00703E77">
      <w:pPr>
        <w:pStyle w:val="BodyText"/>
        <w:ind w:left="567" w:right="-1"/>
        <w:contextualSpacing/>
        <w:jc w:val="both"/>
        <w:rPr>
          <w:rFonts w:ascii="Arial" w:eastAsiaTheme="minorHAnsi" w:hAnsi="Arial" w:cs="Arial"/>
          <w:sz w:val="16"/>
          <w:szCs w:val="16"/>
          <w:lang w:val="es-EC" w:eastAsia="en-US"/>
        </w:rPr>
      </w:pPr>
    </w:p>
    <w:p w14:paraId="3CB9D316" w14:textId="60DD14CB" w:rsidR="00703E77" w:rsidRPr="0074154F" w:rsidRDefault="00703E77" w:rsidP="00703E77">
      <w:pPr>
        <w:pStyle w:val="BodyText"/>
        <w:ind w:left="567" w:right="-1"/>
        <w:contextualSpacing/>
        <w:jc w:val="both"/>
        <w:rPr>
          <w:rFonts w:ascii="Arial" w:hAnsi="Arial" w:cs="Arial"/>
          <w:sz w:val="20"/>
          <w:szCs w:val="18"/>
        </w:rPr>
      </w:pPr>
      <w:r w:rsidRPr="0074154F">
        <w:rPr>
          <w:rFonts w:ascii="Arial" w:hAnsi="Arial" w:cs="Arial"/>
          <w:sz w:val="20"/>
          <w:szCs w:val="18"/>
        </w:rPr>
        <w:t xml:space="preserve">Siendo la Compañía una entidad cuya actividad principal es la de </w:t>
      </w:r>
      <w:r w:rsidR="009154B4" w:rsidRPr="0074154F">
        <w:rPr>
          <w:rFonts w:ascii="Arial" w:hAnsi="Arial" w:cs="Arial"/>
          <w:sz w:val="20"/>
          <w:szCs w:val="18"/>
        </w:rPr>
        <w:t>prestación de</w:t>
      </w:r>
      <w:r w:rsidRPr="0074154F">
        <w:rPr>
          <w:rFonts w:ascii="Arial" w:hAnsi="Arial" w:cs="Arial"/>
          <w:sz w:val="20"/>
          <w:szCs w:val="18"/>
        </w:rPr>
        <w:t xml:space="preserve"> servicios </w:t>
      </w:r>
      <w:r w:rsidR="009154B4" w:rsidRPr="0074154F">
        <w:rPr>
          <w:rFonts w:ascii="Arial" w:hAnsi="Arial" w:cs="Arial"/>
          <w:sz w:val="20"/>
          <w:szCs w:val="18"/>
        </w:rPr>
        <w:t>de portadores de telecomunicaciones, transmisión de señales puntos de red</w:t>
      </w:r>
      <w:r w:rsidRPr="0074154F">
        <w:rPr>
          <w:rFonts w:ascii="Arial" w:hAnsi="Arial" w:cs="Arial"/>
          <w:sz w:val="20"/>
          <w:szCs w:val="18"/>
        </w:rPr>
        <w:t xml:space="preserve">, días previos a la declaración de pandemia por parte de la OMS, se establecieron planes de reacción a los efectos y exposición frente al virus, orientados a proteger a nuestros colaboradores de primera línea y </w:t>
      </w:r>
      <w:r w:rsidR="009154B4" w:rsidRPr="0074154F">
        <w:rPr>
          <w:rFonts w:ascii="Arial" w:hAnsi="Arial" w:cs="Arial"/>
          <w:sz w:val="20"/>
          <w:szCs w:val="18"/>
        </w:rPr>
        <w:t xml:space="preserve">clientes. </w:t>
      </w:r>
      <w:r w:rsidRPr="0074154F">
        <w:rPr>
          <w:rFonts w:ascii="Arial" w:hAnsi="Arial" w:cs="Arial"/>
          <w:sz w:val="20"/>
          <w:szCs w:val="18"/>
        </w:rPr>
        <w:t xml:space="preserve">También, se implementaron estrictas medidas de bioseguridad y protocolos adicionales para su aplicación al personal, así como </w:t>
      </w:r>
      <w:r w:rsidR="009154B4" w:rsidRPr="0074154F">
        <w:rPr>
          <w:rFonts w:ascii="Arial" w:hAnsi="Arial" w:cs="Arial"/>
          <w:sz w:val="20"/>
          <w:szCs w:val="18"/>
        </w:rPr>
        <w:t>clientes</w:t>
      </w:r>
      <w:r w:rsidRPr="0074154F">
        <w:rPr>
          <w:rFonts w:ascii="Arial" w:hAnsi="Arial" w:cs="Arial"/>
          <w:sz w:val="20"/>
          <w:szCs w:val="18"/>
        </w:rPr>
        <w:t xml:space="preserve"> y terceros. </w:t>
      </w:r>
      <w:r w:rsidRPr="0074154F">
        <w:rPr>
          <w:rFonts w:ascii="Arial" w:hAnsi="Arial" w:cs="Arial"/>
          <w:color w:val="222222"/>
          <w:sz w:val="20"/>
          <w:lang w:val="es-ES" w:eastAsia="es-EC"/>
        </w:rPr>
        <w:t>En la parte administrativa se tomaron medidas de reincorporación parcial y paulatina de nuestros colaboradores una vez que se levantaron las medidas restrictivas, para lo cual también se establecieron protocolos de bioseguridad orientados a cumplir con las normas de distanciamiento social y aforo</w:t>
      </w:r>
      <w:r w:rsidR="009154B4" w:rsidRPr="0074154F">
        <w:rPr>
          <w:rFonts w:ascii="Arial" w:hAnsi="Arial" w:cs="Arial"/>
          <w:color w:val="222222"/>
          <w:sz w:val="20"/>
          <w:lang w:val="es-ES" w:eastAsia="es-EC"/>
        </w:rPr>
        <w:t>.</w:t>
      </w:r>
    </w:p>
    <w:p w14:paraId="3FE3D0F4" w14:textId="77777777" w:rsidR="00703E77" w:rsidRPr="0074154F" w:rsidRDefault="00703E77" w:rsidP="00703E77">
      <w:pPr>
        <w:pStyle w:val="BodyText"/>
        <w:ind w:left="567" w:right="-1"/>
        <w:contextualSpacing/>
        <w:jc w:val="both"/>
        <w:rPr>
          <w:rFonts w:ascii="Arial" w:hAnsi="Arial" w:cs="Arial"/>
          <w:sz w:val="20"/>
          <w:szCs w:val="18"/>
        </w:rPr>
      </w:pPr>
    </w:p>
    <w:p w14:paraId="21D3F1F1" w14:textId="3AF9783F" w:rsidR="00703E77" w:rsidRPr="0074154F" w:rsidRDefault="00703E77" w:rsidP="00703E77">
      <w:pPr>
        <w:pStyle w:val="BodyText"/>
        <w:ind w:left="567" w:right="-1"/>
        <w:contextualSpacing/>
        <w:jc w:val="both"/>
        <w:rPr>
          <w:rFonts w:ascii="Arial" w:hAnsi="Arial" w:cs="Arial"/>
          <w:sz w:val="20"/>
          <w:szCs w:val="18"/>
        </w:rPr>
      </w:pPr>
      <w:r w:rsidRPr="0074154F">
        <w:rPr>
          <w:rFonts w:ascii="Arial" w:hAnsi="Arial" w:cs="Arial"/>
          <w:sz w:val="20"/>
          <w:szCs w:val="18"/>
        </w:rPr>
        <w:t xml:space="preserve">Lo indicado precedentemente, permitió que los procesos operativos continúen funcionando y de esta manera generar el flujo monetario y los recursos financieros suficientes para atender sus obligaciones con proveedores, </w:t>
      </w:r>
      <w:r w:rsidR="00BB7394" w:rsidRPr="0074154F">
        <w:rPr>
          <w:rFonts w:ascii="Arial" w:hAnsi="Arial" w:cs="Arial"/>
          <w:sz w:val="20"/>
          <w:szCs w:val="18"/>
        </w:rPr>
        <w:t xml:space="preserve">emisión de obligaciones en mercado de valores, </w:t>
      </w:r>
      <w:r w:rsidRPr="0074154F">
        <w:rPr>
          <w:rFonts w:ascii="Arial" w:hAnsi="Arial" w:cs="Arial"/>
          <w:sz w:val="20"/>
          <w:szCs w:val="18"/>
        </w:rPr>
        <w:t>organismos de control, sueldos del personal, accionistas y otros.</w:t>
      </w:r>
    </w:p>
    <w:p w14:paraId="5AF56119" w14:textId="79851CA2" w:rsidR="00703E77" w:rsidRPr="0074154F" w:rsidRDefault="00703E77" w:rsidP="00703E77">
      <w:pPr>
        <w:pStyle w:val="BodyText"/>
        <w:ind w:left="567" w:right="-1"/>
        <w:contextualSpacing/>
        <w:jc w:val="both"/>
        <w:rPr>
          <w:rFonts w:ascii="Arial" w:hAnsi="Arial" w:cs="Arial"/>
          <w:b/>
          <w:color w:val="000000"/>
          <w:spacing w:val="-2"/>
          <w:sz w:val="14"/>
          <w:szCs w:val="14"/>
        </w:rPr>
      </w:pPr>
    </w:p>
    <w:p w14:paraId="129ADEEA" w14:textId="77777777" w:rsidR="00703E77" w:rsidRPr="0074154F" w:rsidRDefault="00703E77" w:rsidP="00703E77">
      <w:pPr>
        <w:pStyle w:val="BodyText"/>
        <w:ind w:left="567" w:right="-1"/>
        <w:contextualSpacing/>
        <w:jc w:val="both"/>
        <w:rPr>
          <w:rFonts w:ascii="Arial" w:eastAsiaTheme="minorHAnsi" w:hAnsi="Arial" w:cs="Arial"/>
          <w:sz w:val="18"/>
          <w:szCs w:val="18"/>
          <w:lang w:eastAsia="en-US"/>
        </w:rPr>
      </w:pPr>
      <w:r w:rsidRPr="0074154F">
        <w:rPr>
          <w:rFonts w:ascii="Arial" w:hAnsi="Arial" w:cs="Arial"/>
          <w:sz w:val="20"/>
          <w:szCs w:val="18"/>
        </w:rPr>
        <w:t>Si bien ya existen vacunas desarrolladas por varias farmacéuticas internacionales y que se ha iniciado su aplicación localmente y en muchos países, aún se presentan rebrotes y no se conocen los efectos de la referida vacunación, lo cual ha llevado a que algunos gobiernos continúen decretando periodos de aislamiento y distanciamiento social intermitentes, cierre de espacios públicos, eventos masivos y aforo en locales comerciales.</w:t>
      </w:r>
      <w:r w:rsidRPr="0074154F">
        <w:rPr>
          <w:rFonts w:ascii="Arial" w:eastAsiaTheme="minorHAnsi" w:hAnsi="Arial" w:cs="Arial"/>
          <w:sz w:val="18"/>
          <w:szCs w:val="18"/>
          <w:lang w:eastAsia="en-US"/>
        </w:rPr>
        <w:t xml:space="preserve">  </w:t>
      </w:r>
    </w:p>
    <w:p w14:paraId="6208FB64" w14:textId="179D618B" w:rsidR="00EB2189" w:rsidRPr="0074154F" w:rsidRDefault="00EB2189" w:rsidP="00413455">
      <w:pPr>
        <w:pStyle w:val="BodyText"/>
        <w:ind w:left="567" w:right="-1"/>
        <w:contextualSpacing/>
        <w:jc w:val="both"/>
        <w:rPr>
          <w:rFonts w:ascii="Arial" w:hAnsi="Arial" w:cs="Arial"/>
          <w:b/>
          <w:color w:val="000000"/>
          <w:spacing w:val="-2"/>
          <w:sz w:val="14"/>
          <w:szCs w:val="14"/>
        </w:rPr>
      </w:pPr>
    </w:p>
    <w:p w14:paraId="2FE8C1F6" w14:textId="626E4FB7" w:rsidR="00703E77" w:rsidRPr="0074154F" w:rsidRDefault="00703E77" w:rsidP="00703E77">
      <w:pPr>
        <w:pStyle w:val="BodyText"/>
        <w:ind w:left="567" w:right="-1"/>
        <w:contextualSpacing/>
        <w:jc w:val="both"/>
        <w:rPr>
          <w:rFonts w:ascii="Arial" w:hAnsi="Arial" w:cs="Arial"/>
          <w:sz w:val="20"/>
          <w:szCs w:val="18"/>
        </w:rPr>
      </w:pPr>
      <w:bookmarkStart w:id="9" w:name="_Hlk67995166"/>
      <w:bookmarkEnd w:id="8"/>
      <w:r w:rsidRPr="0074154F">
        <w:rPr>
          <w:rFonts w:ascii="Arial" w:eastAsiaTheme="minorHAnsi" w:hAnsi="Arial" w:cs="Arial"/>
          <w:sz w:val="20"/>
          <w:lang w:eastAsia="en-US"/>
        </w:rPr>
        <w:t>Esto</w:t>
      </w:r>
      <w:r w:rsidRPr="0074154F">
        <w:rPr>
          <w:rFonts w:ascii="Arial" w:eastAsiaTheme="minorHAnsi" w:hAnsi="Arial" w:cs="Arial"/>
          <w:sz w:val="18"/>
          <w:szCs w:val="18"/>
          <w:lang w:eastAsia="en-US"/>
        </w:rPr>
        <w:t xml:space="preserve"> </w:t>
      </w:r>
      <w:r w:rsidRPr="0074154F">
        <w:rPr>
          <w:rFonts w:ascii="Arial" w:hAnsi="Arial" w:cs="Arial"/>
          <w:sz w:val="20"/>
          <w:szCs w:val="18"/>
        </w:rPr>
        <w:t xml:space="preserve">implica que aún se mantiene una incertidumbre generada por la pandemia, por lo tanto, la Compañía permanentemente analiza y determina los potenciales efectos, teniendo como premisa rectora de actuación la protección de la vida, la salud y el bienestar de todos sus grupos de interés, así como el apoyo y acompañamiento a las disposiciones de los gobiernos y las autoridades locales; de tal forma que pueda mantener la continuidad de los negocios y operaciones. </w:t>
      </w:r>
      <w:bookmarkStart w:id="10" w:name="_Hlk67995107"/>
    </w:p>
    <w:p w14:paraId="3CF4FB45" w14:textId="77777777" w:rsidR="008B000A" w:rsidRPr="00F56934" w:rsidRDefault="008B000A" w:rsidP="00703E77">
      <w:pPr>
        <w:pStyle w:val="BodyText"/>
        <w:ind w:left="567" w:right="-1"/>
        <w:contextualSpacing/>
        <w:jc w:val="both"/>
        <w:rPr>
          <w:rFonts w:ascii="Arial" w:eastAsiaTheme="minorHAnsi" w:hAnsi="Arial" w:cs="Arial"/>
          <w:sz w:val="20"/>
          <w:lang w:eastAsia="en-US"/>
        </w:rPr>
      </w:pPr>
    </w:p>
    <w:p w14:paraId="0F65C560" w14:textId="23765D92" w:rsidR="00703E77" w:rsidRPr="0074154F" w:rsidRDefault="00703E77" w:rsidP="00703E77">
      <w:pPr>
        <w:pStyle w:val="BodyText"/>
        <w:ind w:left="567" w:right="-1"/>
        <w:contextualSpacing/>
        <w:jc w:val="both"/>
        <w:rPr>
          <w:rFonts w:ascii="Arial" w:eastAsiaTheme="minorHAnsi" w:hAnsi="Arial" w:cs="Arial"/>
          <w:sz w:val="20"/>
          <w:lang w:val="es-EC" w:eastAsia="en-US"/>
        </w:rPr>
      </w:pPr>
      <w:r w:rsidRPr="0074154F">
        <w:rPr>
          <w:rFonts w:ascii="Arial" w:eastAsiaTheme="minorHAnsi" w:hAnsi="Arial" w:cs="Arial"/>
          <w:sz w:val="20"/>
          <w:lang w:val="es-EC" w:eastAsia="en-US"/>
        </w:rPr>
        <w:t xml:space="preserve">Un breve impacto a nivel de estados financieros </w:t>
      </w:r>
      <w:r w:rsidR="00B04D7C">
        <w:rPr>
          <w:rFonts w:ascii="Arial" w:eastAsiaTheme="minorHAnsi" w:hAnsi="Arial" w:cs="Arial"/>
          <w:sz w:val="20"/>
          <w:lang w:val="es-EC" w:eastAsia="en-US"/>
        </w:rPr>
        <w:t xml:space="preserve">de Telconet S.A. y su </w:t>
      </w:r>
      <w:r w:rsidR="00794A8B">
        <w:rPr>
          <w:rFonts w:ascii="Arial" w:eastAsiaTheme="minorHAnsi" w:hAnsi="Arial" w:cs="Arial"/>
          <w:sz w:val="20"/>
          <w:lang w:val="es-EC" w:eastAsia="en-US"/>
        </w:rPr>
        <w:t>Compañía R</w:t>
      </w:r>
      <w:r w:rsidR="00B04D7C">
        <w:rPr>
          <w:rFonts w:ascii="Arial" w:eastAsiaTheme="minorHAnsi" w:hAnsi="Arial" w:cs="Arial"/>
          <w:sz w:val="20"/>
          <w:lang w:val="es-EC" w:eastAsia="en-US"/>
        </w:rPr>
        <w:t>elacionada</w:t>
      </w:r>
      <w:r w:rsidR="00EB6A39" w:rsidRPr="0074154F">
        <w:rPr>
          <w:rFonts w:ascii="Arial" w:eastAsiaTheme="minorHAnsi" w:hAnsi="Arial" w:cs="Arial"/>
          <w:sz w:val="20"/>
          <w:lang w:val="es-EC" w:eastAsia="en-US"/>
        </w:rPr>
        <w:t xml:space="preserve"> </w:t>
      </w:r>
      <w:r w:rsidRPr="0074154F">
        <w:rPr>
          <w:rFonts w:ascii="Arial" w:eastAsiaTheme="minorHAnsi" w:hAnsi="Arial" w:cs="Arial"/>
          <w:sz w:val="20"/>
          <w:lang w:val="es-EC" w:eastAsia="en-US"/>
        </w:rPr>
        <w:t>y operativo de la Compañía al 31 de diciembre del año 2020, se explican a continuación:</w:t>
      </w:r>
    </w:p>
    <w:bookmarkEnd w:id="10"/>
    <w:p w14:paraId="23914DE9" w14:textId="77777777" w:rsidR="00703E77" w:rsidRPr="0074154F" w:rsidRDefault="00703E77" w:rsidP="00CE4EEA">
      <w:pPr>
        <w:pStyle w:val="BodyText"/>
        <w:ind w:left="567" w:right="-1"/>
        <w:contextualSpacing/>
        <w:jc w:val="both"/>
        <w:rPr>
          <w:rFonts w:ascii="Arial" w:eastAsiaTheme="minorHAnsi" w:hAnsi="Arial" w:cs="Arial"/>
          <w:sz w:val="20"/>
          <w:u w:val="single"/>
          <w:lang w:val="es-EC" w:eastAsia="en-US"/>
        </w:rPr>
      </w:pPr>
    </w:p>
    <w:p w14:paraId="29EAA624" w14:textId="037E9551" w:rsidR="00CE4EEA" w:rsidRPr="0074154F" w:rsidRDefault="00CE4EEA" w:rsidP="00CE4EEA">
      <w:pPr>
        <w:pStyle w:val="BodyText"/>
        <w:ind w:left="567" w:right="-1"/>
        <w:contextualSpacing/>
        <w:jc w:val="both"/>
        <w:rPr>
          <w:rFonts w:ascii="Arial" w:eastAsiaTheme="minorHAnsi" w:hAnsi="Arial" w:cs="Arial"/>
          <w:sz w:val="20"/>
          <w:lang w:val="es-EC" w:eastAsia="en-US"/>
        </w:rPr>
      </w:pPr>
      <w:r w:rsidRPr="0074154F">
        <w:rPr>
          <w:rFonts w:ascii="Arial" w:eastAsiaTheme="minorHAnsi" w:hAnsi="Arial" w:cs="Arial"/>
          <w:sz w:val="20"/>
          <w:u w:val="single"/>
          <w:lang w:val="es-EC" w:eastAsia="en-US"/>
        </w:rPr>
        <w:t>Estados financieros</w:t>
      </w:r>
      <w:r w:rsidR="004F4E95" w:rsidRPr="0074154F">
        <w:rPr>
          <w:rFonts w:ascii="Arial" w:eastAsiaTheme="minorHAnsi" w:hAnsi="Arial" w:cs="Arial"/>
          <w:sz w:val="20"/>
          <w:u w:val="single"/>
          <w:lang w:val="es-EC" w:eastAsia="en-US"/>
        </w:rPr>
        <w:t xml:space="preserve"> </w:t>
      </w:r>
      <w:r w:rsidR="00B04D7C">
        <w:rPr>
          <w:rFonts w:ascii="Arial" w:eastAsiaTheme="minorHAnsi" w:hAnsi="Arial" w:cs="Arial"/>
          <w:sz w:val="20"/>
          <w:u w:val="single"/>
          <w:lang w:val="es-EC" w:eastAsia="en-US"/>
        </w:rPr>
        <w:t xml:space="preserve">de Telconet S.A. y su </w:t>
      </w:r>
      <w:r w:rsidR="00F85FF9">
        <w:rPr>
          <w:rFonts w:ascii="Arial" w:eastAsiaTheme="minorHAnsi" w:hAnsi="Arial" w:cs="Arial"/>
          <w:sz w:val="20"/>
          <w:u w:val="single"/>
          <w:lang w:val="es-EC" w:eastAsia="en-US"/>
        </w:rPr>
        <w:t>Compañía R</w:t>
      </w:r>
      <w:r w:rsidR="00B04D7C">
        <w:rPr>
          <w:rFonts w:ascii="Arial" w:eastAsiaTheme="minorHAnsi" w:hAnsi="Arial" w:cs="Arial"/>
          <w:sz w:val="20"/>
          <w:u w:val="single"/>
          <w:lang w:val="es-EC" w:eastAsia="en-US"/>
        </w:rPr>
        <w:t>elacionada</w:t>
      </w:r>
      <w:r w:rsidRPr="0074154F">
        <w:rPr>
          <w:rFonts w:ascii="Arial" w:eastAsiaTheme="minorHAnsi" w:hAnsi="Arial" w:cs="Arial"/>
          <w:sz w:val="20"/>
          <w:lang w:val="es-EC" w:eastAsia="en-US"/>
        </w:rPr>
        <w:t xml:space="preserve">: Los activos aumentaron en un </w:t>
      </w:r>
      <w:r w:rsidR="00893DDF">
        <w:rPr>
          <w:rFonts w:ascii="Arial" w:eastAsiaTheme="minorHAnsi" w:hAnsi="Arial" w:cs="Arial"/>
          <w:sz w:val="20"/>
          <w:lang w:val="es-EC" w:eastAsia="en-US"/>
        </w:rPr>
        <w:t>13</w:t>
      </w:r>
      <w:r w:rsidR="008B000A" w:rsidRPr="0074154F">
        <w:rPr>
          <w:rFonts w:ascii="Arial" w:eastAsiaTheme="minorHAnsi" w:hAnsi="Arial" w:cs="Arial"/>
          <w:sz w:val="20"/>
          <w:lang w:val="es-EC" w:eastAsia="en-US"/>
        </w:rPr>
        <w:t>.</w:t>
      </w:r>
      <w:r w:rsidR="00893DDF">
        <w:rPr>
          <w:rFonts w:ascii="Arial" w:eastAsiaTheme="minorHAnsi" w:hAnsi="Arial" w:cs="Arial"/>
          <w:sz w:val="20"/>
          <w:lang w:val="es-EC" w:eastAsia="en-US"/>
        </w:rPr>
        <w:t>00</w:t>
      </w:r>
      <w:r w:rsidRPr="0074154F">
        <w:rPr>
          <w:rFonts w:ascii="Arial" w:eastAsiaTheme="minorHAnsi" w:hAnsi="Arial" w:cs="Arial"/>
          <w:sz w:val="20"/>
          <w:lang w:val="es-EC" w:eastAsia="en-US"/>
        </w:rPr>
        <w:t xml:space="preserve">% con relación al año anterior originados principalmente por saldos </w:t>
      </w:r>
      <w:r w:rsidR="008B000A" w:rsidRPr="0074154F">
        <w:rPr>
          <w:rFonts w:ascii="Arial" w:eastAsiaTheme="minorHAnsi" w:hAnsi="Arial" w:cs="Arial"/>
          <w:sz w:val="20"/>
          <w:lang w:val="es-EC" w:eastAsia="en-US"/>
        </w:rPr>
        <w:t xml:space="preserve">en bancos, </w:t>
      </w:r>
      <w:r w:rsidR="001D0071" w:rsidRPr="0074154F">
        <w:rPr>
          <w:rFonts w:ascii="Arial" w:eastAsiaTheme="minorHAnsi" w:hAnsi="Arial" w:cs="Arial"/>
          <w:sz w:val="20"/>
          <w:lang w:val="es-EC" w:eastAsia="en-US"/>
        </w:rPr>
        <w:t>inversiones</w:t>
      </w:r>
      <w:r w:rsidRPr="0074154F">
        <w:rPr>
          <w:rFonts w:ascii="Arial" w:eastAsiaTheme="minorHAnsi" w:hAnsi="Arial" w:cs="Arial"/>
          <w:sz w:val="20"/>
          <w:lang w:val="es-EC" w:eastAsia="en-US"/>
        </w:rPr>
        <w:t xml:space="preserve"> a plazo,</w:t>
      </w:r>
      <w:r w:rsidR="001D0071" w:rsidRPr="0074154F">
        <w:rPr>
          <w:rFonts w:ascii="Arial" w:eastAsiaTheme="minorHAnsi" w:hAnsi="Arial" w:cs="Arial"/>
          <w:sz w:val="20"/>
          <w:lang w:val="es-EC" w:eastAsia="en-US"/>
        </w:rPr>
        <w:t xml:space="preserve"> </w:t>
      </w:r>
      <w:r w:rsidR="00082CFB" w:rsidRPr="0074154F">
        <w:rPr>
          <w:rFonts w:ascii="Arial" w:eastAsiaTheme="minorHAnsi" w:hAnsi="Arial" w:cs="Arial"/>
          <w:sz w:val="20"/>
          <w:lang w:val="es-EC" w:eastAsia="en-US"/>
        </w:rPr>
        <w:t>incremento en cuentas por cobrar</w:t>
      </w:r>
      <w:r w:rsidRPr="0074154F">
        <w:rPr>
          <w:rFonts w:ascii="Arial" w:eastAsiaTheme="minorHAnsi" w:hAnsi="Arial" w:cs="Arial"/>
          <w:sz w:val="20"/>
          <w:lang w:val="es-EC" w:eastAsia="en-US"/>
        </w:rPr>
        <w:t xml:space="preserve">. Los pasivos aumentaron un </w:t>
      </w:r>
      <w:r w:rsidR="00343A36" w:rsidRPr="0074154F">
        <w:rPr>
          <w:rFonts w:ascii="Arial" w:eastAsiaTheme="minorHAnsi" w:hAnsi="Arial" w:cs="Arial"/>
          <w:sz w:val="20"/>
          <w:lang w:val="es-EC" w:eastAsia="en-US"/>
        </w:rPr>
        <w:t>1</w:t>
      </w:r>
      <w:r w:rsidR="00893DDF">
        <w:rPr>
          <w:rFonts w:ascii="Arial" w:eastAsiaTheme="minorHAnsi" w:hAnsi="Arial" w:cs="Arial"/>
          <w:sz w:val="20"/>
          <w:lang w:val="es-EC" w:eastAsia="en-US"/>
        </w:rPr>
        <w:t>0</w:t>
      </w:r>
      <w:r w:rsidR="00343A36" w:rsidRPr="0074154F">
        <w:rPr>
          <w:rFonts w:ascii="Arial" w:eastAsiaTheme="minorHAnsi" w:hAnsi="Arial" w:cs="Arial"/>
          <w:sz w:val="20"/>
          <w:lang w:val="es-EC" w:eastAsia="en-US"/>
        </w:rPr>
        <w:t>.</w:t>
      </w:r>
      <w:r w:rsidR="00BE1386" w:rsidRPr="0074154F">
        <w:rPr>
          <w:rFonts w:ascii="Arial" w:eastAsiaTheme="minorHAnsi" w:hAnsi="Arial" w:cs="Arial"/>
          <w:sz w:val="20"/>
          <w:lang w:val="es-EC" w:eastAsia="en-US"/>
        </w:rPr>
        <w:t>0</w:t>
      </w:r>
      <w:r w:rsidR="00893DDF">
        <w:rPr>
          <w:rFonts w:ascii="Arial" w:eastAsiaTheme="minorHAnsi" w:hAnsi="Arial" w:cs="Arial"/>
          <w:sz w:val="20"/>
          <w:lang w:val="es-EC" w:eastAsia="en-US"/>
        </w:rPr>
        <w:t>0</w:t>
      </w:r>
      <w:r w:rsidRPr="0074154F">
        <w:rPr>
          <w:rFonts w:ascii="Arial" w:eastAsiaTheme="minorHAnsi" w:hAnsi="Arial" w:cs="Arial"/>
          <w:sz w:val="20"/>
          <w:lang w:val="es-EC" w:eastAsia="en-US"/>
        </w:rPr>
        <w:t>% con relación al año anterior principalmente debido a un incremento a saldos con proveedores</w:t>
      </w:r>
      <w:r w:rsidR="00A06DF8" w:rsidRPr="0074154F">
        <w:rPr>
          <w:rFonts w:ascii="Arial" w:eastAsiaTheme="minorHAnsi" w:hAnsi="Arial" w:cs="Arial"/>
          <w:sz w:val="20"/>
          <w:lang w:val="es-EC" w:eastAsia="en-US"/>
        </w:rPr>
        <w:t>, impuesto a la renta corriente, emisión de obligaciones</w:t>
      </w:r>
      <w:r w:rsidRPr="0074154F">
        <w:rPr>
          <w:rFonts w:ascii="Arial" w:eastAsiaTheme="minorHAnsi" w:hAnsi="Arial" w:cs="Arial"/>
          <w:sz w:val="20"/>
          <w:lang w:val="es-EC" w:eastAsia="en-US"/>
        </w:rPr>
        <w:t xml:space="preserve"> y</w:t>
      </w:r>
      <w:r w:rsidR="00343A36" w:rsidRPr="0074154F">
        <w:rPr>
          <w:rFonts w:ascii="Arial" w:eastAsiaTheme="minorHAnsi" w:hAnsi="Arial" w:cs="Arial"/>
          <w:sz w:val="20"/>
          <w:lang w:val="es-EC" w:eastAsia="en-US"/>
        </w:rPr>
        <w:t xml:space="preserve"> provisiones por beneficios definidos</w:t>
      </w:r>
      <w:r w:rsidRPr="0074154F">
        <w:rPr>
          <w:rFonts w:ascii="Arial" w:eastAsiaTheme="minorHAnsi" w:hAnsi="Arial" w:cs="Arial"/>
          <w:sz w:val="20"/>
          <w:lang w:val="es-EC" w:eastAsia="en-US"/>
        </w:rPr>
        <w:t>.</w:t>
      </w:r>
    </w:p>
    <w:p w14:paraId="78B242A6" w14:textId="77777777" w:rsidR="00CE4EEA" w:rsidRPr="0074154F" w:rsidRDefault="00CE4EEA" w:rsidP="00413455">
      <w:pPr>
        <w:pStyle w:val="BodyText"/>
        <w:ind w:left="567" w:right="-1"/>
        <w:contextualSpacing/>
        <w:jc w:val="both"/>
        <w:rPr>
          <w:rFonts w:ascii="Arial" w:hAnsi="Arial" w:cs="Arial"/>
          <w:b/>
          <w:color w:val="000000"/>
          <w:spacing w:val="-2"/>
          <w:sz w:val="20"/>
          <w:lang w:val="es-EC"/>
        </w:rPr>
      </w:pPr>
    </w:p>
    <w:p w14:paraId="5F66B5D8" w14:textId="56D80306" w:rsidR="00343A36" w:rsidRPr="0074154F" w:rsidRDefault="00343A36" w:rsidP="00343A36">
      <w:pPr>
        <w:pStyle w:val="BodyText"/>
        <w:ind w:left="567" w:right="-1"/>
        <w:contextualSpacing/>
        <w:jc w:val="both"/>
        <w:rPr>
          <w:rFonts w:ascii="Arial" w:eastAsiaTheme="minorHAnsi" w:hAnsi="Arial" w:cs="Arial"/>
          <w:sz w:val="20"/>
          <w:lang w:val="es-EC" w:eastAsia="en-US"/>
        </w:rPr>
      </w:pPr>
      <w:r w:rsidRPr="0074154F">
        <w:rPr>
          <w:rFonts w:ascii="Arial" w:eastAsiaTheme="minorHAnsi" w:hAnsi="Arial" w:cs="Arial"/>
          <w:sz w:val="20"/>
          <w:lang w:val="es-EC" w:eastAsia="en-US"/>
        </w:rPr>
        <w:lastRenderedPageBreak/>
        <w:t>Los ingresos presentan un incremento de US$</w:t>
      </w:r>
      <w:r w:rsidR="00DA7C2D">
        <w:rPr>
          <w:rFonts w:ascii="Arial" w:eastAsiaTheme="minorHAnsi" w:hAnsi="Arial" w:cs="Arial"/>
          <w:sz w:val="20"/>
          <w:lang w:val="es-EC" w:eastAsia="en-US"/>
        </w:rPr>
        <w:t>35</w:t>
      </w:r>
      <w:r w:rsidR="00961102">
        <w:rPr>
          <w:rFonts w:ascii="Arial" w:eastAsiaTheme="minorHAnsi" w:hAnsi="Arial" w:cs="Arial"/>
          <w:sz w:val="20"/>
          <w:lang w:val="es-EC" w:eastAsia="en-US"/>
        </w:rPr>
        <w:t>.8</w:t>
      </w:r>
      <w:r w:rsidRPr="0074154F">
        <w:rPr>
          <w:rFonts w:ascii="Arial" w:eastAsiaTheme="minorHAnsi" w:hAnsi="Arial" w:cs="Arial"/>
          <w:sz w:val="20"/>
          <w:lang w:val="es-EC" w:eastAsia="en-US"/>
        </w:rPr>
        <w:t xml:space="preserve"> millones que representa el </w:t>
      </w:r>
      <w:r w:rsidR="00DA7C2D">
        <w:rPr>
          <w:rFonts w:ascii="Arial" w:eastAsiaTheme="minorHAnsi" w:hAnsi="Arial" w:cs="Arial"/>
          <w:sz w:val="20"/>
          <w:lang w:val="es-EC" w:eastAsia="en-US"/>
        </w:rPr>
        <w:t>13</w:t>
      </w:r>
      <w:r w:rsidR="008B000A" w:rsidRPr="0074154F">
        <w:rPr>
          <w:rFonts w:ascii="Arial" w:eastAsiaTheme="minorHAnsi" w:hAnsi="Arial" w:cs="Arial"/>
          <w:sz w:val="20"/>
          <w:lang w:val="es-EC" w:eastAsia="en-US"/>
        </w:rPr>
        <w:t>.00</w:t>
      </w:r>
      <w:r w:rsidRPr="0074154F">
        <w:rPr>
          <w:rFonts w:ascii="Arial" w:eastAsiaTheme="minorHAnsi" w:hAnsi="Arial" w:cs="Arial"/>
          <w:sz w:val="20"/>
          <w:lang w:val="es-EC" w:eastAsia="en-US"/>
        </w:rPr>
        <w:t>% de las ventas del 2020 versus el año anterior 2019, los costos y gastos reflejan un incremento de US$1</w:t>
      </w:r>
      <w:r w:rsidR="00BD23B9">
        <w:rPr>
          <w:rFonts w:ascii="Arial" w:eastAsiaTheme="minorHAnsi" w:hAnsi="Arial" w:cs="Arial"/>
          <w:sz w:val="20"/>
          <w:lang w:val="es-EC" w:eastAsia="en-US"/>
        </w:rPr>
        <w:t>6</w:t>
      </w:r>
      <w:r w:rsidRPr="0074154F">
        <w:rPr>
          <w:rFonts w:ascii="Arial" w:eastAsiaTheme="minorHAnsi" w:hAnsi="Arial" w:cs="Arial"/>
          <w:sz w:val="20"/>
          <w:lang w:val="es-EC" w:eastAsia="en-US"/>
        </w:rPr>
        <w:t xml:space="preserve"> millones que representa el </w:t>
      </w:r>
      <w:r w:rsidR="00E41E38">
        <w:rPr>
          <w:rFonts w:ascii="Arial" w:eastAsiaTheme="minorHAnsi" w:hAnsi="Arial" w:cs="Arial"/>
          <w:sz w:val="20"/>
          <w:lang w:val="es-EC" w:eastAsia="en-US"/>
        </w:rPr>
        <w:t>30</w:t>
      </w:r>
      <w:r w:rsidRPr="0074154F">
        <w:rPr>
          <w:rFonts w:ascii="Arial" w:eastAsiaTheme="minorHAnsi" w:hAnsi="Arial" w:cs="Arial"/>
          <w:sz w:val="20"/>
          <w:lang w:val="es-EC" w:eastAsia="en-US"/>
        </w:rPr>
        <w:t>%. Estas variaciones originaron utilidad en el año 2020 de US$</w:t>
      </w:r>
      <w:r w:rsidR="00E41E38">
        <w:rPr>
          <w:rFonts w:ascii="Arial" w:eastAsiaTheme="minorHAnsi" w:hAnsi="Arial" w:cs="Arial"/>
          <w:sz w:val="20"/>
          <w:lang w:val="es-EC" w:eastAsia="en-US"/>
        </w:rPr>
        <w:t>39</w:t>
      </w:r>
      <w:r w:rsidR="007C1629" w:rsidRPr="0074154F">
        <w:rPr>
          <w:rFonts w:ascii="Arial" w:eastAsiaTheme="minorHAnsi" w:hAnsi="Arial" w:cs="Arial"/>
          <w:sz w:val="20"/>
          <w:lang w:val="es-EC" w:eastAsia="en-US"/>
        </w:rPr>
        <w:t xml:space="preserve"> millones</w:t>
      </w:r>
      <w:r w:rsidRPr="0074154F">
        <w:rPr>
          <w:rFonts w:ascii="Arial" w:eastAsiaTheme="minorHAnsi" w:hAnsi="Arial" w:cs="Arial"/>
          <w:sz w:val="20"/>
          <w:lang w:val="es-EC" w:eastAsia="en-US"/>
        </w:rPr>
        <w:t xml:space="preserve"> en </w:t>
      </w:r>
      <w:r w:rsidR="001B5083" w:rsidRPr="0074154F">
        <w:rPr>
          <w:rFonts w:ascii="Arial" w:eastAsiaTheme="minorHAnsi" w:hAnsi="Arial" w:cs="Arial"/>
          <w:sz w:val="20"/>
          <w:lang w:val="es-EC" w:eastAsia="en-US"/>
        </w:rPr>
        <w:t>libros al cierre del año</w:t>
      </w:r>
      <w:r w:rsidRPr="0074154F">
        <w:rPr>
          <w:rFonts w:ascii="Arial" w:eastAsiaTheme="minorHAnsi" w:hAnsi="Arial" w:cs="Arial"/>
          <w:sz w:val="20"/>
          <w:lang w:val="es-EC" w:eastAsia="en-US"/>
        </w:rPr>
        <w:t>.</w:t>
      </w:r>
    </w:p>
    <w:p w14:paraId="18FF6579" w14:textId="77777777" w:rsidR="00CF44F0" w:rsidRPr="0074154F" w:rsidRDefault="00CF44F0" w:rsidP="00413455">
      <w:pPr>
        <w:pStyle w:val="BodyText"/>
        <w:ind w:left="567" w:right="-1"/>
        <w:contextualSpacing/>
        <w:jc w:val="both"/>
        <w:rPr>
          <w:rFonts w:ascii="Arial" w:hAnsi="Arial" w:cs="Arial"/>
          <w:b/>
          <w:color w:val="000000"/>
          <w:spacing w:val="-2"/>
          <w:sz w:val="20"/>
          <w:lang w:val="es-EC"/>
        </w:rPr>
      </w:pPr>
    </w:p>
    <w:p w14:paraId="7379EF89" w14:textId="1B627C84" w:rsidR="00DF7B9C" w:rsidRPr="0074154F" w:rsidRDefault="00C13EC6" w:rsidP="00DF7B9C">
      <w:pPr>
        <w:spacing w:after="0" w:line="240" w:lineRule="auto"/>
        <w:ind w:left="567"/>
        <w:jc w:val="both"/>
        <w:rPr>
          <w:rFonts w:ascii="Arial" w:hAnsi="Arial" w:cs="Arial"/>
          <w:color w:val="000000"/>
          <w:sz w:val="20"/>
          <w:szCs w:val="20"/>
        </w:rPr>
      </w:pPr>
      <w:r w:rsidRPr="0074154F">
        <w:rPr>
          <w:rFonts w:ascii="Arial" w:hAnsi="Arial" w:cs="Arial"/>
          <w:sz w:val="20"/>
          <w:szCs w:val="20"/>
        </w:rPr>
        <w:t xml:space="preserve">Debido a la gestión de </w:t>
      </w:r>
      <w:r w:rsidRPr="0074154F">
        <w:rPr>
          <w:rFonts w:ascii="Arial" w:hAnsi="Arial" w:cs="Arial"/>
          <w:color w:val="000000"/>
          <w:sz w:val="20"/>
          <w:szCs w:val="20"/>
          <w:lang w:val="es-MX" w:eastAsia="es-ES_tradnl"/>
        </w:rPr>
        <w:t xml:space="preserve">la Administración y las situaciones descritas precedentemente, la Compañía no enfrentó dificultades financieras, cumplió con sus obligaciones con personal interno, proveedores de bienes y </w:t>
      </w:r>
      <w:r w:rsidR="00DF7B9C" w:rsidRPr="0074154F">
        <w:rPr>
          <w:rFonts w:ascii="Arial" w:hAnsi="Arial" w:cs="Arial"/>
          <w:color w:val="000000"/>
          <w:sz w:val="20"/>
          <w:szCs w:val="20"/>
          <w:lang w:val="es-MX" w:eastAsia="es-ES_tradnl"/>
        </w:rPr>
        <w:t xml:space="preserve">prestación de </w:t>
      </w:r>
      <w:r w:rsidRPr="0074154F">
        <w:rPr>
          <w:rFonts w:ascii="Arial" w:hAnsi="Arial" w:cs="Arial"/>
          <w:color w:val="000000"/>
          <w:sz w:val="20"/>
          <w:szCs w:val="20"/>
          <w:lang w:val="es-MX" w:eastAsia="es-ES_tradnl"/>
        </w:rPr>
        <w:t>servicios</w:t>
      </w:r>
      <w:r w:rsidR="00DF7B9C" w:rsidRPr="0074154F">
        <w:rPr>
          <w:rFonts w:ascii="Arial" w:hAnsi="Arial" w:cs="Arial"/>
          <w:color w:val="000000"/>
          <w:sz w:val="20"/>
          <w:szCs w:val="20"/>
          <w:lang w:val="es-MX" w:eastAsia="es-ES_tradnl"/>
        </w:rPr>
        <w:t>, así como clientes</w:t>
      </w:r>
      <w:r w:rsidRPr="0074154F">
        <w:rPr>
          <w:rFonts w:ascii="Arial" w:hAnsi="Arial" w:cs="Arial"/>
          <w:color w:val="000000"/>
          <w:sz w:val="20"/>
          <w:szCs w:val="20"/>
        </w:rPr>
        <w:t xml:space="preserve">, por lo tanto, debido a los hechos aquí presentados, los estados financieros </w:t>
      </w:r>
      <w:r w:rsidR="0070026E" w:rsidRPr="0074154F">
        <w:rPr>
          <w:rFonts w:ascii="Arial" w:hAnsi="Arial" w:cs="Arial"/>
          <w:color w:val="000000"/>
          <w:sz w:val="20"/>
          <w:szCs w:val="20"/>
        </w:rPr>
        <w:t>consolidados</w:t>
      </w:r>
      <w:r w:rsidR="00477714" w:rsidRPr="0074154F">
        <w:rPr>
          <w:rFonts w:ascii="Arial" w:hAnsi="Arial" w:cs="Arial"/>
          <w:color w:val="000000"/>
          <w:sz w:val="20"/>
          <w:szCs w:val="20"/>
        </w:rPr>
        <w:t xml:space="preserve"> </w:t>
      </w:r>
      <w:r w:rsidRPr="0074154F">
        <w:rPr>
          <w:rFonts w:ascii="Arial" w:hAnsi="Arial" w:cs="Arial"/>
          <w:color w:val="000000"/>
          <w:sz w:val="20"/>
          <w:szCs w:val="20"/>
        </w:rPr>
        <w:t>deben ser leídos tomando en cuenta todas las circunstancias actualmente conocidas y sus posibles consecuencias</w:t>
      </w:r>
      <w:bookmarkEnd w:id="9"/>
      <w:r w:rsidR="00DF7B9C" w:rsidRPr="0074154F">
        <w:rPr>
          <w:rFonts w:ascii="Arial" w:hAnsi="Arial" w:cs="Arial"/>
          <w:color w:val="000000"/>
          <w:sz w:val="20"/>
          <w:szCs w:val="20"/>
        </w:rPr>
        <w:t xml:space="preserve">. </w:t>
      </w:r>
    </w:p>
    <w:p w14:paraId="5B23A2EC" w14:textId="73799F48" w:rsidR="00FD49AF" w:rsidRPr="0074154F" w:rsidRDefault="00FD49AF" w:rsidP="00F4254B">
      <w:pPr>
        <w:pStyle w:val="Cuerpodeltexto21"/>
        <w:shd w:val="clear" w:color="auto" w:fill="auto"/>
        <w:spacing w:before="0" w:line="240" w:lineRule="auto"/>
        <w:ind w:left="567" w:firstLine="0"/>
        <w:jc w:val="both"/>
        <w:rPr>
          <w:rFonts w:eastAsia="Arial Unicode MS"/>
          <w:sz w:val="20"/>
          <w:szCs w:val="20"/>
        </w:rPr>
      </w:pPr>
    </w:p>
    <w:p w14:paraId="43A3D845" w14:textId="691E6CB7" w:rsidR="00FA7252" w:rsidRPr="0074154F" w:rsidRDefault="00FA7252" w:rsidP="00FA7252">
      <w:pPr>
        <w:pStyle w:val="Cuerpodeltexto21"/>
        <w:shd w:val="clear" w:color="auto" w:fill="auto"/>
        <w:spacing w:before="0" w:line="240" w:lineRule="auto"/>
        <w:ind w:left="567" w:firstLine="0"/>
        <w:jc w:val="both"/>
        <w:rPr>
          <w:rFonts w:eastAsia="Arial Unicode MS"/>
          <w:sz w:val="20"/>
          <w:szCs w:val="20"/>
        </w:rPr>
      </w:pPr>
      <w:r w:rsidRPr="0074154F">
        <w:rPr>
          <w:rFonts w:eastAsia="Arial Unicode MS"/>
          <w:sz w:val="20"/>
          <w:szCs w:val="20"/>
        </w:rPr>
        <w:t>Las políticas contables que utilizan la</w:t>
      </w:r>
      <w:r w:rsidR="00A310F4">
        <w:rPr>
          <w:rFonts w:eastAsia="Arial Unicode MS"/>
          <w:sz w:val="20"/>
          <w:szCs w:val="20"/>
        </w:rPr>
        <w:t xml:space="preserve"> relacionada</w:t>
      </w:r>
      <w:r w:rsidRPr="0074154F">
        <w:rPr>
          <w:rFonts w:eastAsia="Arial Unicode MS"/>
          <w:sz w:val="20"/>
          <w:szCs w:val="20"/>
        </w:rPr>
        <w:t xml:space="preserve"> son consistentes con las que aplica Telconet S.A., en la preparación de sus estados financieros consolidados.</w:t>
      </w:r>
    </w:p>
    <w:p w14:paraId="551855AC" w14:textId="77777777" w:rsidR="00FA7252" w:rsidRPr="00A310F4" w:rsidRDefault="00FA7252" w:rsidP="00DF7B9C">
      <w:pPr>
        <w:spacing w:after="0" w:line="240" w:lineRule="auto"/>
        <w:ind w:left="567"/>
        <w:jc w:val="both"/>
        <w:rPr>
          <w:rFonts w:ascii="Arial" w:hAnsi="Arial" w:cs="Arial"/>
          <w:sz w:val="20"/>
          <w:szCs w:val="20"/>
          <w:lang w:val="es-ES"/>
        </w:rPr>
      </w:pPr>
    </w:p>
    <w:p w14:paraId="4FB46674" w14:textId="30C214D8" w:rsidR="00C13EC6" w:rsidRPr="0074154F" w:rsidRDefault="00C13EC6" w:rsidP="00DF7B9C">
      <w:pPr>
        <w:spacing w:after="0" w:line="240" w:lineRule="auto"/>
        <w:ind w:left="567"/>
        <w:jc w:val="both"/>
        <w:rPr>
          <w:rFonts w:ascii="Arial" w:hAnsi="Arial" w:cs="Arial"/>
          <w:sz w:val="20"/>
          <w:szCs w:val="20"/>
        </w:rPr>
      </w:pPr>
      <w:r w:rsidRPr="0074154F">
        <w:rPr>
          <w:rFonts w:ascii="Arial" w:hAnsi="Arial" w:cs="Arial"/>
          <w:sz w:val="20"/>
          <w:szCs w:val="20"/>
        </w:rPr>
        <w:t xml:space="preserve">La información contenida en estos estados financieros </w:t>
      </w:r>
      <w:r w:rsidR="00A310F4">
        <w:rPr>
          <w:rFonts w:ascii="Arial" w:hAnsi="Arial" w:cs="Arial"/>
          <w:sz w:val="20"/>
          <w:szCs w:val="20"/>
        </w:rPr>
        <w:t xml:space="preserve">de Telconet y </w:t>
      </w:r>
      <w:r w:rsidR="00075E1B">
        <w:rPr>
          <w:rFonts w:ascii="Arial" w:hAnsi="Arial" w:cs="Arial"/>
          <w:sz w:val="20"/>
          <w:szCs w:val="20"/>
        </w:rPr>
        <w:t xml:space="preserve">su </w:t>
      </w:r>
      <w:r w:rsidR="00A310F4">
        <w:rPr>
          <w:rFonts w:ascii="Arial" w:hAnsi="Arial" w:cs="Arial"/>
          <w:sz w:val="20"/>
          <w:szCs w:val="20"/>
        </w:rPr>
        <w:t xml:space="preserve">Compañía </w:t>
      </w:r>
      <w:r w:rsidR="00075E1B">
        <w:rPr>
          <w:rFonts w:ascii="Arial" w:hAnsi="Arial" w:cs="Arial"/>
          <w:sz w:val="20"/>
          <w:szCs w:val="20"/>
        </w:rPr>
        <w:t>R</w:t>
      </w:r>
      <w:r w:rsidR="00A310F4">
        <w:rPr>
          <w:rFonts w:ascii="Arial" w:hAnsi="Arial" w:cs="Arial"/>
          <w:sz w:val="20"/>
          <w:szCs w:val="20"/>
        </w:rPr>
        <w:t>elacionada</w:t>
      </w:r>
      <w:r w:rsidR="00EB6A39" w:rsidRPr="0074154F">
        <w:rPr>
          <w:rFonts w:ascii="Arial" w:hAnsi="Arial" w:cs="Arial"/>
          <w:sz w:val="20"/>
          <w:szCs w:val="20"/>
        </w:rPr>
        <w:t xml:space="preserve"> </w:t>
      </w:r>
      <w:r w:rsidRPr="0074154F">
        <w:rPr>
          <w:rFonts w:ascii="Arial" w:hAnsi="Arial" w:cs="Arial"/>
          <w:sz w:val="20"/>
          <w:szCs w:val="20"/>
        </w:rPr>
        <w:t xml:space="preserve">es responsabilidad de la Administración </w:t>
      </w:r>
      <w:r w:rsidR="006E27B9">
        <w:rPr>
          <w:rFonts w:ascii="Arial" w:hAnsi="Arial" w:cs="Arial"/>
          <w:sz w:val="20"/>
          <w:szCs w:val="20"/>
        </w:rPr>
        <w:t xml:space="preserve">de la Compañía y su </w:t>
      </w:r>
      <w:r w:rsidR="00324AA6">
        <w:rPr>
          <w:rFonts w:ascii="Arial" w:hAnsi="Arial" w:cs="Arial"/>
          <w:sz w:val="20"/>
          <w:szCs w:val="20"/>
        </w:rPr>
        <w:t>Re</w:t>
      </w:r>
      <w:r w:rsidR="006E27B9">
        <w:rPr>
          <w:rFonts w:ascii="Arial" w:hAnsi="Arial" w:cs="Arial"/>
          <w:sz w:val="20"/>
          <w:szCs w:val="20"/>
        </w:rPr>
        <w:t>lacionada</w:t>
      </w:r>
      <w:r w:rsidRPr="0074154F">
        <w:rPr>
          <w:rFonts w:ascii="Arial" w:hAnsi="Arial" w:cs="Arial"/>
          <w:sz w:val="20"/>
          <w:szCs w:val="20"/>
        </w:rPr>
        <w:t>.</w:t>
      </w:r>
    </w:p>
    <w:p w14:paraId="42593199" w14:textId="77777777" w:rsidR="00DF7B9C" w:rsidRPr="0074154F" w:rsidRDefault="00DF7B9C" w:rsidP="00DF7B9C">
      <w:pPr>
        <w:spacing w:after="0" w:line="240" w:lineRule="auto"/>
        <w:ind w:left="567"/>
        <w:jc w:val="both"/>
        <w:rPr>
          <w:rFonts w:ascii="Arial" w:hAnsi="Arial" w:cs="Arial"/>
          <w:color w:val="000000"/>
          <w:sz w:val="20"/>
          <w:szCs w:val="20"/>
        </w:rPr>
      </w:pPr>
    </w:p>
    <w:bookmarkEnd w:id="7"/>
    <w:p w14:paraId="1F14D5FD" w14:textId="6EF48F08" w:rsidR="005A5DA3" w:rsidRPr="0074154F" w:rsidRDefault="005A5DA3"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RESUMEN DE LAS PRINCIPALES POLÍTICAS CONTABLES</w:t>
      </w:r>
    </w:p>
    <w:p w14:paraId="7D621A8E" w14:textId="77777777" w:rsidR="00E56F79" w:rsidRPr="0074154F" w:rsidRDefault="00E56F79" w:rsidP="00413455">
      <w:pPr>
        <w:pStyle w:val="Cuerpodeltexto20"/>
        <w:shd w:val="clear" w:color="auto" w:fill="auto"/>
        <w:spacing w:before="0" w:line="240" w:lineRule="auto"/>
        <w:ind w:left="567" w:firstLine="0"/>
        <w:rPr>
          <w:rFonts w:eastAsia="Arial Unicode MS"/>
          <w:sz w:val="16"/>
          <w:szCs w:val="16"/>
          <w:lang w:val="es-EC"/>
        </w:rPr>
      </w:pPr>
    </w:p>
    <w:p w14:paraId="37A1BD03" w14:textId="4C4FC1F1" w:rsidR="00B449D1" w:rsidRPr="0074154F" w:rsidRDefault="00B449D1" w:rsidP="00413455">
      <w:pPr>
        <w:pStyle w:val="Cuerpodeltexto20"/>
        <w:shd w:val="clear" w:color="auto" w:fill="auto"/>
        <w:spacing w:before="0" w:line="240" w:lineRule="auto"/>
        <w:ind w:left="567" w:firstLine="0"/>
        <w:rPr>
          <w:rFonts w:eastAsiaTheme="minorHAnsi"/>
          <w:sz w:val="20"/>
          <w:szCs w:val="20"/>
          <w:lang w:val="es-EC"/>
        </w:rPr>
      </w:pPr>
      <w:r w:rsidRPr="0074154F">
        <w:rPr>
          <w:rFonts w:eastAsiaTheme="minorHAnsi"/>
          <w:sz w:val="20"/>
          <w:szCs w:val="20"/>
          <w:lang w:val="es-EC"/>
        </w:rPr>
        <w:t>A continuación, mencionamos las prácticas contables más importantes que utilizó la Administración</w:t>
      </w:r>
      <w:r w:rsidR="006B78BE" w:rsidRPr="0074154F">
        <w:rPr>
          <w:rFonts w:eastAsiaTheme="minorHAnsi"/>
          <w:sz w:val="20"/>
          <w:szCs w:val="20"/>
          <w:lang w:val="es-EC"/>
        </w:rPr>
        <w:t xml:space="preserve"> de </w:t>
      </w:r>
      <w:r w:rsidR="00F32099">
        <w:rPr>
          <w:rFonts w:eastAsiaTheme="minorHAnsi"/>
          <w:sz w:val="20"/>
          <w:szCs w:val="20"/>
          <w:lang w:val="es-EC"/>
        </w:rPr>
        <w:t xml:space="preserve">Telconet y su </w:t>
      </w:r>
      <w:r w:rsidR="006B78BE" w:rsidRPr="0074154F">
        <w:rPr>
          <w:rFonts w:eastAsiaTheme="minorHAnsi"/>
          <w:sz w:val="20"/>
          <w:szCs w:val="20"/>
          <w:lang w:val="es-EC"/>
        </w:rPr>
        <w:t>Compañía</w:t>
      </w:r>
      <w:r w:rsidR="00F32099">
        <w:rPr>
          <w:rFonts w:eastAsiaTheme="minorHAnsi"/>
          <w:sz w:val="20"/>
          <w:szCs w:val="20"/>
          <w:lang w:val="es-EC"/>
        </w:rPr>
        <w:t xml:space="preserve"> Relaciona</w:t>
      </w:r>
      <w:r w:rsidRPr="0074154F">
        <w:rPr>
          <w:rFonts w:eastAsiaTheme="minorHAnsi"/>
          <w:sz w:val="20"/>
          <w:szCs w:val="20"/>
          <w:lang w:val="es-EC"/>
        </w:rPr>
        <w:t>:</w:t>
      </w:r>
    </w:p>
    <w:p w14:paraId="52DCE6A5" w14:textId="77777777" w:rsidR="007E72D2" w:rsidRPr="0074154F" w:rsidRDefault="007E72D2" w:rsidP="00413455">
      <w:pPr>
        <w:pStyle w:val="Cuerpodeltexto20"/>
        <w:shd w:val="clear" w:color="auto" w:fill="auto"/>
        <w:spacing w:before="0" w:line="240" w:lineRule="auto"/>
        <w:ind w:left="567" w:firstLine="0"/>
        <w:rPr>
          <w:rFonts w:eastAsiaTheme="minorHAnsi"/>
          <w:sz w:val="16"/>
          <w:szCs w:val="16"/>
          <w:lang w:val="es-EC"/>
        </w:rPr>
      </w:pPr>
    </w:p>
    <w:p w14:paraId="7F891783" w14:textId="77777777" w:rsidR="007E72D2" w:rsidRPr="0074154F" w:rsidRDefault="007E72D2" w:rsidP="00413455">
      <w:pPr>
        <w:pStyle w:val="ListParagraph"/>
        <w:numPr>
          <w:ilvl w:val="1"/>
          <w:numId w:val="3"/>
        </w:numPr>
        <w:tabs>
          <w:tab w:val="left" w:pos="1134"/>
          <w:tab w:val="left" w:pos="6989"/>
        </w:tabs>
        <w:spacing w:after="0" w:line="240" w:lineRule="auto"/>
        <w:ind w:firstLine="207"/>
        <w:jc w:val="both"/>
        <w:rPr>
          <w:rFonts w:ascii="Arial" w:hAnsi="Arial" w:cs="Arial"/>
          <w:b/>
          <w:sz w:val="20"/>
          <w:szCs w:val="20"/>
          <w:u w:val="single"/>
        </w:rPr>
      </w:pPr>
      <w:r w:rsidRPr="0074154F">
        <w:rPr>
          <w:rFonts w:ascii="Arial" w:hAnsi="Arial" w:cs="Arial"/>
          <w:b/>
          <w:sz w:val="20"/>
          <w:szCs w:val="20"/>
          <w:u w:val="single"/>
        </w:rPr>
        <w:t xml:space="preserve">Declaración de cumplimiento </w:t>
      </w:r>
    </w:p>
    <w:p w14:paraId="4957F90C" w14:textId="77777777" w:rsidR="007E72D2" w:rsidRPr="0074154F" w:rsidRDefault="007E72D2" w:rsidP="00413455">
      <w:pPr>
        <w:pStyle w:val="ListParagraph"/>
        <w:tabs>
          <w:tab w:val="left" w:pos="1276"/>
          <w:tab w:val="left" w:pos="6989"/>
        </w:tabs>
        <w:spacing w:after="0" w:line="240" w:lineRule="auto"/>
        <w:ind w:left="993" w:hanging="716"/>
        <w:jc w:val="both"/>
        <w:rPr>
          <w:rFonts w:ascii="Arial" w:hAnsi="Arial" w:cs="Arial"/>
          <w:b/>
          <w:sz w:val="16"/>
          <w:szCs w:val="16"/>
        </w:rPr>
      </w:pPr>
    </w:p>
    <w:p w14:paraId="4EFA0FF5" w14:textId="0EB04F37" w:rsidR="007E72D2"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Los estados financieros</w:t>
      </w:r>
      <w:r w:rsidR="00626D7B" w:rsidRPr="0074154F">
        <w:rPr>
          <w:rFonts w:ascii="Arial" w:hAnsi="Arial" w:cs="Arial"/>
          <w:sz w:val="20"/>
          <w:szCs w:val="20"/>
        </w:rPr>
        <w:t xml:space="preserve"> </w:t>
      </w:r>
      <w:r w:rsidR="00031908">
        <w:rPr>
          <w:rFonts w:ascii="Arial" w:hAnsi="Arial" w:cs="Arial"/>
          <w:sz w:val="20"/>
          <w:szCs w:val="20"/>
        </w:rPr>
        <w:t xml:space="preserve">de Telconet y Compañía </w:t>
      </w:r>
      <w:r w:rsidR="00F32099">
        <w:rPr>
          <w:rFonts w:ascii="Arial" w:hAnsi="Arial" w:cs="Arial"/>
          <w:sz w:val="20"/>
          <w:szCs w:val="20"/>
        </w:rPr>
        <w:t>R</w:t>
      </w:r>
      <w:r w:rsidR="00031908">
        <w:rPr>
          <w:rFonts w:ascii="Arial" w:hAnsi="Arial" w:cs="Arial"/>
          <w:sz w:val="20"/>
          <w:szCs w:val="20"/>
        </w:rPr>
        <w:t>elacionada</w:t>
      </w:r>
      <w:r w:rsidRPr="0074154F">
        <w:rPr>
          <w:rFonts w:ascii="Arial" w:hAnsi="Arial" w:cs="Arial"/>
          <w:sz w:val="20"/>
          <w:szCs w:val="20"/>
        </w:rPr>
        <w:t xml:space="preserve"> han sido preparados de conformidad con las Normas Internacionales de Información Financiera (NIIF) emitidas </w:t>
      </w:r>
      <w:r w:rsidR="006B78BE" w:rsidRPr="0074154F">
        <w:rPr>
          <w:rFonts w:ascii="Arial" w:hAnsi="Arial" w:cs="Arial"/>
          <w:sz w:val="20"/>
          <w:szCs w:val="20"/>
        </w:rPr>
        <w:t xml:space="preserve">                                      </w:t>
      </w:r>
      <w:r w:rsidRPr="0074154F">
        <w:rPr>
          <w:rFonts w:ascii="Arial" w:hAnsi="Arial" w:cs="Arial"/>
          <w:sz w:val="20"/>
          <w:szCs w:val="20"/>
        </w:rPr>
        <w:t>por el Consejo de Normas Internacionales de Contabilidad (IASB)</w:t>
      </w:r>
      <w:r w:rsidR="00581105" w:rsidRPr="0074154F">
        <w:rPr>
          <w:rFonts w:ascii="Arial" w:hAnsi="Arial" w:cs="Arial"/>
          <w:sz w:val="20"/>
          <w:szCs w:val="20"/>
        </w:rPr>
        <w:t xml:space="preserve"> y las </w:t>
      </w:r>
      <w:r w:rsidR="006B78BE" w:rsidRPr="0074154F">
        <w:rPr>
          <w:rFonts w:ascii="Arial" w:hAnsi="Arial" w:cs="Arial"/>
          <w:sz w:val="20"/>
          <w:szCs w:val="20"/>
        </w:rPr>
        <w:t xml:space="preserve">                           </w:t>
      </w:r>
      <w:r w:rsidR="00581105" w:rsidRPr="0074154F">
        <w:rPr>
          <w:rFonts w:ascii="Arial" w:hAnsi="Arial" w:cs="Arial"/>
          <w:sz w:val="20"/>
          <w:szCs w:val="20"/>
        </w:rPr>
        <w:t>disposiciones establecidas por la Superintendencia de Compañía, Valores y Seguros</w:t>
      </w:r>
      <w:r w:rsidR="00EA2A83" w:rsidRPr="0074154F">
        <w:rPr>
          <w:rFonts w:ascii="Arial" w:hAnsi="Arial" w:cs="Arial"/>
          <w:sz w:val="20"/>
          <w:szCs w:val="20"/>
        </w:rPr>
        <w:t xml:space="preserve"> (SCVS).</w:t>
      </w:r>
    </w:p>
    <w:p w14:paraId="6A431899" w14:textId="77777777" w:rsidR="007E72D2" w:rsidRPr="0074154F" w:rsidRDefault="007E72D2" w:rsidP="00413455">
      <w:pPr>
        <w:pStyle w:val="ListParagraph"/>
        <w:tabs>
          <w:tab w:val="left" w:pos="1276"/>
          <w:tab w:val="left" w:pos="6989"/>
        </w:tabs>
        <w:spacing w:after="0" w:line="240" w:lineRule="auto"/>
        <w:ind w:left="1170"/>
        <w:jc w:val="both"/>
        <w:rPr>
          <w:rFonts w:ascii="Arial" w:hAnsi="Arial" w:cs="Arial"/>
          <w:b/>
          <w:sz w:val="16"/>
          <w:szCs w:val="16"/>
          <w:u w:val="single"/>
        </w:rPr>
      </w:pPr>
    </w:p>
    <w:p w14:paraId="2B138352" w14:textId="77777777" w:rsidR="007E72D2" w:rsidRPr="0074154F" w:rsidRDefault="007E72D2" w:rsidP="00413455">
      <w:pPr>
        <w:pStyle w:val="ListParagraph"/>
        <w:numPr>
          <w:ilvl w:val="1"/>
          <w:numId w:val="3"/>
        </w:numPr>
        <w:tabs>
          <w:tab w:val="left" w:pos="1134"/>
          <w:tab w:val="left" w:pos="6989"/>
        </w:tabs>
        <w:spacing w:after="0" w:line="240" w:lineRule="auto"/>
        <w:ind w:firstLine="207"/>
        <w:jc w:val="both"/>
        <w:rPr>
          <w:rFonts w:ascii="Arial" w:hAnsi="Arial" w:cs="Arial"/>
          <w:b/>
          <w:sz w:val="20"/>
          <w:szCs w:val="20"/>
          <w:u w:val="single"/>
        </w:rPr>
      </w:pPr>
      <w:r w:rsidRPr="0074154F">
        <w:rPr>
          <w:rFonts w:ascii="Arial" w:hAnsi="Arial" w:cs="Arial"/>
          <w:b/>
          <w:sz w:val="20"/>
          <w:szCs w:val="20"/>
          <w:u w:val="single"/>
        </w:rPr>
        <w:t xml:space="preserve">Moneda funcional </w:t>
      </w:r>
    </w:p>
    <w:p w14:paraId="26A19D2F" w14:textId="77777777" w:rsidR="007E72D2" w:rsidRPr="0074154F" w:rsidRDefault="007E72D2" w:rsidP="00413455">
      <w:pPr>
        <w:pStyle w:val="ListParagraph"/>
        <w:tabs>
          <w:tab w:val="left" w:pos="1276"/>
          <w:tab w:val="left" w:pos="6989"/>
        </w:tabs>
        <w:spacing w:after="0" w:line="240" w:lineRule="auto"/>
        <w:ind w:left="993"/>
        <w:jc w:val="both"/>
        <w:rPr>
          <w:rFonts w:ascii="Arial" w:hAnsi="Arial" w:cs="Arial"/>
          <w:b/>
          <w:sz w:val="20"/>
          <w:szCs w:val="20"/>
          <w:u w:val="single"/>
        </w:rPr>
      </w:pPr>
    </w:p>
    <w:p w14:paraId="2117D6FD" w14:textId="645EFF34" w:rsidR="007E72D2" w:rsidRPr="0074154F" w:rsidRDefault="007E72D2"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La moneda funcional de la Compañía es el Dólar de los Estados Unidos de América </w:t>
      </w:r>
      <w:r w:rsidR="00EB6A39" w:rsidRPr="0074154F">
        <w:rPr>
          <w:rFonts w:ascii="Arial" w:hAnsi="Arial" w:cs="Arial"/>
          <w:sz w:val="20"/>
          <w:szCs w:val="20"/>
        </w:rPr>
        <w:t xml:space="preserve">     </w:t>
      </w:r>
      <w:proofErr w:type="gramStart"/>
      <w:r w:rsidR="00EB6A39" w:rsidRPr="0074154F">
        <w:rPr>
          <w:rFonts w:ascii="Arial" w:hAnsi="Arial" w:cs="Arial"/>
          <w:sz w:val="20"/>
          <w:szCs w:val="20"/>
        </w:rPr>
        <w:t xml:space="preserve">   </w:t>
      </w:r>
      <w:r w:rsidRPr="0074154F">
        <w:rPr>
          <w:rFonts w:ascii="Arial" w:hAnsi="Arial" w:cs="Arial"/>
          <w:sz w:val="20"/>
          <w:szCs w:val="20"/>
        </w:rPr>
        <w:t>(</w:t>
      </w:r>
      <w:proofErr w:type="gramEnd"/>
      <w:r w:rsidRPr="0074154F">
        <w:rPr>
          <w:rFonts w:ascii="Arial" w:hAnsi="Arial" w:cs="Arial"/>
          <w:sz w:val="20"/>
          <w:szCs w:val="20"/>
        </w:rPr>
        <w:t>U.S. dólar), el cual es la moneda de circulación en el Ecuador.</w:t>
      </w:r>
    </w:p>
    <w:p w14:paraId="62A70054" w14:textId="77777777" w:rsidR="00307CBB" w:rsidRPr="0074154F" w:rsidRDefault="00307CBB" w:rsidP="00413455">
      <w:pPr>
        <w:spacing w:after="0" w:line="240" w:lineRule="auto"/>
        <w:contextualSpacing/>
        <w:mirrorIndents/>
        <w:jc w:val="right"/>
        <w:rPr>
          <w:rFonts w:ascii="Arial" w:eastAsia="Times New Roman" w:hAnsi="Arial" w:cs="Arial"/>
          <w:b/>
          <w:sz w:val="20"/>
          <w:szCs w:val="20"/>
        </w:rPr>
      </w:pPr>
    </w:p>
    <w:p w14:paraId="3FAF890F" w14:textId="0633B71D" w:rsidR="007E72D2" w:rsidRPr="0074154F" w:rsidRDefault="007E72D2" w:rsidP="00413455">
      <w:pPr>
        <w:pStyle w:val="ListParagraph"/>
        <w:numPr>
          <w:ilvl w:val="1"/>
          <w:numId w:val="3"/>
        </w:numPr>
        <w:tabs>
          <w:tab w:val="left" w:pos="1134"/>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 xml:space="preserve">Bases de </w:t>
      </w:r>
      <w:r w:rsidR="005B4216" w:rsidRPr="0074154F">
        <w:rPr>
          <w:rFonts w:ascii="Arial" w:hAnsi="Arial" w:cs="Arial"/>
          <w:b/>
          <w:sz w:val="20"/>
          <w:szCs w:val="20"/>
          <w:u w:val="single"/>
        </w:rPr>
        <w:t>Consolidación</w:t>
      </w:r>
    </w:p>
    <w:p w14:paraId="4C29D320" w14:textId="77777777" w:rsidR="007E72D2" w:rsidRPr="0074154F" w:rsidRDefault="007E72D2" w:rsidP="00413455">
      <w:pPr>
        <w:tabs>
          <w:tab w:val="left" w:pos="1276"/>
        </w:tabs>
        <w:spacing w:after="0" w:line="240" w:lineRule="auto"/>
        <w:ind w:left="993" w:hanging="716"/>
        <w:jc w:val="both"/>
        <w:rPr>
          <w:rFonts w:ascii="Arial" w:hAnsi="Arial" w:cs="Arial"/>
          <w:color w:val="000000"/>
          <w:sz w:val="20"/>
          <w:szCs w:val="20"/>
        </w:rPr>
      </w:pPr>
    </w:p>
    <w:p w14:paraId="08378BB9" w14:textId="1759FAA3" w:rsidR="00920077" w:rsidRPr="0074154F" w:rsidRDefault="00692A2E" w:rsidP="00920077">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Los estados financieros </w:t>
      </w:r>
      <w:r w:rsidR="00C7206B">
        <w:rPr>
          <w:rFonts w:ascii="Arial" w:hAnsi="Arial" w:cs="Arial"/>
          <w:sz w:val="20"/>
          <w:szCs w:val="20"/>
        </w:rPr>
        <w:t xml:space="preserve">de Telconet y Compañía </w:t>
      </w:r>
      <w:r w:rsidR="00490800">
        <w:rPr>
          <w:rFonts w:ascii="Arial" w:hAnsi="Arial" w:cs="Arial"/>
          <w:sz w:val="20"/>
          <w:szCs w:val="20"/>
        </w:rPr>
        <w:t>R</w:t>
      </w:r>
      <w:r w:rsidR="00C7206B">
        <w:rPr>
          <w:rFonts w:ascii="Arial" w:hAnsi="Arial" w:cs="Arial"/>
          <w:sz w:val="20"/>
          <w:szCs w:val="20"/>
        </w:rPr>
        <w:t>elacionada</w:t>
      </w:r>
      <w:r w:rsidR="00626D7B" w:rsidRPr="0074154F">
        <w:rPr>
          <w:rFonts w:ascii="Arial" w:hAnsi="Arial" w:cs="Arial"/>
          <w:sz w:val="20"/>
          <w:szCs w:val="20"/>
        </w:rPr>
        <w:t xml:space="preserve"> </w:t>
      </w:r>
      <w:r w:rsidRPr="0074154F">
        <w:rPr>
          <w:rFonts w:ascii="Arial" w:hAnsi="Arial" w:cs="Arial"/>
          <w:sz w:val="20"/>
          <w:szCs w:val="20"/>
        </w:rPr>
        <w:t>han sido preparados sobre las bases del costo histórico</w:t>
      </w:r>
      <w:r w:rsidR="00B3400A" w:rsidRPr="0074154F">
        <w:rPr>
          <w:rFonts w:ascii="Arial" w:hAnsi="Arial" w:cs="Arial"/>
          <w:sz w:val="20"/>
          <w:szCs w:val="20"/>
        </w:rPr>
        <w:t>.</w:t>
      </w:r>
      <w:r w:rsidR="0078217B" w:rsidRPr="0074154F">
        <w:rPr>
          <w:rFonts w:ascii="Arial" w:hAnsi="Arial" w:cs="Arial"/>
          <w:b/>
          <w:bCs/>
          <w:color w:val="FF0000"/>
          <w:sz w:val="20"/>
          <w:szCs w:val="20"/>
        </w:rPr>
        <w:t xml:space="preserve"> </w:t>
      </w:r>
      <w:r w:rsidRPr="0074154F">
        <w:rPr>
          <w:rFonts w:ascii="Arial" w:hAnsi="Arial" w:cs="Arial"/>
          <w:sz w:val="20"/>
          <w:szCs w:val="20"/>
        </w:rPr>
        <w:t xml:space="preserve">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w:t>
      </w:r>
    </w:p>
    <w:p w14:paraId="24EB154C" w14:textId="553CA4F9" w:rsidR="00920077" w:rsidRPr="0074154F" w:rsidRDefault="00920077" w:rsidP="00920077">
      <w:pPr>
        <w:tabs>
          <w:tab w:val="left" w:pos="1134"/>
          <w:tab w:val="left" w:pos="6989"/>
        </w:tabs>
        <w:spacing w:after="0" w:line="240" w:lineRule="auto"/>
        <w:ind w:left="1134"/>
        <w:jc w:val="both"/>
        <w:rPr>
          <w:rFonts w:ascii="Arial" w:hAnsi="Arial" w:cs="Arial"/>
          <w:sz w:val="20"/>
          <w:szCs w:val="20"/>
        </w:rPr>
      </w:pPr>
    </w:p>
    <w:p w14:paraId="61B535C9" w14:textId="55F7F7D2" w:rsidR="00703E77" w:rsidRPr="0074154F" w:rsidRDefault="00692A2E" w:rsidP="00920077">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Al estimar el valor razonable de un activo o un pasivo, la Compañía tiene en cuenta las características del activo o pasivo que los participantes del mercado tomarían en cuenta al fijar el precio del activo o pasivo a la fecha de medición. </w:t>
      </w:r>
    </w:p>
    <w:p w14:paraId="456F77D1" w14:textId="605476DF" w:rsidR="00E872C5" w:rsidRPr="0074154F" w:rsidRDefault="00E872C5" w:rsidP="00413455">
      <w:pPr>
        <w:tabs>
          <w:tab w:val="left" w:pos="1134"/>
          <w:tab w:val="left" w:pos="6989"/>
        </w:tabs>
        <w:spacing w:after="0" w:line="240" w:lineRule="auto"/>
        <w:ind w:left="1134"/>
        <w:jc w:val="both"/>
        <w:rPr>
          <w:rFonts w:ascii="Arial" w:hAnsi="Arial" w:cs="Arial"/>
          <w:sz w:val="20"/>
          <w:szCs w:val="20"/>
        </w:rPr>
      </w:pPr>
    </w:p>
    <w:p w14:paraId="71E40675" w14:textId="30F4250D"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El valor razonable a efectos de medición y o de revelación en los estados financieros</w:t>
      </w:r>
      <w:r w:rsidR="00164E40" w:rsidRPr="0074154F">
        <w:rPr>
          <w:rFonts w:ascii="Arial" w:hAnsi="Arial" w:cs="Arial"/>
          <w:sz w:val="20"/>
          <w:szCs w:val="20"/>
        </w:rPr>
        <w:t xml:space="preserve"> </w:t>
      </w:r>
      <w:r w:rsidR="0070026E" w:rsidRPr="0074154F">
        <w:rPr>
          <w:rFonts w:ascii="Arial" w:hAnsi="Arial" w:cs="Arial"/>
          <w:sz w:val="20"/>
          <w:szCs w:val="20"/>
        </w:rPr>
        <w:t>consolidados</w:t>
      </w:r>
      <w:r w:rsidRPr="0074154F">
        <w:rPr>
          <w:rFonts w:ascii="Arial" w:hAnsi="Arial" w:cs="Arial"/>
          <w:sz w:val="20"/>
          <w:szCs w:val="20"/>
        </w:rPr>
        <w:t>, se determina sobre una base de este tipo, excepto por las mediciones que tiene algunas similitudes con el valor razonable, pero no son su valor razonable, tales como el valor neto de realización de la NIC 2 o el valor en uso de la NIC 36.</w:t>
      </w:r>
    </w:p>
    <w:p w14:paraId="10086B6E" w14:textId="77777777" w:rsidR="0079423D" w:rsidRPr="0074154F" w:rsidRDefault="0079423D" w:rsidP="00413455">
      <w:pPr>
        <w:spacing w:after="0" w:line="240" w:lineRule="auto"/>
        <w:rPr>
          <w:rFonts w:ascii="Arial" w:hAnsi="Arial" w:cs="Arial"/>
          <w:sz w:val="20"/>
          <w:szCs w:val="20"/>
        </w:rPr>
      </w:pPr>
    </w:p>
    <w:p w14:paraId="53D899EF" w14:textId="06509B22"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Adicionalmente, a efectos de información financiera, las mediciones efectuadas a valor razonable se clasifican en el nivel 1, 2 o 3 con base en el grado de importancia de los insumos para la medición del valor razonable en su totalidad, los cuales se describen a continuación:</w:t>
      </w:r>
    </w:p>
    <w:p w14:paraId="4BA2DB64" w14:textId="77777777" w:rsidR="00DF7B9C" w:rsidRPr="0074154F" w:rsidRDefault="00DF7B9C" w:rsidP="00413455">
      <w:pPr>
        <w:tabs>
          <w:tab w:val="left" w:pos="1134"/>
          <w:tab w:val="left" w:pos="6989"/>
        </w:tabs>
        <w:spacing w:after="0" w:line="240" w:lineRule="auto"/>
        <w:ind w:left="1134"/>
        <w:jc w:val="both"/>
        <w:rPr>
          <w:rFonts w:ascii="Arial" w:hAnsi="Arial" w:cs="Arial"/>
          <w:sz w:val="20"/>
          <w:szCs w:val="20"/>
        </w:rPr>
      </w:pPr>
    </w:p>
    <w:p w14:paraId="1A4EABD9" w14:textId="5BC5BAF9"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u w:val="single"/>
        </w:rPr>
        <w:t>Nivel 1</w:t>
      </w:r>
      <w:r w:rsidRPr="0074154F">
        <w:rPr>
          <w:rFonts w:ascii="Arial" w:hAnsi="Arial" w:cs="Arial"/>
          <w:sz w:val="20"/>
          <w:szCs w:val="20"/>
        </w:rPr>
        <w:t>: Son precios cotizados (sin ajustar) en mercados activos para activos o pasivos idénticos que la entidad puede acceder a la fecha de medición.</w:t>
      </w:r>
    </w:p>
    <w:p w14:paraId="5723512A" w14:textId="77777777" w:rsidR="00082AD0" w:rsidRPr="0074154F" w:rsidRDefault="00082AD0" w:rsidP="00413455">
      <w:pPr>
        <w:tabs>
          <w:tab w:val="left" w:pos="1134"/>
          <w:tab w:val="left" w:pos="6989"/>
        </w:tabs>
        <w:spacing w:after="0" w:line="240" w:lineRule="auto"/>
        <w:ind w:left="1134"/>
        <w:jc w:val="both"/>
        <w:rPr>
          <w:rFonts w:ascii="Arial" w:hAnsi="Arial" w:cs="Arial"/>
          <w:sz w:val="20"/>
          <w:szCs w:val="20"/>
        </w:rPr>
      </w:pPr>
    </w:p>
    <w:p w14:paraId="00ED8DFB" w14:textId="77777777"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u w:val="single"/>
        </w:rPr>
        <w:lastRenderedPageBreak/>
        <w:t>Nivel 2</w:t>
      </w:r>
      <w:r w:rsidRPr="0074154F">
        <w:rPr>
          <w:rFonts w:ascii="Arial" w:hAnsi="Arial" w:cs="Arial"/>
          <w:sz w:val="20"/>
          <w:szCs w:val="20"/>
        </w:rPr>
        <w:t>: Insumos distintos a los precios cotizados incluidos en el Nivel 1 que sean observables para el activo o pasivo, ya sea directa o indirectamente.</w:t>
      </w:r>
    </w:p>
    <w:p w14:paraId="346C81DE" w14:textId="77777777"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p>
    <w:p w14:paraId="41BEF785" w14:textId="77777777"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u w:val="single"/>
        </w:rPr>
        <w:t>Nivel 3</w:t>
      </w:r>
      <w:r w:rsidRPr="0074154F">
        <w:rPr>
          <w:rFonts w:ascii="Arial" w:hAnsi="Arial" w:cs="Arial"/>
          <w:sz w:val="20"/>
          <w:szCs w:val="20"/>
        </w:rPr>
        <w:t>: Insumos son datos no observables para el activo o pasivo.</w:t>
      </w:r>
    </w:p>
    <w:p w14:paraId="67D62072" w14:textId="4EBCD89E" w:rsidR="00692A2E"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Los importes de las notas a los estados financieros </w:t>
      </w:r>
      <w:r w:rsidR="005B4216" w:rsidRPr="0074154F">
        <w:rPr>
          <w:rFonts w:ascii="Arial" w:hAnsi="Arial" w:cs="Arial"/>
          <w:sz w:val="20"/>
          <w:szCs w:val="20"/>
        </w:rPr>
        <w:t>consolidados</w:t>
      </w:r>
      <w:r w:rsidR="00164E40" w:rsidRPr="0074154F">
        <w:rPr>
          <w:rFonts w:ascii="Arial" w:hAnsi="Arial" w:cs="Arial"/>
          <w:sz w:val="20"/>
          <w:szCs w:val="20"/>
        </w:rPr>
        <w:t xml:space="preserve"> </w:t>
      </w:r>
      <w:r w:rsidRPr="0074154F">
        <w:rPr>
          <w:rFonts w:ascii="Arial" w:hAnsi="Arial" w:cs="Arial"/>
          <w:sz w:val="20"/>
          <w:szCs w:val="20"/>
        </w:rPr>
        <w:t xml:space="preserve">están expresados en </w:t>
      </w:r>
      <w:r w:rsidR="00477714" w:rsidRPr="0074154F">
        <w:rPr>
          <w:rFonts w:ascii="Arial" w:hAnsi="Arial" w:cs="Arial"/>
          <w:sz w:val="20"/>
          <w:szCs w:val="20"/>
        </w:rPr>
        <w:t xml:space="preserve">      </w:t>
      </w:r>
      <w:r w:rsidRPr="0074154F">
        <w:rPr>
          <w:rFonts w:ascii="Arial" w:hAnsi="Arial" w:cs="Arial"/>
          <w:sz w:val="20"/>
          <w:szCs w:val="20"/>
        </w:rPr>
        <w:t>U.S. dólares completos, excepto cuando se especifique lo contrario.</w:t>
      </w:r>
    </w:p>
    <w:p w14:paraId="3FAD4EDE" w14:textId="77777777" w:rsidR="00920077" w:rsidRPr="0074154F" w:rsidRDefault="00920077" w:rsidP="00413455">
      <w:pPr>
        <w:tabs>
          <w:tab w:val="left" w:pos="1134"/>
          <w:tab w:val="left" w:pos="6989"/>
        </w:tabs>
        <w:spacing w:after="0" w:line="240" w:lineRule="auto"/>
        <w:ind w:left="1134"/>
        <w:jc w:val="both"/>
        <w:rPr>
          <w:rFonts w:ascii="Arial" w:hAnsi="Arial" w:cs="Arial"/>
          <w:sz w:val="20"/>
          <w:szCs w:val="20"/>
        </w:rPr>
      </w:pPr>
    </w:p>
    <w:p w14:paraId="65BC04ED" w14:textId="43ACC2D9" w:rsidR="007E72D2" w:rsidRPr="0074154F" w:rsidRDefault="00692A2E" w:rsidP="00413455">
      <w:pPr>
        <w:tabs>
          <w:tab w:val="left" w:pos="1134"/>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A continuación, se describen las principales políticas contables adoptadas </w:t>
      </w:r>
      <w:r w:rsidR="000925C5" w:rsidRPr="0074154F">
        <w:rPr>
          <w:rFonts w:ascii="Arial" w:hAnsi="Arial" w:cs="Arial"/>
          <w:sz w:val="20"/>
          <w:szCs w:val="20"/>
        </w:rPr>
        <w:t xml:space="preserve">por la Administración </w:t>
      </w:r>
      <w:r w:rsidRPr="0074154F">
        <w:rPr>
          <w:rFonts w:ascii="Arial" w:hAnsi="Arial" w:cs="Arial"/>
          <w:sz w:val="20"/>
          <w:szCs w:val="20"/>
        </w:rPr>
        <w:t>en la preparación de estos estados financieros</w:t>
      </w:r>
      <w:r w:rsidR="00164E40" w:rsidRPr="0074154F">
        <w:rPr>
          <w:rFonts w:ascii="Arial" w:hAnsi="Arial" w:cs="Arial"/>
          <w:sz w:val="20"/>
          <w:szCs w:val="20"/>
        </w:rPr>
        <w:t xml:space="preserve"> </w:t>
      </w:r>
      <w:r w:rsidR="0070026E" w:rsidRPr="0074154F">
        <w:rPr>
          <w:rFonts w:ascii="Arial" w:hAnsi="Arial" w:cs="Arial"/>
          <w:sz w:val="20"/>
          <w:szCs w:val="20"/>
        </w:rPr>
        <w:t>consolidados</w:t>
      </w:r>
      <w:r w:rsidRPr="0074154F">
        <w:rPr>
          <w:rFonts w:ascii="Arial" w:hAnsi="Arial" w:cs="Arial"/>
          <w:sz w:val="20"/>
          <w:szCs w:val="20"/>
        </w:rPr>
        <w:t>.</w:t>
      </w:r>
    </w:p>
    <w:p w14:paraId="7915E916" w14:textId="77777777" w:rsidR="007E72D2" w:rsidRPr="0074154F" w:rsidRDefault="007E72D2" w:rsidP="00413455">
      <w:pPr>
        <w:pStyle w:val="ListParagraph"/>
        <w:tabs>
          <w:tab w:val="left" w:pos="6989"/>
        </w:tabs>
        <w:spacing w:after="0" w:line="240" w:lineRule="auto"/>
        <w:ind w:left="993"/>
        <w:jc w:val="both"/>
        <w:rPr>
          <w:rFonts w:ascii="Arial" w:hAnsi="Arial" w:cs="Arial"/>
          <w:b/>
          <w:sz w:val="20"/>
          <w:szCs w:val="20"/>
          <w:u w:val="single"/>
        </w:rPr>
      </w:pPr>
    </w:p>
    <w:p w14:paraId="3DBFAA03" w14:textId="77777777" w:rsidR="004055CE" w:rsidRPr="0074154F" w:rsidRDefault="004055CE" w:rsidP="00413455">
      <w:pPr>
        <w:pStyle w:val="ListParagraph"/>
        <w:numPr>
          <w:ilvl w:val="1"/>
          <w:numId w:val="3"/>
        </w:numPr>
        <w:tabs>
          <w:tab w:val="left" w:pos="1134"/>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t>Inventarios</w:t>
      </w:r>
    </w:p>
    <w:p w14:paraId="7CEA05B6" w14:textId="77777777" w:rsidR="004055CE" w:rsidRPr="0074154F" w:rsidRDefault="004055CE" w:rsidP="00413455">
      <w:pPr>
        <w:spacing w:after="0" w:line="240" w:lineRule="auto"/>
        <w:ind w:left="1134"/>
        <w:jc w:val="both"/>
        <w:rPr>
          <w:rFonts w:ascii="Arial" w:hAnsi="Arial" w:cs="Arial"/>
          <w:sz w:val="20"/>
          <w:szCs w:val="20"/>
        </w:rPr>
      </w:pPr>
    </w:p>
    <w:p w14:paraId="38EA020A" w14:textId="68484321" w:rsidR="004055CE" w:rsidRPr="0074154F" w:rsidRDefault="004055CE" w:rsidP="00413455">
      <w:pPr>
        <w:spacing w:after="0" w:line="240" w:lineRule="auto"/>
        <w:ind w:left="1134"/>
        <w:jc w:val="both"/>
        <w:rPr>
          <w:rFonts w:ascii="Arial" w:hAnsi="Arial" w:cs="Arial"/>
          <w:sz w:val="20"/>
          <w:szCs w:val="20"/>
        </w:rPr>
      </w:pPr>
      <w:r w:rsidRPr="0074154F">
        <w:rPr>
          <w:rFonts w:ascii="Arial" w:hAnsi="Arial" w:cs="Arial"/>
          <w:sz w:val="20"/>
          <w:szCs w:val="20"/>
        </w:rPr>
        <w:t>Son presentados al cos</w:t>
      </w:r>
      <w:r w:rsidR="001B5083" w:rsidRPr="0074154F">
        <w:rPr>
          <w:rFonts w:ascii="Arial" w:hAnsi="Arial" w:cs="Arial"/>
          <w:sz w:val="20"/>
          <w:szCs w:val="20"/>
        </w:rPr>
        <w:t>t</w:t>
      </w:r>
      <w:r w:rsidRPr="0074154F">
        <w:rPr>
          <w:rFonts w:ascii="Arial" w:hAnsi="Arial" w:cs="Arial"/>
          <w:sz w:val="20"/>
          <w:szCs w:val="20"/>
        </w:rPr>
        <w:t>o de adquisición o valor neto realizable, el menor</w:t>
      </w:r>
      <w:r w:rsidR="001B5083" w:rsidRPr="0074154F">
        <w:rPr>
          <w:rFonts w:ascii="Arial" w:hAnsi="Arial" w:cs="Arial"/>
          <w:sz w:val="20"/>
          <w:szCs w:val="20"/>
        </w:rPr>
        <w:t xml:space="preserve"> y </w:t>
      </w:r>
      <w:r w:rsidR="00E872C5" w:rsidRPr="0074154F">
        <w:rPr>
          <w:rFonts w:ascii="Arial" w:hAnsi="Arial" w:cs="Arial"/>
          <w:sz w:val="20"/>
          <w:szCs w:val="20"/>
        </w:rPr>
        <w:t xml:space="preserve">son valuados </w:t>
      </w:r>
      <w:r w:rsidRPr="0074154F">
        <w:rPr>
          <w:rFonts w:ascii="Arial" w:hAnsi="Arial" w:cs="Arial"/>
          <w:sz w:val="20"/>
          <w:szCs w:val="20"/>
        </w:rPr>
        <w:t>al costo promedio ponderado, el mismo que no excede a los valores del mercado. L</w:t>
      </w:r>
      <w:r w:rsidR="00E872C5" w:rsidRPr="0074154F">
        <w:rPr>
          <w:rFonts w:ascii="Arial" w:hAnsi="Arial" w:cs="Arial"/>
          <w:sz w:val="20"/>
          <w:szCs w:val="20"/>
        </w:rPr>
        <w:t>o</w:t>
      </w:r>
      <w:r w:rsidRPr="0074154F">
        <w:rPr>
          <w:rFonts w:ascii="Arial" w:hAnsi="Arial" w:cs="Arial"/>
          <w:sz w:val="20"/>
          <w:szCs w:val="20"/>
        </w:rPr>
        <w:t>s</w:t>
      </w:r>
      <w:r w:rsidR="00E872C5" w:rsidRPr="0074154F">
        <w:rPr>
          <w:rFonts w:ascii="Arial" w:hAnsi="Arial" w:cs="Arial"/>
          <w:sz w:val="20"/>
          <w:szCs w:val="20"/>
        </w:rPr>
        <w:t xml:space="preserve"> inventarios corresponden principalmente a </w:t>
      </w:r>
      <w:r w:rsidRPr="0074154F">
        <w:rPr>
          <w:rFonts w:ascii="Arial" w:hAnsi="Arial" w:cs="Arial"/>
          <w:sz w:val="20"/>
          <w:szCs w:val="20"/>
        </w:rPr>
        <w:t>importaciones en tránsito se encuentran registradas a su costo de adquisición.</w:t>
      </w:r>
      <w:r w:rsidR="001B5083" w:rsidRPr="0074154F">
        <w:rPr>
          <w:rFonts w:ascii="Arial" w:hAnsi="Arial" w:cs="Arial"/>
          <w:sz w:val="20"/>
          <w:szCs w:val="20"/>
        </w:rPr>
        <w:t xml:space="preserve"> </w:t>
      </w:r>
    </w:p>
    <w:p w14:paraId="045D1B45" w14:textId="77777777" w:rsidR="004055CE" w:rsidRPr="0074154F" w:rsidRDefault="004055CE" w:rsidP="00413455">
      <w:pPr>
        <w:spacing w:after="0" w:line="240" w:lineRule="auto"/>
        <w:ind w:left="1134"/>
        <w:jc w:val="both"/>
        <w:rPr>
          <w:rFonts w:ascii="Arial" w:hAnsi="Arial" w:cs="Arial"/>
          <w:sz w:val="20"/>
          <w:szCs w:val="20"/>
        </w:rPr>
      </w:pPr>
    </w:p>
    <w:p w14:paraId="302BC0D8" w14:textId="77777777" w:rsidR="006A1EB9" w:rsidRPr="0074154F" w:rsidRDefault="006A1EB9" w:rsidP="006A1EB9">
      <w:pPr>
        <w:pStyle w:val="ListParagraph"/>
        <w:tabs>
          <w:tab w:val="left" w:pos="1134"/>
          <w:tab w:val="left" w:pos="6989"/>
        </w:tabs>
        <w:spacing w:after="0" w:line="240" w:lineRule="auto"/>
        <w:ind w:left="1134"/>
        <w:jc w:val="both"/>
        <w:rPr>
          <w:rFonts w:ascii="Arial" w:eastAsiaTheme="minorHAnsi" w:hAnsi="Arial" w:cs="Arial"/>
          <w:sz w:val="20"/>
          <w:szCs w:val="20"/>
          <w:lang w:eastAsia="en-US"/>
        </w:rPr>
      </w:pPr>
      <w:r w:rsidRPr="0074154F">
        <w:rPr>
          <w:rFonts w:ascii="Arial" w:eastAsiaTheme="minorHAnsi" w:hAnsi="Arial" w:cs="Arial"/>
          <w:sz w:val="20"/>
          <w:szCs w:val="20"/>
          <w:lang w:eastAsia="en-US"/>
        </w:rPr>
        <w:t>Al término de cada año la Administración realiza un análisis de deterioro para determinar e incluir una provisión por pérdidas por obsolescencia, en los casos que amerite, los cuales son determinados en función de un análisis de la posibilidad real de utilización en el giro del negocio.</w:t>
      </w:r>
    </w:p>
    <w:p w14:paraId="04AE445A" w14:textId="77777777" w:rsidR="00DF5F10" w:rsidRPr="0074154F" w:rsidRDefault="00DF5F10" w:rsidP="00413455">
      <w:pPr>
        <w:spacing w:after="0" w:line="240" w:lineRule="auto"/>
        <w:ind w:left="1134"/>
        <w:jc w:val="both"/>
        <w:rPr>
          <w:rFonts w:ascii="Arial" w:hAnsi="Arial" w:cs="Arial"/>
          <w:sz w:val="20"/>
          <w:szCs w:val="20"/>
        </w:rPr>
      </w:pPr>
    </w:p>
    <w:p w14:paraId="3951DE10" w14:textId="20328A69" w:rsidR="004055CE" w:rsidRPr="0074154F" w:rsidRDefault="004055CE" w:rsidP="00413455">
      <w:pPr>
        <w:pStyle w:val="ListParagraph"/>
        <w:numPr>
          <w:ilvl w:val="1"/>
          <w:numId w:val="3"/>
        </w:numPr>
        <w:tabs>
          <w:tab w:val="left" w:pos="1134"/>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t>Propiedades</w:t>
      </w:r>
      <w:r w:rsidR="00267FF8" w:rsidRPr="0074154F">
        <w:rPr>
          <w:rFonts w:ascii="Arial" w:hAnsi="Arial" w:cs="Arial"/>
          <w:b/>
          <w:bCs/>
          <w:sz w:val="20"/>
          <w:szCs w:val="20"/>
          <w:u w:val="single"/>
        </w:rPr>
        <w:t xml:space="preserve"> y equipos</w:t>
      </w:r>
      <w:r w:rsidRPr="0074154F">
        <w:rPr>
          <w:rFonts w:ascii="Arial" w:hAnsi="Arial" w:cs="Arial"/>
          <w:b/>
          <w:bCs/>
          <w:sz w:val="20"/>
          <w:szCs w:val="20"/>
          <w:u w:val="single"/>
        </w:rPr>
        <w:t>, neto</w:t>
      </w:r>
    </w:p>
    <w:p w14:paraId="14C0D060" w14:textId="77777777" w:rsidR="004055CE" w:rsidRPr="0074154F" w:rsidRDefault="004055CE" w:rsidP="00413455">
      <w:pPr>
        <w:spacing w:after="0" w:line="240" w:lineRule="auto"/>
        <w:ind w:left="1134"/>
        <w:rPr>
          <w:rFonts w:ascii="Arial" w:eastAsia="Arial Unicode MS" w:hAnsi="Arial" w:cs="Arial"/>
          <w:sz w:val="20"/>
          <w:szCs w:val="20"/>
        </w:rPr>
      </w:pPr>
    </w:p>
    <w:p w14:paraId="759E00DB" w14:textId="77777777" w:rsidR="00920077" w:rsidRPr="0074154F" w:rsidRDefault="004055CE" w:rsidP="00413455">
      <w:pPr>
        <w:pStyle w:val="ListParagraph"/>
        <w:numPr>
          <w:ilvl w:val="2"/>
          <w:numId w:val="3"/>
        </w:numPr>
        <w:spacing w:after="0" w:line="240" w:lineRule="auto"/>
        <w:ind w:left="1843" w:hanging="709"/>
        <w:jc w:val="both"/>
        <w:rPr>
          <w:rFonts w:ascii="Arial" w:eastAsia="Arial Unicode MS" w:hAnsi="Arial" w:cs="Arial"/>
          <w:sz w:val="20"/>
          <w:szCs w:val="20"/>
        </w:rPr>
      </w:pPr>
      <w:r w:rsidRPr="0074154F">
        <w:rPr>
          <w:rFonts w:ascii="Arial" w:eastAsia="Arial Unicode MS" w:hAnsi="Arial" w:cs="Arial"/>
          <w:b/>
          <w:sz w:val="20"/>
          <w:szCs w:val="20"/>
          <w:u w:val="single"/>
        </w:rPr>
        <w:t xml:space="preserve">Medición en el momento del </w:t>
      </w:r>
      <w:proofErr w:type="gramStart"/>
      <w:r w:rsidRPr="0074154F">
        <w:rPr>
          <w:rFonts w:ascii="Arial" w:eastAsia="Arial Unicode MS" w:hAnsi="Arial" w:cs="Arial"/>
          <w:b/>
          <w:sz w:val="20"/>
          <w:szCs w:val="20"/>
          <w:u w:val="single"/>
        </w:rPr>
        <w:t>reconocimiento</w:t>
      </w:r>
      <w:r w:rsidR="002A5612" w:rsidRPr="0074154F">
        <w:rPr>
          <w:rFonts w:ascii="Arial" w:eastAsia="Arial Unicode MS" w:hAnsi="Arial" w:cs="Arial"/>
          <w:b/>
          <w:sz w:val="20"/>
          <w:szCs w:val="20"/>
        </w:rPr>
        <w:t>.</w:t>
      </w:r>
      <w:r w:rsidRPr="0074154F">
        <w:rPr>
          <w:rFonts w:ascii="Arial" w:eastAsia="Arial Unicode MS" w:hAnsi="Arial" w:cs="Arial"/>
          <w:b/>
          <w:sz w:val="20"/>
          <w:szCs w:val="20"/>
        </w:rPr>
        <w:t>-</w:t>
      </w:r>
      <w:proofErr w:type="gramEnd"/>
      <w:r w:rsidRPr="0074154F">
        <w:rPr>
          <w:rFonts w:ascii="Arial" w:eastAsia="Arial Unicode MS" w:hAnsi="Arial" w:cs="Arial"/>
          <w:sz w:val="20"/>
          <w:szCs w:val="20"/>
        </w:rPr>
        <w:t xml:space="preserve"> Se miden inicialmente por su costo, y comprenden su precio de adquisición más todos los costos directamente relacionados con la ubicación y la puesta en condiciones de funcionamiento.</w:t>
      </w:r>
      <w:r w:rsidR="006F2F03" w:rsidRPr="0074154F">
        <w:rPr>
          <w:rFonts w:ascii="Arial" w:eastAsia="Arial Unicode MS" w:hAnsi="Arial" w:cs="Arial"/>
          <w:sz w:val="20"/>
          <w:szCs w:val="20"/>
        </w:rPr>
        <w:t xml:space="preserve"> </w:t>
      </w:r>
    </w:p>
    <w:p w14:paraId="476CF161" w14:textId="77777777" w:rsidR="00920077" w:rsidRPr="0074154F" w:rsidRDefault="00920077" w:rsidP="00920077">
      <w:pPr>
        <w:pStyle w:val="ListParagraph"/>
        <w:spacing w:after="0" w:line="240" w:lineRule="auto"/>
        <w:ind w:left="1843"/>
        <w:jc w:val="both"/>
        <w:rPr>
          <w:rFonts w:ascii="Arial" w:eastAsia="Arial Unicode MS" w:hAnsi="Arial" w:cs="Arial"/>
          <w:sz w:val="20"/>
          <w:szCs w:val="20"/>
        </w:rPr>
      </w:pPr>
    </w:p>
    <w:p w14:paraId="4406AE12" w14:textId="4993D55B" w:rsidR="004055CE" w:rsidRPr="0074154F" w:rsidRDefault="006F2F03" w:rsidP="00920077">
      <w:pPr>
        <w:pStyle w:val="ListParagraph"/>
        <w:spacing w:after="0" w:line="240" w:lineRule="auto"/>
        <w:ind w:left="1843"/>
        <w:jc w:val="both"/>
        <w:rPr>
          <w:rFonts w:ascii="Arial" w:eastAsia="Arial Unicode MS" w:hAnsi="Arial" w:cs="Arial"/>
          <w:sz w:val="20"/>
          <w:szCs w:val="20"/>
        </w:rPr>
      </w:pPr>
      <w:r w:rsidRPr="0074154F">
        <w:rPr>
          <w:rFonts w:ascii="Arial" w:hAnsi="Arial" w:cs="Arial"/>
          <w:sz w:val="20"/>
          <w:szCs w:val="20"/>
        </w:rPr>
        <w:t>El costo de los elementos de propiedades y equipos comprende: (a) su precio de adquisición, incluidos los aranceles de importación y los impuestos indirectos no recuperables que recaigan sobre la adquisición, después de deducir cualquier descuento o rebaja del precio; y (b) todos los costos directamente atribuibles a la ubicación del activo en el lugar y en las condiciones necesarias para que pueda operar de la forma prevista por la Administración.</w:t>
      </w:r>
    </w:p>
    <w:p w14:paraId="4F50AF0C" w14:textId="77777777" w:rsidR="004055CE" w:rsidRPr="0074154F" w:rsidRDefault="004055CE" w:rsidP="00413455">
      <w:pPr>
        <w:pStyle w:val="ListParagraph"/>
        <w:spacing w:after="0" w:line="240" w:lineRule="auto"/>
        <w:ind w:left="1701"/>
        <w:jc w:val="both"/>
        <w:rPr>
          <w:rFonts w:ascii="Arial" w:eastAsia="Arial Unicode MS" w:hAnsi="Arial" w:cs="Arial"/>
          <w:sz w:val="20"/>
          <w:szCs w:val="20"/>
        </w:rPr>
      </w:pPr>
    </w:p>
    <w:p w14:paraId="65583646" w14:textId="77777777" w:rsidR="004055CE" w:rsidRPr="0074154F" w:rsidRDefault="004055CE" w:rsidP="00413455">
      <w:pPr>
        <w:pStyle w:val="ListParagraph"/>
        <w:numPr>
          <w:ilvl w:val="2"/>
          <w:numId w:val="3"/>
        </w:numPr>
        <w:spacing w:after="0" w:line="240" w:lineRule="auto"/>
        <w:ind w:left="1843" w:hanging="709"/>
        <w:jc w:val="both"/>
        <w:rPr>
          <w:rFonts w:ascii="Arial" w:eastAsia="Arial Unicode MS" w:hAnsi="Arial" w:cs="Arial"/>
          <w:b/>
          <w:sz w:val="20"/>
          <w:szCs w:val="20"/>
        </w:rPr>
      </w:pPr>
      <w:r w:rsidRPr="0074154F">
        <w:rPr>
          <w:rFonts w:ascii="Arial" w:eastAsia="Arial Unicode MS" w:hAnsi="Arial" w:cs="Arial"/>
          <w:b/>
          <w:sz w:val="20"/>
          <w:szCs w:val="20"/>
          <w:u w:val="single"/>
        </w:rPr>
        <w:t>Medición posterior al reconocimiento</w:t>
      </w:r>
      <w:r w:rsidRPr="0074154F">
        <w:rPr>
          <w:rFonts w:ascii="Arial" w:eastAsia="Arial Unicode MS" w:hAnsi="Arial" w:cs="Arial"/>
          <w:b/>
          <w:sz w:val="20"/>
          <w:szCs w:val="20"/>
        </w:rPr>
        <w:t>:</w:t>
      </w:r>
    </w:p>
    <w:p w14:paraId="0427103F" w14:textId="77777777" w:rsidR="004055CE" w:rsidRPr="0074154F" w:rsidRDefault="004055CE" w:rsidP="00413455">
      <w:pPr>
        <w:spacing w:after="0" w:line="240" w:lineRule="auto"/>
        <w:ind w:left="1843"/>
        <w:jc w:val="both"/>
        <w:rPr>
          <w:rFonts w:ascii="Arial" w:eastAsia="Arial Unicode MS" w:hAnsi="Arial" w:cs="Arial"/>
          <w:sz w:val="20"/>
          <w:szCs w:val="20"/>
        </w:rPr>
      </w:pPr>
    </w:p>
    <w:p w14:paraId="69A6FB2E" w14:textId="3974F09A" w:rsidR="004055CE" w:rsidRPr="0074154F" w:rsidRDefault="004055CE" w:rsidP="00413455">
      <w:pPr>
        <w:spacing w:after="0" w:line="240" w:lineRule="auto"/>
        <w:ind w:left="1843"/>
        <w:jc w:val="both"/>
        <w:rPr>
          <w:rFonts w:ascii="Arial" w:eastAsia="Arial Unicode MS" w:hAnsi="Arial" w:cs="Arial"/>
          <w:sz w:val="20"/>
          <w:szCs w:val="20"/>
          <w:u w:val="single"/>
        </w:rPr>
      </w:pPr>
      <w:r w:rsidRPr="0074154F">
        <w:rPr>
          <w:rFonts w:ascii="Arial" w:eastAsia="Arial Unicode MS" w:hAnsi="Arial" w:cs="Arial"/>
          <w:sz w:val="20"/>
          <w:szCs w:val="20"/>
          <w:u w:val="single"/>
        </w:rPr>
        <w:t>Modelo del costo</w:t>
      </w:r>
    </w:p>
    <w:p w14:paraId="563F2008" w14:textId="77777777" w:rsidR="00920077" w:rsidRPr="0074154F" w:rsidRDefault="00920077" w:rsidP="00413455">
      <w:pPr>
        <w:spacing w:after="0" w:line="240" w:lineRule="auto"/>
        <w:ind w:left="1843"/>
        <w:jc w:val="both"/>
        <w:rPr>
          <w:rFonts w:ascii="Arial" w:eastAsia="Arial Unicode MS" w:hAnsi="Arial" w:cs="Arial"/>
          <w:sz w:val="20"/>
          <w:szCs w:val="20"/>
          <w:u w:val="single"/>
        </w:rPr>
      </w:pPr>
    </w:p>
    <w:p w14:paraId="46202BDE" w14:textId="26B70AF1" w:rsidR="004055CE" w:rsidRPr="0074154F" w:rsidRDefault="004055CE" w:rsidP="009B6FBE">
      <w:pPr>
        <w:spacing w:after="0" w:line="240" w:lineRule="auto"/>
        <w:ind w:left="1843"/>
        <w:jc w:val="both"/>
        <w:rPr>
          <w:rFonts w:ascii="Arial" w:eastAsia="Arial Unicode MS" w:hAnsi="Arial" w:cs="Arial"/>
          <w:sz w:val="20"/>
          <w:szCs w:val="20"/>
        </w:rPr>
      </w:pPr>
      <w:r w:rsidRPr="0074154F">
        <w:rPr>
          <w:rFonts w:ascii="Arial" w:eastAsia="Arial Unicode MS" w:hAnsi="Arial" w:cs="Arial"/>
          <w:sz w:val="20"/>
          <w:szCs w:val="20"/>
        </w:rPr>
        <w:t xml:space="preserve">Después del reconocimiento inicial, las propiedades y equipos son registradas al costo menos la </w:t>
      </w:r>
      <w:r w:rsidR="00267FF8" w:rsidRPr="0074154F">
        <w:rPr>
          <w:rFonts w:ascii="Arial" w:eastAsia="Arial Unicode MS" w:hAnsi="Arial" w:cs="Arial"/>
          <w:sz w:val="20"/>
          <w:szCs w:val="20"/>
        </w:rPr>
        <w:t>depreciación y el importe acumulados</w:t>
      </w:r>
      <w:r w:rsidRPr="0074154F">
        <w:rPr>
          <w:rFonts w:ascii="Arial" w:eastAsia="Arial Unicode MS" w:hAnsi="Arial" w:cs="Arial"/>
          <w:sz w:val="20"/>
          <w:szCs w:val="20"/>
        </w:rPr>
        <w:t xml:space="preserve"> de las pérdidas de deterioro de valor.</w:t>
      </w:r>
      <w:r w:rsidR="009B6FBE" w:rsidRPr="0074154F">
        <w:rPr>
          <w:rFonts w:ascii="Arial" w:eastAsia="Arial Unicode MS" w:hAnsi="Arial" w:cs="Arial"/>
          <w:sz w:val="20"/>
          <w:szCs w:val="20"/>
        </w:rPr>
        <w:t xml:space="preserve"> </w:t>
      </w:r>
      <w:r w:rsidRPr="0074154F">
        <w:rPr>
          <w:rFonts w:ascii="Arial" w:eastAsia="Arial Unicode MS" w:hAnsi="Arial" w:cs="Arial"/>
          <w:sz w:val="20"/>
          <w:szCs w:val="20"/>
        </w:rPr>
        <w:t xml:space="preserve">Los gastos efectuados como reparaciones y </w:t>
      </w:r>
      <w:r w:rsidR="00BE043E" w:rsidRPr="0074154F">
        <w:rPr>
          <w:rFonts w:ascii="Arial" w:eastAsia="Arial Unicode MS" w:hAnsi="Arial" w:cs="Arial"/>
          <w:sz w:val="20"/>
          <w:szCs w:val="20"/>
        </w:rPr>
        <w:t>mantenimientos</w:t>
      </w:r>
      <w:r w:rsidRPr="0074154F">
        <w:rPr>
          <w:rFonts w:ascii="Arial" w:eastAsia="Arial Unicode MS" w:hAnsi="Arial" w:cs="Arial"/>
          <w:sz w:val="20"/>
          <w:szCs w:val="20"/>
        </w:rPr>
        <w:t xml:space="preserve"> se cargan al gasto según se incurren.</w:t>
      </w:r>
    </w:p>
    <w:p w14:paraId="572B8921" w14:textId="3C389F10" w:rsidR="006F2F03" w:rsidRPr="0074154F" w:rsidRDefault="006F2F03" w:rsidP="009B6FBE">
      <w:pPr>
        <w:spacing w:after="0" w:line="240" w:lineRule="auto"/>
        <w:ind w:left="1843"/>
        <w:jc w:val="both"/>
        <w:rPr>
          <w:rFonts w:ascii="Arial" w:eastAsia="Arial Unicode MS" w:hAnsi="Arial" w:cs="Arial"/>
          <w:sz w:val="20"/>
          <w:szCs w:val="20"/>
        </w:rPr>
      </w:pPr>
    </w:p>
    <w:p w14:paraId="633B0E1D" w14:textId="7F17D490" w:rsidR="006F2F03" w:rsidRPr="0074154F" w:rsidRDefault="006F2F03" w:rsidP="009B6FBE">
      <w:pPr>
        <w:spacing w:after="0" w:line="240" w:lineRule="auto"/>
        <w:ind w:left="1843"/>
        <w:jc w:val="both"/>
        <w:rPr>
          <w:rFonts w:ascii="Arial" w:eastAsia="Arial Unicode MS" w:hAnsi="Arial" w:cs="Arial"/>
          <w:sz w:val="18"/>
          <w:szCs w:val="18"/>
        </w:rPr>
      </w:pPr>
      <w:r w:rsidRPr="0074154F">
        <w:rPr>
          <w:rFonts w:ascii="Arial" w:hAnsi="Arial" w:cs="Arial"/>
          <w:sz w:val="20"/>
          <w:szCs w:val="20"/>
        </w:rPr>
        <w:t>Solo se capitalizarán aquellos desembolsos incurridos que aumenten la vida útil o su capacidad económica, estos se asimilan como parte del componente y se depreciarán desde la fecha de adquisición hasta la vida útil del componente principal.</w:t>
      </w:r>
    </w:p>
    <w:p w14:paraId="5F75BC64" w14:textId="42C92072" w:rsidR="006E27B9" w:rsidRDefault="006E27B9" w:rsidP="00413455">
      <w:pPr>
        <w:spacing w:after="0" w:line="240" w:lineRule="auto"/>
        <w:ind w:left="1843"/>
        <w:jc w:val="both"/>
        <w:rPr>
          <w:rFonts w:ascii="Arial" w:eastAsia="Arial Unicode MS" w:hAnsi="Arial" w:cs="Arial"/>
          <w:sz w:val="20"/>
          <w:szCs w:val="20"/>
        </w:rPr>
      </w:pPr>
    </w:p>
    <w:p w14:paraId="280DB48C" w14:textId="77777777" w:rsidR="0025045B" w:rsidRPr="0074154F" w:rsidRDefault="004055CE" w:rsidP="00413455">
      <w:pPr>
        <w:pStyle w:val="ListParagraph"/>
        <w:numPr>
          <w:ilvl w:val="2"/>
          <w:numId w:val="3"/>
        </w:numPr>
        <w:spacing w:after="0" w:line="240" w:lineRule="auto"/>
        <w:ind w:left="1843" w:hanging="709"/>
        <w:jc w:val="both"/>
        <w:rPr>
          <w:rFonts w:ascii="Arial" w:eastAsia="Arial Unicode MS" w:hAnsi="Arial" w:cs="Arial"/>
          <w:b/>
          <w:sz w:val="20"/>
          <w:szCs w:val="20"/>
        </w:rPr>
      </w:pPr>
      <w:r w:rsidRPr="0074154F">
        <w:rPr>
          <w:rFonts w:ascii="Arial" w:hAnsi="Arial" w:cs="Arial"/>
          <w:b/>
          <w:sz w:val="20"/>
          <w:szCs w:val="20"/>
          <w:u w:val="single"/>
        </w:rPr>
        <w:t xml:space="preserve">Método de depreciación </w:t>
      </w:r>
      <w:r w:rsidR="006F2F03" w:rsidRPr="0074154F">
        <w:rPr>
          <w:rFonts w:ascii="Arial" w:hAnsi="Arial" w:cs="Arial"/>
          <w:b/>
          <w:sz w:val="20"/>
          <w:szCs w:val="20"/>
          <w:u w:val="single"/>
        </w:rPr>
        <w:t>–</w:t>
      </w:r>
      <w:r w:rsidRPr="0074154F">
        <w:rPr>
          <w:rFonts w:ascii="Arial" w:hAnsi="Arial" w:cs="Arial"/>
          <w:b/>
          <w:sz w:val="20"/>
          <w:szCs w:val="20"/>
          <w:u w:val="single"/>
        </w:rPr>
        <w:t xml:space="preserve"> vidas</w:t>
      </w:r>
      <w:r w:rsidR="006F2F03" w:rsidRPr="0074154F">
        <w:rPr>
          <w:rFonts w:ascii="Arial" w:hAnsi="Arial" w:cs="Arial"/>
          <w:b/>
          <w:sz w:val="20"/>
          <w:szCs w:val="20"/>
          <w:u w:val="single"/>
        </w:rPr>
        <w:t xml:space="preserve"> </w:t>
      </w:r>
      <w:r w:rsidRPr="0074154F">
        <w:rPr>
          <w:rFonts w:ascii="Arial" w:hAnsi="Arial" w:cs="Arial"/>
          <w:b/>
          <w:sz w:val="20"/>
          <w:szCs w:val="20"/>
          <w:u w:val="single"/>
        </w:rPr>
        <w:t>útiles</w:t>
      </w:r>
      <w:r w:rsidRPr="0074154F">
        <w:rPr>
          <w:rFonts w:ascii="Arial" w:hAnsi="Arial" w:cs="Arial"/>
          <w:b/>
          <w:sz w:val="20"/>
          <w:szCs w:val="20"/>
        </w:rPr>
        <w:t xml:space="preserve"> </w:t>
      </w:r>
    </w:p>
    <w:p w14:paraId="55E0FB9B" w14:textId="77777777" w:rsidR="0025045B" w:rsidRPr="0074154F" w:rsidRDefault="0025045B" w:rsidP="0025045B">
      <w:pPr>
        <w:pStyle w:val="ListParagraph"/>
        <w:spacing w:after="0" w:line="240" w:lineRule="auto"/>
        <w:ind w:left="1843"/>
        <w:jc w:val="both"/>
        <w:rPr>
          <w:rFonts w:ascii="Arial" w:eastAsia="Arial Unicode MS" w:hAnsi="Arial" w:cs="Arial"/>
          <w:b/>
          <w:sz w:val="20"/>
          <w:szCs w:val="20"/>
        </w:rPr>
      </w:pPr>
    </w:p>
    <w:p w14:paraId="3897BD69" w14:textId="77777777" w:rsidR="00920077" w:rsidRPr="0074154F" w:rsidRDefault="004055CE" w:rsidP="00413455">
      <w:pPr>
        <w:pStyle w:val="ListParagraph"/>
        <w:spacing w:after="0" w:line="240" w:lineRule="auto"/>
        <w:ind w:left="1843"/>
        <w:jc w:val="both"/>
        <w:rPr>
          <w:rFonts w:ascii="Arial" w:eastAsia="Arial Unicode MS" w:hAnsi="Arial" w:cs="Arial"/>
          <w:sz w:val="20"/>
          <w:szCs w:val="20"/>
        </w:rPr>
      </w:pPr>
      <w:r w:rsidRPr="0074154F">
        <w:rPr>
          <w:rFonts w:ascii="Arial" w:eastAsia="Arial Unicode MS" w:hAnsi="Arial" w:cs="Arial"/>
          <w:sz w:val="20"/>
          <w:szCs w:val="20"/>
        </w:rPr>
        <w:t>El costo</w:t>
      </w:r>
      <w:r w:rsidR="00672F20" w:rsidRPr="0074154F">
        <w:rPr>
          <w:rFonts w:ascii="Arial" w:eastAsia="Arial Unicode MS" w:hAnsi="Arial" w:cs="Arial"/>
          <w:sz w:val="20"/>
          <w:szCs w:val="20"/>
        </w:rPr>
        <w:t xml:space="preserve"> </w:t>
      </w:r>
      <w:r w:rsidRPr="0074154F">
        <w:rPr>
          <w:rFonts w:ascii="Arial" w:eastAsia="Arial Unicode MS" w:hAnsi="Arial" w:cs="Arial"/>
          <w:sz w:val="20"/>
          <w:szCs w:val="20"/>
        </w:rPr>
        <w:t xml:space="preserve">de </w:t>
      </w:r>
      <w:r w:rsidR="0025045B" w:rsidRPr="0074154F">
        <w:rPr>
          <w:rFonts w:ascii="Arial" w:eastAsia="Arial Unicode MS" w:hAnsi="Arial" w:cs="Arial"/>
          <w:sz w:val="20"/>
          <w:szCs w:val="20"/>
        </w:rPr>
        <w:t xml:space="preserve">las </w:t>
      </w:r>
      <w:r w:rsidRPr="0074154F">
        <w:rPr>
          <w:rFonts w:ascii="Arial" w:eastAsia="Arial Unicode MS" w:hAnsi="Arial" w:cs="Arial"/>
          <w:sz w:val="20"/>
          <w:szCs w:val="20"/>
        </w:rPr>
        <w:t>propiedades</w:t>
      </w:r>
      <w:r w:rsidR="00672F20" w:rsidRPr="0074154F">
        <w:rPr>
          <w:rFonts w:ascii="Arial" w:eastAsia="Arial Unicode MS" w:hAnsi="Arial" w:cs="Arial"/>
          <w:sz w:val="20"/>
          <w:szCs w:val="20"/>
        </w:rPr>
        <w:t xml:space="preserve"> y equipos</w:t>
      </w:r>
      <w:r w:rsidRPr="0074154F">
        <w:rPr>
          <w:rFonts w:ascii="Arial" w:eastAsia="Arial Unicode MS" w:hAnsi="Arial" w:cs="Arial"/>
          <w:sz w:val="20"/>
          <w:szCs w:val="20"/>
        </w:rPr>
        <w:t xml:space="preserve"> se deprecia de acuerdo con el método de línea recta</w:t>
      </w:r>
      <w:r w:rsidR="00672F20" w:rsidRPr="0074154F">
        <w:rPr>
          <w:rFonts w:ascii="Arial" w:eastAsia="Arial Unicode MS" w:hAnsi="Arial" w:cs="Arial"/>
          <w:sz w:val="20"/>
          <w:szCs w:val="20"/>
        </w:rPr>
        <w:t xml:space="preserve"> y la vida útil estimada por los peritos para aquellos activos revaluados</w:t>
      </w:r>
      <w:r w:rsidRPr="0074154F">
        <w:rPr>
          <w:rFonts w:ascii="Arial" w:eastAsia="Arial Unicode MS" w:hAnsi="Arial" w:cs="Arial"/>
          <w:sz w:val="20"/>
          <w:szCs w:val="20"/>
        </w:rPr>
        <w:t>. La vida útil estimada</w:t>
      </w:r>
      <w:r w:rsidR="00672F20" w:rsidRPr="0074154F">
        <w:rPr>
          <w:rFonts w:ascii="Arial" w:eastAsia="Arial Unicode MS" w:hAnsi="Arial" w:cs="Arial"/>
          <w:sz w:val="20"/>
          <w:szCs w:val="20"/>
        </w:rPr>
        <w:t>, el valor residual y método de depreciación</w:t>
      </w:r>
      <w:r w:rsidRPr="0074154F">
        <w:rPr>
          <w:rFonts w:ascii="Arial" w:eastAsia="Arial Unicode MS" w:hAnsi="Arial" w:cs="Arial"/>
          <w:sz w:val="20"/>
          <w:szCs w:val="20"/>
        </w:rPr>
        <w:t xml:space="preserve"> son revisadas al final de cada año, siendo el efecto de cualquier cambio en la estimación, es registrado sobre una base prospectiva.</w:t>
      </w:r>
      <w:r w:rsidR="0025045B" w:rsidRPr="0074154F">
        <w:rPr>
          <w:rFonts w:ascii="Arial" w:eastAsia="Arial Unicode MS" w:hAnsi="Arial" w:cs="Arial"/>
          <w:sz w:val="20"/>
          <w:szCs w:val="20"/>
        </w:rPr>
        <w:t xml:space="preserve"> </w:t>
      </w:r>
    </w:p>
    <w:p w14:paraId="2B50BBDE" w14:textId="77777777" w:rsidR="00920077" w:rsidRPr="0074154F" w:rsidRDefault="00920077" w:rsidP="00413455">
      <w:pPr>
        <w:pStyle w:val="ListParagraph"/>
        <w:spacing w:after="0" w:line="240" w:lineRule="auto"/>
        <w:ind w:left="1843"/>
        <w:jc w:val="both"/>
        <w:rPr>
          <w:rFonts w:ascii="Arial" w:eastAsia="Arial Unicode MS" w:hAnsi="Arial" w:cs="Arial"/>
          <w:sz w:val="20"/>
          <w:szCs w:val="20"/>
        </w:rPr>
      </w:pPr>
    </w:p>
    <w:p w14:paraId="155E3FA7" w14:textId="6F6BD383" w:rsidR="004055CE" w:rsidRPr="0074154F" w:rsidRDefault="004055CE" w:rsidP="00413455">
      <w:pPr>
        <w:pStyle w:val="ListParagraph"/>
        <w:spacing w:after="0" w:line="240" w:lineRule="auto"/>
        <w:ind w:left="1843"/>
        <w:jc w:val="both"/>
        <w:rPr>
          <w:rFonts w:ascii="Arial" w:eastAsia="Arial Unicode MS" w:hAnsi="Arial" w:cs="Arial"/>
          <w:sz w:val="20"/>
          <w:szCs w:val="20"/>
        </w:rPr>
      </w:pPr>
      <w:r w:rsidRPr="0074154F">
        <w:rPr>
          <w:rFonts w:ascii="Arial" w:eastAsia="Arial Unicode MS" w:hAnsi="Arial" w:cs="Arial"/>
          <w:sz w:val="20"/>
          <w:szCs w:val="20"/>
        </w:rPr>
        <w:t xml:space="preserve">A continuación, se presentan </w:t>
      </w:r>
      <w:r w:rsidR="00672F20" w:rsidRPr="0074154F">
        <w:rPr>
          <w:rFonts w:ascii="Arial" w:eastAsia="Arial Unicode MS" w:hAnsi="Arial" w:cs="Arial"/>
          <w:sz w:val="20"/>
          <w:szCs w:val="20"/>
        </w:rPr>
        <w:t>las principales partidas de propiedades</w:t>
      </w:r>
      <w:r w:rsidR="002A5612" w:rsidRPr="0074154F">
        <w:rPr>
          <w:rFonts w:ascii="Arial" w:eastAsia="Arial Unicode MS" w:hAnsi="Arial" w:cs="Arial"/>
          <w:sz w:val="20"/>
          <w:szCs w:val="20"/>
        </w:rPr>
        <w:t xml:space="preserve"> y equipos</w:t>
      </w:r>
      <w:r w:rsidR="00AF6061" w:rsidRPr="0074154F">
        <w:rPr>
          <w:rFonts w:ascii="Arial" w:eastAsia="Arial Unicode MS" w:hAnsi="Arial" w:cs="Arial"/>
          <w:sz w:val="20"/>
          <w:szCs w:val="20"/>
        </w:rPr>
        <w:t>,</w:t>
      </w:r>
      <w:r w:rsidR="007408A1" w:rsidRPr="0074154F">
        <w:rPr>
          <w:rFonts w:ascii="Arial" w:eastAsia="Arial Unicode MS" w:hAnsi="Arial" w:cs="Arial"/>
          <w:sz w:val="20"/>
          <w:szCs w:val="20"/>
        </w:rPr>
        <w:t xml:space="preserve"> así como </w:t>
      </w:r>
      <w:r w:rsidR="00672F20" w:rsidRPr="0074154F">
        <w:rPr>
          <w:rFonts w:ascii="Arial" w:eastAsia="Arial Unicode MS" w:hAnsi="Arial" w:cs="Arial"/>
          <w:sz w:val="20"/>
          <w:szCs w:val="20"/>
        </w:rPr>
        <w:t>las vidas útiles usadas en el cálculo de depreciación:</w:t>
      </w:r>
    </w:p>
    <w:p w14:paraId="169E419A" w14:textId="504771E8" w:rsidR="00920077" w:rsidRPr="0074154F" w:rsidRDefault="00920077" w:rsidP="00413455">
      <w:pPr>
        <w:pStyle w:val="ListParagraph"/>
        <w:spacing w:after="0" w:line="240" w:lineRule="auto"/>
        <w:ind w:left="1843"/>
        <w:jc w:val="both"/>
        <w:rPr>
          <w:rFonts w:ascii="Arial" w:eastAsia="Arial Unicode MS" w:hAnsi="Arial" w:cs="Arial"/>
          <w:sz w:val="20"/>
          <w:szCs w:val="20"/>
        </w:rPr>
      </w:pPr>
    </w:p>
    <w:tbl>
      <w:tblPr>
        <w:tblW w:w="7200" w:type="dxa"/>
        <w:jc w:val="right"/>
        <w:tblCellMar>
          <w:left w:w="70" w:type="dxa"/>
          <w:right w:w="70" w:type="dxa"/>
        </w:tblCellMar>
        <w:tblLook w:val="04A0" w:firstRow="1" w:lastRow="0" w:firstColumn="1" w:lastColumn="0" w:noHBand="0" w:noVBand="1"/>
      </w:tblPr>
      <w:tblGrid>
        <w:gridCol w:w="5726"/>
        <w:gridCol w:w="1474"/>
      </w:tblGrid>
      <w:tr w:rsidR="00DF5F10" w:rsidRPr="0074154F" w14:paraId="5A8D66D5" w14:textId="77777777" w:rsidTr="00DF5F10">
        <w:trPr>
          <w:trHeight w:val="283"/>
          <w:jc w:val="right"/>
        </w:trPr>
        <w:tc>
          <w:tcPr>
            <w:tcW w:w="5726" w:type="dxa"/>
            <w:tcBorders>
              <w:top w:val="nil"/>
              <w:left w:val="nil"/>
              <w:bottom w:val="nil"/>
              <w:right w:val="nil"/>
            </w:tcBorders>
            <w:shd w:val="clear" w:color="auto" w:fill="auto"/>
            <w:noWrap/>
            <w:vAlign w:val="bottom"/>
            <w:hideMark/>
          </w:tcPr>
          <w:p w14:paraId="7221155B" w14:textId="77777777" w:rsidR="00DF5F10" w:rsidRPr="0074154F" w:rsidRDefault="00DF5F10" w:rsidP="00413455">
            <w:pPr>
              <w:spacing w:after="0" w:line="240" w:lineRule="auto"/>
              <w:ind w:left="-70"/>
              <w:rPr>
                <w:rFonts w:ascii="Arial" w:eastAsia="Times New Roman" w:hAnsi="Arial" w:cs="Arial"/>
                <w:sz w:val="20"/>
                <w:szCs w:val="20"/>
                <w:lang w:val="es-MX" w:eastAsia="es-MX"/>
              </w:rPr>
            </w:pPr>
          </w:p>
        </w:tc>
        <w:tc>
          <w:tcPr>
            <w:tcW w:w="1474" w:type="dxa"/>
            <w:tcBorders>
              <w:top w:val="nil"/>
              <w:left w:val="nil"/>
              <w:bottom w:val="nil"/>
              <w:right w:val="nil"/>
            </w:tcBorders>
            <w:shd w:val="clear" w:color="auto" w:fill="auto"/>
            <w:noWrap/>
            <w:vAlign w:val="center"/>
            <w:hideMark/>
          </w:tcPr>
          <w:p w14:paraId="188251EB" w14:textId="77777777" w:rsidR="00DF5F10" w:rsidRPr="0074154F" w:rsidRDefault="00DF5F10" w:rsidP="00413455">
            <w:pPr>
              <w:spacing w:after="0" w:line="240" w:lineRule="auto"/>
              <w:jc w:val="center"/>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val="es-MX" w:eastAsia="es-MX"/>
              </w:rPr>
              <w:t>Vida útil</w:t>
            </w:r>
          </w:p>
        </w:tc>
      </w:tr>
      <w:tr w:rsidR="00DF5F10" w:rsidRPr="0074154F" w14:paraId="595C7787"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7DAED7A3" w14:textId="77777777" w:rsidR="00DF5F10" w:rsidRPr="0074154F" w:rsidRDefault="00DF5F10" w:rsidP="00413455">
            <w:pPr>
              <w:spacing w:after="0" w:line="240" w:lineRule="auto"/>
              <w:ind w:left="-70"/>
              <w:jc w:val="both"/>
              <w:rPr>
                <w:rFonts w:ascii="Arial" w:eastAsia="Times New Roman" w:hAnsi="Arial" w:cs="Arial"/>
                <w:b/>
                <w:bCs/>
                <w:color w:val="000000"/>
                <w:sz w:val="20"/>
                <w:szCs w:val="20"/>
                <w:u w:val="single"/>
                <w:lang w:val="es-MX" w:eastAsia="es-MX"/>
              </w:rPr>
            </w:pPr>
            <w:r w:rsidRPr="0074154F">
              <w:rPr>
                <w:rFonts w:ascii="Arial" w:eastAsia="Times New Roman" w:hAnsi="Arial" w:cs="Arial"/>
                <w:b/>
                <w:bCs/>
                <w:color w:val="000000"/>
                <w:sz w:val="20"/>
                <w:szCs w:val="20"/>
                <w:u w:val="single"/>
                <w:lang w:eastAsia="es-MX"/>
              </w:rPr>
              <w:t>Rubro de activos</w:t>
            </w:r>
          </w:p>
        </w:tc>
        <w:tc>
          <w:tcPr>
            <w:tcW w:w="1474" w:type="dxa"/>
            <w:tcBorders>
              <w:top w:val="nil"/>
              <w:left w:val="nil"/>
              <w:bottom w:val="nil"/>
              <w:right w:val="nil"/>
            </w:tcBorders>
            <w:shd w:val="clear" w:color="auto" w:fill="auto"/>
            <w:noWrap/>
            <w:vAlign w:val="center"/>
            <w:hideMark/>
          </w:tcPr>
          <w:p w14:paraId="2F0B2378" w14:textId="77777777" w:rsidR="00DF5F10" w:rsidRPr="0074154F" w:rsidRDefault="00DF5F10" w:rsidP="00413455">
            <w:pPr>
              <w:spacing w:after="0" w:line="240" w:lineRule="auto"/>
              <w:jc w:val="center"/>
              <w:rPr>
                <w:rFonts w:ascii="Arial" w:eastAsia="Times New Roman" w:hAnsi="Arial" w:cs="Arial"/>
                <w:b/>
                <w:bCs/>
                <w:color w:val="000000"/>
                <w:sz w:val="20"/>
                <w:szCs w:val="20"/>
                <w:u w:val="single"/>
                <w:lang w:val="es-MX" w:eastAsia="es-MX"/>
              </w:rPr>
            </w:pPr>
            <w:r w:rsidRPr="0074154F">
              <w:rPr>
                <w:rFonts w:ascii="Arial" w:eastAsia="Times New Roman" w:hAnsi="Arial" w:cs="Arial"/>
                <w:b/>
                <w:bCs/>
                <w:color w:val="000000"/>
                <w:sz w:val="20"/>
                <w:szCs w:val="20"/>
                <w:u w:val="single"/>
                <w:lang w:eastAsia="es-MX"/>
              </w:rPr>
              <w:t>(en años)</w:t>
            </w:r>
          </w:p>
        </w:tc>
      </w:tr>
      <w:tr w:rsidR="00DF5F10" w:rsidRPr="0074154F" w14:paraId="4578E65E"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4B625414" w14:textId="77777777" w:rsidR="00DF5F10" w:rsidRPr="0074154F" w:rsidRDefault="00DF5F10" w:rsidP="00413455">
            <w:pPr>
              <w:spacing w:after="0" w:line="240" w:lineRule="auto"/>
              <w:ind w:left="-70"/>
              <w:jc w:val="both"/>
              <w:rPr>
                <w:rFonts w:ascii="Arial" w:eastAsia="Times New Roman" w:hAnsi="Arial" w:cs="Arial"/>
                <w:b/>
                <w:bCs/>
                <w:color w:val="000000"/>
                <w:sz w:val="20"/>
                <w:szCs w:val="20"/>
                <w:u w:val="single"/>
                <w:lang w:val="es-MX" w:eastAsia="es-MX"/>
              </w:rPr>
            </w:pPr>
          </w:p>
        </w:tc>
        <w:tc>
          <w:tcPr>
            <w:tcW w:w="1474" w:type="dxa"/>
            <w:tcBorders>
              <w:top w:val="nil"/>
              <w:left w:val="nil"/>
              <w:bottom w:val="nil"/>
              <w:right w:val="nil"/>
            </w:tcBorders>
            <w:shd w:val="clear" w:color="auto" w:fill="auto"/>
            <w:noWrap/>
            <w:vAlign w:val="center"/>
            <w:hideMark/>
          </w:tcPr>
          <w:p w14:paraId="3E044932" w14:textId="77777777" w:rsidR="00DF5F10" w:rsidRPr="0074154F" w:rsidRDefault="00DF5F10" w:rsidP="00413455">
            <w:pPr>
              <w:spacing w:after="0" w:line="240" w:lineRule="auto"/>
              <w:jc w:val="center"/>
              <w:rPr>
                <w:rFonts w:ascii="Arial" w:eastAsia="Times New Roman" w:hAnsi="Arial" w:cs="Arial"/>
                <w:sz w:val="20"/>
                <w:szCs w:val="20"/>
                <w:lang w:val="es-MX" w:eastAsia="es-MX"/>
              </w:rPr>
            </w:pPr>
          </w:p>
        </w:tc>
      </w:tr>
      <w:tr w:rsidR="00920077" w:rsidRPr="0074154F" w14:paraId="6E154CA3"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4A2A90DE" w14:textId="4C24C27F" w:rsidR="00DF5F10" w:rsidRPr="0074154F" w:rsidRDefault="00DF5F10" w:rsidP="00413455">
            <w:pPr>
              <w:spacing w:after="0" w:line="240" w:lineRule="auto"/>
              <w:ind w:left="-70"/>
              <w:jc w:val="both"/>
              <w:rPr>
                <w:rFonts w:ascii="Arial" w:eastAsia="Times New Roman" w:hAnsi="Arial" w:cs="Arial"/>
                <w:sz w:val="20"/>
                <w:szCs w:val="20"/>
                <w:lang w:val="es-MX" w:eastAsia="es-MX"/>
              </w:rPr>
            </w:pPr>
            <w:r w:rsidRPr="0074154F">
              <w:rPr>
                <w:rFonts w:ascii="Arial" w:eastAsia="Times New Roman" w:hAnsi="Arial" w:cs="Arial"/>
                <w:sz w:val="20"/>
                <w:szCs w:val="20"/>
                <w:lang w:eastAsia="es-MX"/>
              </w:rPr>
              <w:t>Edificios</w:t>
            </w:r>
            <w:r w:rsidR="00B3400A" w:rsidRPr="0074154F">
              <w:rPr>
                <w:rFonts w:ascii="Arial" w:eastAsia="Times New Roman" w:hAnsi="Arial" w:cs="Arial"/>
                <w:sz w:val="20"/>
                <w:szCs w:val="20"/>
                <w:lang w:eastAsia="es-MX"/>
              </w:rPr>
              <w:t xml:space="preserve"> e instalaciones</w:t>
            </w:r>
          </w:p>
        </w:tc>
        <w:tc>
          <w:tcPr>
            <w:tcW w:w="1474" w:type="dxa"/>
            <w:tcBorders>
              <w:top w:val="nil"/>
              <w:left w:val="nil"/>
              <w:bottom w:val="nil"/>
              <w:right w:val="nil"/>
            </w:tcBorders>
            <w:shd w:val="clear" w:color="auto" w:fill="auto"/>
            <w:noWrap/>
            <w:vAlign w:val="center"/>
            <w:hideMark/>
          </w:tcPr>
          <w:p w14:paraId="6E487DF7" w14:textId="5DBE9AE9" w:rsidR="00DF5F10" w:rsidRPr="0074154F" w:rsidRDefault="00DF5F10"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20</w:t>
            </w:r>
          </w:p>
        </w:tc>
      </w:tr>
      <w:tr w:rsidR="00920077" w:rsidRPr="0074154F" w14:paraId="618238AC"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4229F63C" w14:textId="371B4834" w:rsidR="00DF5F10" w:rsidRPr="0074154F" w:rsidRDefault="00092B16" w:rsidP="00413455">
            <w:pPr>
              <w:spacing w:after="0" w:line="240" w:lineRule="auto"/>
              <w:ind w:left="-70"/>
              <w:jc w:val="both"/>
              <w:rPr>
                <w:rFonts w:ascii="Arial" w:eastAsia="Times New Roman" w:hAnsi="Arial" w:cs="Arial"/>
                <w:sz w:val="20"/>
                <w:szCs w:val="20"/>
                <w:lang w:val="es-MX" w:eastAsia="es-MX"/>
              </w:rPr>
            </w:pPr>
            <w:r w:rsidRPr="0074154F">
              <w:rPr>
                <w:rFonts w:ascii="Arial" w:eastAsia="Times New Roman" w:hAnsi="Arial" w:cs="Arial"/>
                <w:sz w:val="20"/>
                <w:szCs w:val="20"/>
                <w:lang w:eastAsia="es-MX"/>
              </w:rPr>
              <w:t>M</w:t>
            </w:r>
            <w:r w:rsidR="00DF5F10" w:rsidRPr="0074154F">
              <w:rPr>
                <w:rFonts w:ascii="Arial" w:eastAsia="Times New Roman" w:hAnsi="Arial" w:cs="Arial"/>
                <w:sz w:val="20"/>
                <w:szCs w:val="20"/>
                <w:lang w:eastAsia="es-MX"/>
              </w:rPr>
              <w:t>uebles</w:t>
            </w:r>
            <w:r w:rsidR="006432E2" w:rsidRPr="0074154F">
              <w:rPr>
                <w:rFonts w:ascii="Arial" w:eastAsia="Times New Roman" w:hAnsi="Arial" w:cs="Arial"/>
                <w:sz w:val="20"/>
                <w:szCs w:val="20"/>
                <w:lang w:eastAsia="es-MX"/>
              </w:rPr>
              <w:t xml:space="preserve">, </w:t>
            </w:r>
            <w:r w:rsidR="00B3400A" w:rsidRPr="0074154F">
              <w:rPr>
                <w:rFonts w:ascii="Arial" w:eastAsia="Times New Roman" w:hAnsi="Arial" w:cs="Arial"/>
                <w:sz w:val="20"/>
                <w:szCs w:val="20"/>
                <w:lang w:eastAsia="es-MX"/>
              </w:rPr>
              <w:t>enseres</w:t>
            </w:r>
            <w:r w:rsidR="006432E2" w:rsidRPr="0074154F">
              <w:rPr>
                <w:rFonts w:ascii="Arial" w:eastAsia="Times New Roman" w:hAnsi="Arial" w:cs="Arial"/>
                <w:sz w:val="20"/>
                <w:szCs w:val="20"/>
                <w:lang w:eastAsia="es-MX"/>
              </w:rPr>
              <w:t xml:space="preserve"> y </w:t>
            </w:r>
            <w:r w:rsidR="00B3400A" w:rsidRPr="0074154F">
              <w:rPr>
                <w:rFonts w:ascii="Arial" w:eastAsia="Times New Roman" w:hAnsi="Arial" w:cs="Arial"/>
                <w:sz w:val="20"/>
                <w:szCs w:val="20"/>
                <w:lang w:eastAsia="es-MX"/>
              </w:rPr>
              <w:t xml:space="preserve">equipos </w:t>
            </w:r>
            <w:r w:rsidR="006432E2" w:rsidRPr="0074154F">
              <w:rPr>
                <w:rFonts w:ascii="Arial" w:eastAsia="Times New Roman" w:hAnsi="Arial" w:cs="Arial"/>
                <w:sz w:val="20"/>
                <w:szCs w:val="20"/>
                <w:lang w:eastAsia="es-MX"/>
              </w:rPr>
              <w:t>de oficina</w:t>
            </w:r>
          </w:p>
        </w:tc>
        <w:tc>
          <w:tcPr>
            <w:tcW w:w="1474" w:type="dxa"/>
            <w:tcBorders>
              <w:top w:val="nil"/>
              <w:left w:val="nil"/>
              <w:bottom w:val="nil"/>
              <w:right w:val="nil"/>
            </w:tcBorders>
            <w:shd w:val="clear" w:color="auto" w:fill="auto"/>
            <w:noWrap/>
            <w:vAlign w:val="center"/>
            <w:hideMark/>
          </w:tcPr>
          <w:p w14:paraId="2937ECC0" w14:textId="77777777" w:rsidR="00DF5F10" w:rsidRPr="0074154F" w:rsidRDefault="00DF5F10"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10</w:t>
            </w:r>
          </w:p>
        </w:tc>
      </w:tr>
      <w:tr w:rsidR="00920077" w:rsidRPr="0074154F" w14:paraId="59C547C7" w14:textId="77777777" w:rsidTr="00DF5F10">
        <w:trPr>
          <w:trHeight w:val="283"/>
          <w:jc w:val="right"/>
        </w:trPr>
        <w:tc>
          <w:tcPr>
            <w:tcW w:w="5726" w:type="dxa"/>
            <w:tcBorders>
              <w:top w:val="nil"/>
              <w:left w:val="nil"/>
              <w:bottom w:val="nil"/>
              <w:right w:val="nil"/>
            </w:tcBorders>
            <w:shd w:val="clear" w:color="auto" w:fill="auto"/>
            <w:noWrap/>
            <w:vAlign w:val="center"/>
          </w:tcPr>
          <w:p w14:paraId="73436F54" w14:textId="5EA5CBD7" w:rsidR="00B3400A" w:rsidRPr="0074154F" w:rsidRDefault="00B3400A" w:rsidP="00413455">
            <w:pPr>
              <w:spacing w:after="0" w:line="240" w:lineRule="auto"/>
              <w:ind w:left="-70"/>
              <w:jc w:val="both"/>
              <w:rPr>
                <w:rFonts w:ascii="Arial" w:eastAsia="Times New Roman" w:hAnsi="Arial" w:cs="Arial"/>
                <w:sz w:val="20"/>
                <w:szCs w:val="20"/>
                <w:lang w:eastAsia="es-MX"/>
              </w:rPr>
            </w:pPr>
            <w:r w:rsidRPr="0074154F">
              <w:rPr>
                <w:rFonts w:ascii="Arial" w:eastAsia="Times New Roman" w:hAnsi="Arial" w:cs="Arial"/>
                <w:sz w:val="20"/>
                <w:szCs w:val="20"/>
                <w:lang w:eastAsia="es-MX"/>
              </w:rPr>
              <w:t>Herramientas y maquinarias</w:t>
            </w:r>
          </w:p>
        </w:tc>
        <w:tc>
          <w:tcPr>
            <w:tcW w:w="1474" w:type="dxa"/>
            <w:tcBorders>
              <w:top w:val="nil"/>
              <w:left w:val="nil"/>
              <w:bottom w:val="nil"/>
              <w:right w:val="nil"/>
            </w:tcBorders>
            <w:shd w:val="clear" w:color="auto" w:fill="auto"/>
            <w:noWrap/>
            <w:vAlign w:val="center"/>
          </w:tcPr>
          <w:p w14:paraId="7D12EAC3" w14:textId="59498CC1" w:rsidR="00B3400A" w:rsidRPr="0074154F" w:rsidRDefault="00B3400A"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10</w:t>
            </w:r>
          </w:p>
        </w:tc>
      </w:tr>
      <w:tr w:rsidR="00920077" w:rsidRPr="0074154F" w14:paraId="0432CC07"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5BC4FDCB" w14:textId="59A23AF6" w:rsidR="00DF5F10" w:rsidRPr="0074154F" w:rsidRDefault="00DF5F10" w:rsidP="00413455">
            <w:pPr>
              <w:spacing w:after="0" w:line="240" w:lineRule="auto"/>
              <w:ind w:left="-70"/>
              <w:jc w:val="both"/>
              <w:rPr>
                <w:rFonts w:ascii="Arial" w:eastAsia="Times New Roman" w:hAnsi="Arial" w:cs="Arial"/>
                <w:sz w:val="20"/>
                <w:szCs w:val="20"/>
                <w:lang w:val="es-MX" w:eastAsia="es-MX"/>
              </w:rPr>
            </w:pPr>
            <w:r w:rsidRPr="0074154F">
              <w:rPr>
                <w:rFonts w:ascii="Arial" w:eastAsia="Times New Roman" w:hAnsi="Arial" w:cs="Arial"/>
                <w:sz w:val="20"/>
                <w:szCs w:val="20"/>
                <w:lang w:eastAsia="es-MX"/>
              </w:rPr>
              <w:t xml:space="preserve">Vehículos </w:t>
            </w:r>
          </w:p>
        </w:tc>
        <w:tc>
          <w:tcPr>
            <w:tcW w:w="1474" w:type="dxa"/>
            <w:tcBorders>
              <w:top w:val="nil"/>
              <w:left w:val="nil"/>
              <w:bottom w:val="nil"/>
              <w:right w:val="nil"/>
            </w:tcBorders>
            <w:shd w:val="clear" w:color="auto" w:fill="auto"/>
            <w:noWrap/>
            <w:vAlign w:val="center"/>
            <w:hideMark/>
          </w:tcPr>
          <w:p w14:paraId="25D1FF10" w14:textId="217A83E3" w:rsidR="00DF5F10" w:rsidRPr="0074154F" w:rsidRDefault="00DF5F10"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sz w:val="20"/>
                <w:szCs w:val="20"/>
                <w:lang w:val="es-MX" w:eastAsia="es-MX"/>
              </w:rPr>
              <w:t>5</w:t>
            </w:r>
          </w:p>
        </w:tc>
      </w:tr>
      <w:tr w:rsidR="009C78E4" w:rsidRPr="0074154F" w14:paraId="4ED80A9C" w14:textId="77777777" w:rsidTr="00DF5F10">
        <w:trPr>
          <w:trHeight w:val="283"/>
          <w:jc w:val="right"/>
        </w:trPr>
        <w:tc>
          <w:tcPr>
            <w:tcW w:w="5726" w:type="dxa"/>
            <w:tcBorders>
              <w:top w:val="nil"/>
              <w:left w:val="nil"/>
              <w:bottom w:val="nil"/>
              <w:right w:val="nil"/>
            </w:tcBorders>
            <w:shd w:val="clear" w:color="auto" w:fill="auto"/>
            <w:noWrap/>
            <w:vAlign w:val="center"/>
          </w:tcPr>
          <w:p w14:paraId="2A191A85" w14:textId="5111D73B" w:rsidR="009C78E4" w:rsidRPr="0074154F" w:rsidRDefault="009C78E4" w:rsidP="009C78E4">
            <w:pPr>
              <w:spacing w:after="0" w:line="240" w:lineRule="auto"/>
              <w:ind w:left="-70"/>
              <w:jc w:val="both"/>
              <w:rPr>
                <w:rFonts w:ascii="Arial" w:eastAsia="Times New Roman" w:hAnsi="Arial" w:cs="Arial"/>
                <w:color w:val="000000" w:themeColor="text1"/>
                <w:sz w:val="20"/>
                <w:szCs w:val="20"/>
                <w:lang w:eastAsia="es-MX"/>
              </w:rPr>
            </w:pPr>
            <w:r w:rsidRPr="0074154F">
              <w:rPr>
                <w:rFonts w:ascii="Arial" w:eastAsia="Times New Roman" w:hAnsi="Arial" w:cs="Arial"/>
                <w:color w:val="000000" w:themeColor="text1"/>
                <w:sz w:val="20"/>
                <w:szCs w:val="20"/>
                <w:lang w:eastAsia="es-MX"/>
              </w:rPr>
              <w:t>Equipos de telecomunicaciones, computación y software</w:t>
            </w:r>
          </w:p>
        </w:tc>
        <w:tc>
          <w:tcPr>
            <w:tcW w:w="1474" w:type="dxa"/>
            <w:tcBorders>
              <w:top w:val="nil"/>
              <w:left w:val="nil"/>
              <w:bottom w:val="nil"/>
              <w:right w:val="nil"/>
            </w:tcBorders>
            <w:shd w:val="clear" w:color="auto" w:fill="auto"/>
            <w:noWrap/>
            <w:vAlign w:val="center"/>
          </w:tcPr>
          <w:p w14:paraId="201B354A" w14:textId="069C6A77" w:rsidR="009C78E4" w:rsidRPr="0074154F" w:rsidRDefault="009C78E4" w:rsidP="009C78E4">
            <w:pPr>
              <w:spacing w:after="0" w:line="240" w:lineRule="auto"/>
              <w:jc w:val="center"/>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3 – 5 </w:t>
            </w:r>
          </w:p>
        </w:tc>
      </w:tr>
      <w:tr w:rsidR="00DF5F10" w:rsidRPr="0074154F" w14:paraId="594E1F86" w14:textId="77777777" w:rsidTr="00DF5F10">
        <w:trPr>
          <w:trHeight w:val="283"/>
          <w:jc w:val="right"/>
        </w:trPr>
        <w:tc>
          <w:tcPr>
            <w:tcW w:w="5726" w:type="dxa"/>
            <w:tcBorders>
              <w:top w:val="nil"/>
              <w:left w:val="nil"/>
              <w:bottom w:val="nil"/>
              <w:right w:val="nil"/>
            </w:tcBorders>
            <w:shd w:val="clear" w:color="auto" w:fill="auto"/>
            <w:noWrap/>
            <w:vAlign w:val="center"/>
            <w:hideMark/>
          </w:tcPr>
          <w:p w14:paraId="2ACF3FAF" w14:textId="1282F7F3" w:rsidR="00DF5F10" w:rsidRPr="0074154F" w:rsidRDefault="00B3400A" w:rsidP="00413455">
            <w:pPr>
              <w:spacing w:after="0" w:line="240" w:lineRule="auto"/>
              <w:ind w:left="-70"/>
              <w:jc w:val="both"/>
              <w:rPr>
                <w:rFonts w:ascii="Arial" w:eastAsia="Times New Roman" w:hAnsi="Arial" w:cs="Arial"/>
                <w:sz w:val="20"/>
                <w:szCs w:val="20"/>
                <w:lang w:val="es-MX" w:eastAsia="es-MX"/>
              </w:rPr>
            </w:pPr>
            <w:r w:rsidRPr="0074154F">
              <w:rPr>
                <w:rFonts w:ascii="Arial" w:eastAsia="Times New Roman" w:hAnsi="Arial" w:cs="Arial"/>
                <w:sz w:val="20"/>
                <w:szCs w:val="20"/>
                <w:lang w:eastAsia="es-MX"/>
              </w:rPr>
              <w:t xml:space="preserve">Data </w:t>
            </w:r>
            <w:r w:rsidR="00920077" w:rsidRPr="0074154F">
              <w:rPr>
                <w:rFonts w:ascii="Arial" w:eastAsia="Times New Roman" w:hAnsi="Arial" w:cs="Arial"/>
                <w:sz w:val="20"/>
                <w:szCs w:val="20"/>
                <w:lang w:eastAsia="es-MX"/>
              </w:rPr>
              <w:t>C</w:t>
            </w:r>
            <w:r w:rsidRPr="0074154F">
              <w:rPr>
                <w:rFonts w:ascii="Arial" w:eastAsia="Times New Roman" w:hAnsi="Arial" w:cs="Arial"/>
                <w:sz w:val="20"/>
                <w:szCs w:val="20"/>
                <w:lang w:eastAsia="es-MX"/>
              </w:rPr>
              <w:t>enter</w:t>
            </w:r>
          </w:p>
        </w:tc>
        <w:tc>
          <w:tcPr>
            <w:tcW w:w="1474" w:type="dxa"/>
            <w:tcBorders>
              <w:top w:val="nil"/>
              <w:left w:val="nil"/>
              <w:bottom w:val="nil"/>
              <w:right w:val="nil"/>
            </w:tcBorders>
            <w:shd w:val="clear" w:color="auto" w:fill="auto"/>
            <w:noWrap/>
            <w:vAlign w:val="center"/>
            <w:hideMark/>
          </w:tcPr>
          <w:p w14:paraId="60EF599F" w14:textId="4C590514" w:rsidR="00DF5F10" w:rsidRPr="0074154F" w:rsidRDefault="00B3400A" w:rsidP="00413455">
            <w:pPr>
              <w:spacing w:after="0" w:line="240" w:lineRule="auto"/>
              <w:jc w:val="center"/>
              <w:rPr>
                <w:rFonts w:ascii="Arial" w:eastAsia="Times New Roman" w:hAnsi="Arial" w:cs="Arial"/>
                <w:sz w:val="20"/>
                <w:szCs w:val="20"/>
                <w:lang w:val="es-MX" w:eastAsia="es-MX"/>
              </w:rPr>
            </w:pPr>
            <w:r w:rsidRPr="0074154F">
              <w:rPr>
                <w:rFonts w:ascii="Arial" w:eastAsia="Times New Roman" w:hAnsi="Arial" w:cs="Arial"/>
                <w:sz w:val="20"/>
                <w:szCs w:val="20"/>
                <w:lang w:eastAsia="es-MX"/>
              </w:rPr>
              <w:t>7</w:t>
            </w:r>
          </w:p>
        </w:tc>
      </w:tr>
    </w:tbl>
    <w:p w14:paraId="5D5A5776" w14:textId="5D44589D" w:rsidR="004055CE" w:rsidRPr="0074154F" w:rsidRDefault="004055CE" w:rsidP="00413455">
      <w:pPr>
        <w:spacing w:after="0" w:line="240" w:lineRule="auto"/>
        <w:ind w:left="1843"/>
        <w:jc w:val="both"/>
        <w:rPr>
          <w:rFonts w:ascii="Arial" w:eastAsia="Arial Unicode MS" w:hAnsi="Arial" w:cs="Arial"/>
          <w:sz w:val="14"/>
          <w:szCs w:val="14"/>
        </w:rPr>
      </w:pPr>
    </w:p>
    <w:p w14:paraId="14E2B910" w14:textId="0E4CE948" w:rsidR="002E7C87" w:rsidRPr="0074154F" w:rsidRDefault="002E7C87" w:rsidP="002E7C87">
      <w:pPr>
        <w:pStyle w:val="ListParagraph"/>
        <w:widowControl w:val="0"/>
        <w:spacing w:after="0" w:line="240" w:lineRule="auto"/>
        <w:ind w:left="1843" w:right="-1"/>
        <w:jc w:val="both"/>
        <w:rPr>
          <w:rFonts w:ascii="Arial" w:eastAsia="Arial Unicode MS" w:hAnsi="Arial" w:cs="Arial"/>
          <w:bCs/>
          <w:sz w:val="20"/>
          <w:szCs w:val="20"/>
          <w:lang w:val="es-ES" w:eastAsia="es-ES" w:bidi="es-ES"/>
        </w:rPr>
      </w:pPr>
      <w:bookmarkStart w:id="11" w:name="_Hlk70199284"/>
      <w:r w:rsidRPr="0074154F">
        <w:rPr>
          <w:rFonts w:ascii="Arial" w:eastAsia="Arial Unicode MS" w:hAnsi="Arial" w:cs="Arial"/>
          <w:bCs/>
          <w:sz w:val="20"/>
          <w:szCs w:val="20"/>
          <w:lang w:val="es-ES" w:eastAsia="es-ES" w:bidi="es-ES"/>
        </w:rPr>
        <w:t>Los terrenos se registran de forma independiente de los edificios los cuales pueden estar asentadas sobre los mismos y se entiende que tiene una vida útil infinita y, por tanto, no son objeto de depreciación.</w:t>
      </w:r>
      <w:r w:rsidR="00C35CC3" w:rsidRPr="0074154F">
        <w:rPr>
          <w:rFonts w:ascii="Arial" w:eastAsia="Arial Unicode MS" w:hAnsi="Arial" w:cs="Arial"/>
          <w:b/>
          <w:color w:val="FF0000"/>
          <w:sz w:val="20"/>
          <w:szCs w:val="20"/>
          <w:lang w:val="es-ES" w:eastAsia="es-ES" w:bidi="es-ES"/>
        </w:rPr>
        <w:t xml:space="preserve"> </w:t>
      </w:r>
    </w:p>
    <w:bookmarkEnd w:id="11"/>
    <w:p w14:paraId="1CE26FCE" w14:textId="72670C30" w:rsidR="0078217B" w:rsidRPr="0074154F" w:rsidRDefault="0078217B" w:rsidP="00413455">
      <w:pPr>
        <w:spacing w:after="0" w:line="240" w:lineRule="auto"/>
        <w:ind w:left="1843"/>
        <w:jc w:val="both"/>
        <w:rPr>
          <w:rFonts w:ascii="Arial" w:eastAsia="Arial Unicode MS" w:hAnsi="Arial" w:cs="Arial"/>
          <w:b/>
          <w:bCs/>
          <w:color w:val="FF0000"/>
          <w:sz w:val="14"/>
          <w:szCs w:val="14"/>
          <w:lang w:val="es-ES"/>
        </w:rPr>
      </w:pPr>
    </w:p>
    <w:p w14:paraId="764B8ADD" w14:textId="69E9C38C" w:rsidR="006549AF" w:rsidRPr="0074154F" w:rsidRDefault="006549AF" w:rsidP="00413455">
      <w:pPr>
        <w:spacing w:after="0" w:line="240" w:lineRule="auto"/>
        <w:ind w:left="1843"/>
        <w:jc w:val="both"/>
        <w:rPr>
          <w:rFonts w:ascii="Arial" w:eastAsia="Arial Unicode MS" w:hAnsi="Arial" w:cs="Arial"/>
          <w:color w:val="000000" w:themeColor="text1"/>
          <w:sz w:val="20"/>
          <w:szCs w:val="20"/>
        </w:rPr>
      </w:pPr>
      <w:r w:rsidRPr="0074154F">
        <w:rPr>
          <w:rFonts w:ascii="Arial" w:eastAsia="Arial Unicode MS" w:hAnsi="Arial" w:cs="Arial"/>
          <w:color w:val="000000" w:themeColor="text1"/>
          <w:sz w:val="20"/>
          <w:szCs w:val="20"/>
        </w:rPr>
        <w:t xml:space="preserve">Data </w:t>
      </w:r>
      <w:r w:rsidR="00920077" w:rsidRPr="0074154F">
        <w:rPr>
          <w:rFonts w:ascii="Arial" w:eastAsia="Arial Unicode MS" w:hAnsi="Arial" w:cs="Arial"/>
          <w:color w:val="000000" w:themeColor="text1"/>
          <w:sz w:val="20"/>
          <w:szCs w:val="20"/>
        </w:rPr>
        <w:t>C</w:t>
      </w:r>
      <w:r w:rsidRPr="0074154F">
        <w:rPr>
          <w:rFonts w:ascii="Arial" w:eastAsia="Arial Unicode MS" w:hAnsi="Arial" w:cs="Arial"/>
          <w:color w:val="000000" w:themeColor="text1"/>
          <w:sz w:val="20"/>
          <w:szCs w:val="20"/>
        </w:rPr>
        <w:t xml:space="preserve">enter fueron diseñados y construidos por la Compañía en las ciudades de Quito y Guayaquil y han sido divididos </w:t>
      </w:r>
      <w:proofErr w:type="gramStart"/>
      <w:r w:rsidRPr="0074154F">
        <w:rPr>
          <w:rFonts w:ascii="Arial" w:eastAsia="Arial Unicode MS" w:hAnsi="Arial" w:cs="Arial"/>
          <w:color w:val="000000" w:themeColor="text1"/>
          <w:sz w:val="20"/>
          <w:szCs w:val="20"/>
        </w:rPr>
        <w:t>de acuerdo a</w:t>
      </w:r>
      <w:proofErr w:type="gramEnd"/>
      <w:r w:rsidRPr="0074154F">
        <w:rPr>
          <w:rFonts w:ascii="Arial" w:eastAsia="Arial Unicode MS" w:hAnsi="Arial" w:cs="Arial"/>
          <w:color w:val="000000" w:themeColor="text1"/>
          <w:sz w:val="20"/>
          <w:szCs w:val="20"/>
        </w:rPr>
        <w:t xml:space="preserve"> su utilización</w:t>
      </w:r>
      <w:r w:rsidR="00920077" w:rsidRPr="0074154F">
        <w:rPr>
          <w:rFonts w:ascii="Arial" w:eastAsia="Arial Unicode MS" w:hAnsi="Arial" w:cs="Arial"/>
          <w:color w:val="000000" w:themeColor="text1"/>
          <w:sz w:val="20"/>
          <w:szCs w:val="20"/>
        </w:rPr>
        <w:t xml:space="preserve"> en los siguientes rubros</w:t>
      </w:r>
      <w:r w:rsidRPr="0074154F">
        <w:rPr>
          <w:rFonts w:ascii="Arial" w:eastAsia="Arial Unicode MS" w:hAnsi="Arial" w:cs="Arial"/>
          <w:color w:val="000000" w:themeColor="text1"/>
          <w:sz w:val="20"/>
          <w:szCs w:val="20"/>
        </w:rPr>
        <w:t xml:space="preserve">: </w:t>
      </w:r>
      <w:r w:rsidR="00920077" w:rsidRPr="0074154F">
        <w:rPr>
          <w:rFonts w:ascii="Arial" w:eastAsia="Arial Unicode MS" w:hAnsi="Arial" w:cs="Arial"/>
          <w:color w:val="000000" w:themeColor="text1"/>
          <w:sz w:val="20"/>
          <w:szCs w:val="20"/>
        </w:rPr>
        <w:t>(a) p</w:t>
      </w:r>
      <w:r w:rsidRPr="0074154F">
        <w:rPr>
          <w:rFonts w:ascii="Arial" w:eastAsia="Arial Unicode MS" w:hAnsi="Arial" w:cs="Arial"/>
          <w:color w:val="000000" w:themeColor="text1"/>
          <w:sz w:val="20"/>
          <w:szCs w:val="20"/>
        </w:rPr>
        <w:t>ropiedades de equipos</w:t>
      </w:r>
      <w:r w:rsidR="00920077" w:rsidRPr="0074154F">
        <w:rPr>
          <w:rFonts w:ascii="Arial" w:eastAsia="Arial Unicode MS" w:hAnsi="Arial" w:cs="Arial"/>
          <w:color w:val="000000" w:themeColor="text1"/>
          <w:sz w:val="20"/>
          <w:szCs w:val="20"/>
        </w:rPr>
        <w:t xml:space="preserve"> (en los cuales brinda servicios de “</w:t>
      </w:r>
      <w:proofErr w:type="spellStart"/>
      <w:r w:rsidR="00920077" w:rsidRPr="0074154F">
        <w:rPr>
          <w:rFonts w:ascii="Arial" w:eastAsia="Arial Unicode MS" w:hAnsi="Arial" w:cs="Arial"/>
          <w:color w:val="000000" w:themeColor="text1"/>
          <w:sz w:val="20"/>
          <w:szCs w:val="20"/>
        </w:rPr>
        <w:t>housing</w:t>
      </w:r>
      <w:proofErr w:type="spellEnd"/>
      <w:r w:rsidR="00920077" w:rsidRPr="0074154F">
        <w:rPr>
          <w:rFonts w:ascii="Arial" w:eastAsia="Arial Unicode MS" w:hAnsi="Arial" w:cs="Arial"/>
          <w:color w:val="000000" w:themeColor="text1"/>
          <w:sz w:val="20"/>
          <w:szCs w:val="20"/>
        </w:rPr>
        <w:t>” y “</w:t>
      </w:r>
      <w:proofErr w:type="spellStart"/>
      <w:r w:rsidR="00920077" w:rsidRPr="0074154F">
        <w:rPr>
          <w:rFonts w:ascii="Arial" w:eastAsia="Arial Unicode MS" w:hAnsi="Arial" w:cs="Arial"/>
          <w:color w:val="000000" w:themeColor="text1"/>
          <w:sz w:val="20"/>
          <w:szCs w:val="20"/>
        </w:rPr>
        <w:t>cloud</w:t>
      </w:r>
      <w:proofErr w:type="spellEnd"/>
      <w:r w:rsidR="00920077" w:rsidRPr="0074154F">
        <w:rPr>
          <w:rFonts w:ascii="Arial" w:eastAsia="Arial Unicode MS" w:hAnsi="Arial" w:cs="Arial"/>
          <w:color w:val="000000" w:themeColor="text1"/>
          <w:sz w:val="20"/>
          <w:szCs w:val="20"/>
        </w:rPr>
        <w:t xml:space="preserve"> </w:t>
      </w:r>
      <w:proofErr w:type="spellStart"/>
      <w:r w:rsidR="00920077" w:rsidRPr="0074154F">
        <w:rPr>
          <w:rFonts w:ascii="Arial" w:eastAsia="Arial Unicode MS" w:hAnsi="Arial" w:cs="Arial"/>
          <w:color w:val="000000" w:themeColor="text1"/>
          <w:sz w:val="20"/>
          <w:szCs w:val="20"/>
        </w:rPr>
        <w:t>computing</w:t>
      </w:r>
      <w:proofErr w:type="spellEnd"/>
      <w:r w:rsidR="00920077" w:rsidRPr="0074154F">
        <w:rPr>
          <w:rFonts w:ascii="Arial" w:eastAsia="Arial Unicode MS" w:hAnsi="Arial" w:cs="Arial"/>
          <w:color w:val="000000" w:themeColor="text1"/>
          <w:sz w:val="20"/>
          <w:szCs w:val="20"/>
        </w:rPr>
        <w:t>” a sus clientes; y (b) p</w:t>
      </w:r>
      <w:r w:rsidRPr="0074154F">
        <w:rPr>
          <w:rFonts w:ascii="Arial" w:eastAsia="Arial Unicode MS" w:hAnsi="Arial" w:cs="Arial"/>
          <w:color w:val="000000" w:themeColor="text1"/>
          <w:sz w:val="20"/>
          <w:szCs w:val="20"/>
        </w:rPr>
        <w:t>ropiedades de inversión</w:t>
      </w:r>
      <w:r w:rsidR="00920077" w:rsidRPr="0074154F">
        <w:rPr>
          <w:rFonts w:ascii="Arial" w:eastAsia="Arial Unicode MS" w:hAnsi="Arial" w:cs="Arial"/>
          <w:color w:val="000000" w:themeColor="text1"/>
          <w:sz w:val="20"/>
          <w:szCs w:val="20"/>
        </w:rPr>
        <w:t xml:space="preserve"> (los cuales se encuentran en arrendamiento operativo, considerando la porción significativa de los riesgos y beneficios relativos a la propiedad, son retenidos por la Compañía.</w:t>
      </w:r>
    </w:p>
    <w:p w14:paraId="6FED4880" w14:textId="7D033BF3" w:rsidR="006549AF" w:rsidRPr="0074154F" w:rsidRDefault="006549AF" w:rsidP="00413455">
      <w:pPr>
        <w:spacing w:after="0" w:line="240" w:lineRule="auto"/>
        <w:ind w:left="1843"/>
        <w:jc w:val="both"/>
        <w:rPr>
          <w:rFonts w:ascii="Arial" w:eastAsia="Arial Unicode MS" w:hAnsi="Arial" w:cs="Arial"/>
          <w:b/>
          <w:bCs/>
          <w:color w:val="FF0000"/>
          <w:sz w:val="14"/>
          <w:szCs w:val="14"/>
        </w:rPr>
      </w:pPr>
    </w:p>
    <w:p w14:paraId="628B502D" w14:textId="3A4C0C60" w:rsidR="008D1712" w:rsidRPr="0074154F" w:rsidRDefault="008D1712" w:rsidP="008D1712">
      <w:pPr>
        <w:spacing w:after="0" w:line="240" w:lineRule="auto"/>
        <w:ind w:left="1843"/>
        <w:jc w:val="both"/>
        <w:rPr>
          <w:rFonts w:ascii="Arial" w:eastAsia="Arial Unicode MS" w:hAnsi="Arial" w:cs="Arial"/>
          <w:color w:val="000000" w:themeColor="text1"/>
          <w:sz w:val="20"/>
          <w:szCs w:val="20"/>
        </w:rPr>
      </w:pPr>
      <w:r w:rsidRPr="0074154F">
        <w:rPr>
          <w:rFonts w:ascii="Arial" w:eastAsia="Arial Unicode MS" w:hAnsi="Arial" w:cs="Arial"/>
          <w:color w:val="000000" w:themeColor="text1"/>
          <w:sz w:val="20"/>
          <w:szCs w:val="20"/>
        </w:rPr>
        <w:t xml:space="preserve">Las construcciones en curso representan los registros contables en los estados financieros </w:t>
      </w:r>
      <w:r w:rsidR="0070026E" w:rsidRPr="0074154F">
        <w:rPr>
          <w:rFonts w:ascii="Arial" w:eastAsia="Arial Unicode MS" w:hAnsi="Arial" w:cs="Arial"/>
          <w:color w:val="000000" w:themeColor="text1"/>
          <w:sz w:val="20"/>
          <w:szCs w:val="20"/>
        </w:rPr>
        <w:t>consolidados</w:t>
      </w:r>
      <w:r w:rsidRPr="0074154F">
        <w:rPr>
          <w:rFonts w:ascii="Arial" w:eastAsia="Arial Unicode MS" w:hAnsi="Arial" w:cs="Arial"/>
          <w:color w:val="000000" w:themeColor="text1"/>
          <w:sz w:val="20"/>
          <w:szCs w:val="20"/>
        </w:rPr>
        <w:t xml:space="preserve"> de los desembolsos incurridos en el desarrollo de proyectos relacionados con el giro del negocio, los cuales al cierre del ejercicio se encuentran aún en proceso. Una vez estos proyectos se finalicen se realiza la activación en los rubros de propiedades y equipos depreciables con su vida útil esperada.</w:t>
      </w:r>
    </w:p>
    <w:p w14:paraId="2190C3E8" w14:textId="77777777" w:rsidR="0075458B" w:rsidRPr="0074154F" w:rsidRDefault="0075458B" w:rsidP="00413455">
      <w:pPr>
        <w:spacing w:after="0" w:line="240" w:lineRule="auto"/>
        <w:ind w:left="1843"/>
        <w:jc w:val="both"/>
        <w:rPr>
          <w:rFonts w:ascii="Arial" w:eastAsia="Arial Unicode MS" w:hAnsi="Arial" w:cs="Arial"/>
          <w:b/>
          <w:bCs/>
          <w:color w:val="FF0000"/>
          <w:sz w:val="14"/>
          <w:szCs w:val="14"/>
        </w:rPr>
      </w:pPr>
    </w:p>
    <w:p w14:paraId="4D701825" w14:textId="5635A9D8" w:rsidR="00CB2F8E" w:rsidRPr="0074154F" w:rsidRDefault="004055CE" w:rsidP="00B243BC">
      <w:pPr>
        <w:pStyle w:val="ListParagraph"/>
        <w:numPr>
          <w:ilvl w:val="2"/>
          <w:numId w:val="3"/>
        </w:numPr>
        <w:spacing w:after="0" w:line="240" w:lineRule="auto"/>
        <w:ind w:left="1843" w:hanging="709"/>
        <w:jc w:val="both"/>
        <w:rPr>
          <w:rFonts w:ascii="Arial" w:hAnsi="Arial" w:cs="Arial"/>
          <w:b/>
          <w:sz w:val="20"/>
          <w:szCs w:val="20"/>
          <w:u w:val="single"/>
        </w:rPr>
      </w:pPr>
      <w:r w:rsidRPr="0074154F">
        <w:rPr>
          <w:rFonts w:ascii="Arial" w:hAnsi="Arial" w:cs="Arial"/>
          <w:b/>
          <w:sz w:val="20"/>
          <w:szCs w:val="20"/>
          <w:u w:val="single"/>
        </w:rPr>
        <w:t xml:space="preserve">Retiro o venta de propiedades y </w:t>
      </w:r>
      <w:proofErr w:type="gramStart"/>
      <w:r w:rsidRPr="0074154F">
        <w:rPr>
          <w:rFonts w:ascii="Arial" w:hAnsi="Arial" w:cs="Arial"/>
          <w:b/>
          <w:sz w:val="20"/>
          <w:szCs w:val="20"/>
          <w:u w:val="single"/>
        </w:rPr>
        <w:t>equipos</w:t>
      </w:r>
      <w:r w:rsidR="005B25F5" w:rsidRPr="0074154F">
        <w:rPr>
          <w:rFonts w:ascii="Arial" w:eastAsia="Arial Unicode MS" w:hAnsi="Arial" w:cs="Arial"/>
          <w:b/>
          <w:sz w:val="20"/>
          <w:szCs w:val="20"/>
        </w:rPr>
        <w:t>.-</w:t>
      </w:r>
      <w:proofErr w:type="gramEnd"/>
      <w:r w:rsidRPr="0074154F">
        <w:rPr>
          <w:rFonts w:ascii="Arial" w:hAnsi="Arial" w:cs="Arial"/>
          <w:b/>
          <w:sz w:val="20"/>
          <w:szCs w:val="20"/>
        </w:rPr>
        <w:t xml:space="preserve"> </w:t>
      </w:r>
      <w:r w:rsidRPr="0074154F">
        <w:rPr>
          <w:rFonts w:ascii="Arial" w:eastAsia="Arial Unicode MS" w:hAnsi="Arial" w:cs="Arial"/>
          <w:bCs/>
          <w:sz w:val="20"/>
          <w:szCs w:val="20"/>
          <w:lang w:val="es-ES" w:eastAsia="es-ES" w:bidi="es-ES"/>
        </w:rPr>
        <w:t>La utilidad o pérdida que surja del retiro o venta de una partida de propiedades y equipos es calculada como la diferencia entre el precio de venta y el valor en libros del activo y reconocida en resultados.</w:t>
      </w:r>
      <w:r w:rsidR="00B243BC" w:rsidRPr="0074154F">
        <w:rPr>
          <w:rFonts w:ascii="Arial" w:eastAsia="Arial Unicode MS" w:hAnsi="Arial" w:cs="Arial"/>
          <w:bCs/>
          <w:sz w:val="20"/>
          <w:szCs w:val="20"/>
          <w:lang w:val="es-ES" w:eastAsia="es-ES" w:bidi="es-ES"/>
        </w:rPr>
        <w:t xml:space="preserve"> </w:t>
      </w:r>
    </w:p>
    <w:p w14:paraId="54652AF4" w14:textId="725E8048" w:rsidR="00CB2F8E" w:rsidRPr="0074154F" w:rsidRDefault="00CB2F8E" w:rsidP="00413455">
      <w:pPr>
        <w:pStyle w:val="ListParagraph"/>
        <w:spacing w:after="0" w:line="240" w:lineRule="auto"/>
        <w:ind w:left="1843"/>
        <w:jc w:val="both"/>
        <w:rPr>
          <w:rFonts w:ascii="Arial" w:hAnsi="Arial" w:cs="Arial"/>
          <w:bCs/>
          <w:sz w:val="20"/>
          <w:szCs w:val="20"/>
        </w:rPr>
      </w:pPr>
    </w:p>
    <w:p w14:paraId="56858F3B" w14:textId="2C9D2916" w:rsidR="006549AF" w:rsidRPr="0074154F" w:rsidRDefault="006549AF" w:rsidP="00413455">
      <w:pPr>
        <w:pStyle w:val="ListParagraph"/>
        <w:numPr>
          <w:ilvl w:val="1"/>
          <w:numId w:val="3"/>
        </w:numPr>
        <w:tabs>
          <w:tab w:val="left" w:pos="1134"/>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t>Propiedades de inversión</w:t>
      </w:r>
    </w:p>
    <w:p w14:paraId="75DD336D" w14:textId="77777777" w:rsidR="006A44E2" w:rsidRPr="0074154F" w:rsidRDefault="006A44E2" w:rsidP="006549AF">
      <w:pPr>
        <w:pStyle w:val="ListParagraph"/>
        <w:tabs>
          <w:tab w:val="left" w:pos="1134"/>
          <w:tab w:val="left" w:pos="6989"/>
        </w:tabs>
        <w:spacing w:after="0" w:line="240" w:lineRule="auto"/>
        <w:ind w:left="1134"/>
        <w:jc w:val="both"/>
        <w:rPr>
          <w:rFonts w:ascii="Arial" w:hAnsi="Arial" w:cs="Arial"/>
          <w:sz w:val="20"/>
          <w:szCs w:val="20"/>
        </w:rPr>
      </w:pPr>
    </w:p>
    <w:p w14:paraId="1EA6A862" w14:textId="77777777" w:rsidR="000A2624" w:rsidRPr="0074154F" w:rsidRDefault="006A44E2" w:rsidP="000A2624">
      <w:pPr>
        <w:autoSpaceDE w:val="0"/>
        <w:autoSpaceDN w:val="0"/>
        <w:ind w:left="1134"/>
        <w:jc w:val="both"/>
        <w:rPr>
          <w:rFonts w:ascii="Arial" w:hAnsi="Arial" w:cs="Arial"/>
          <w:sz w:val="20"/>
          <w:szCs w:val="20"/>
        </w:rPr>
      </w:pPr>
      <w:r w:rsidRPr="0074154F">
        <w:rPr>
          <w:rFonts w:ascii="Arial" w:hAnsi="Arial" w:cs="Arial"/>
          <w:sz w:val="20"/>
          <w:szCs w:val="20"/>
        </w:rPr>
        <w:t>Son aquellas mantenidas para producir</w:t>
      </w:r>
      <w:r w:rsidR="000A2624" w:rsidRPr="0074154F">
        <w:rPr>
          <w:rFonts w:ascii="Arial" w:hAnsi="Arial" w:cs="Arial"/>
          <w:sz w:val="20"/>
          <w:szCs w:val="20"/>
        </w:rPr>
        <w:t xml:space="preserve"> </w:t>
      </w:r>
      <w:r w:rsidRPr="0074154F">
        <w:rPr>
          <w:rFonts w:ascii="Arial" w:hAnsi="Arial" w:cs="Arial"/>
          <w:sz w:val="20"/>
          <w:szCs w:val="20"/>
        </w:rPr>
        <w:t xml:space="preserve">rentas, plusvalías o ambas y se miden inicialmente al costo, incluyendo los costos de la transacción. Luego del reconocimiento inicial, las propiedades de inversión son medidas a su valor razonable. Las ganancias o pérdidas que surgen de los cambios en el valor razonable de la propiedad de inversión se incluyen en los resultados del período en el que se originan. </w:t>
      </w:r>
    </w:p>
    <w:p w14:paraId="05B6A80D" w14:textId="24FEBBD8" w:rsidR="006A44E2" w:rsidRPr="0074154F" w:rsidRDefault="006A44E2" w:rsidP="000A2624">
      <w:pPr>
        <w:autoSpaceDE w:val="0"/>
        <w:autoSpaceDN w:val="0"/>
        <w:ind w:left="1134"/>
        <w:jc w:val="both"/>
        <w:rPr>
          <w:rFonts w:ascii="Arial" w:hAnsi="Arial" w:cs="Arial"/>
          <w:sz w:val="20"/>
          <w:szCs w:val="20"/>
        </w:rPr>
      </w:pPr>
      <w:r w:rsidRPr="0074154F">
        <w:rPr>
          <w:rFonts w:ascii="Arial" w:hAnsi="Arial" w:cs="Arial"/>
          <w:sz w:val="20"/>
          <w:szCs w:val="20"/>
        </w:rPr>
        <w:t>Una propiedad de inversión se da de baja al momento de su disposición o cuando la propiedad de inversión es retirada permanentemente de uso y no se espera recibir beneficios económicos futuros de esa baja. Cualquier ganancia o pérdida que surja de la baja de la propiedad (calculada como la diferencia entre los ingresos por venta netos y el importe en libros del activo) se incluye en los resultados del período en el cual se dio de baja la propiedad.</w:t>
      </w:r>
    </w:p>
    <w:p w14:paraId="774ED32B" w14:textId="1EC39DC7" w:rsidR="000A2624" w:rsidRDefault="000A2624" w:rsidP="000A2624">
      <w:pPr>
        <w:autoSpaceDE w:val="0"/>
        <w:autoSpaceDN w:val="0"/>
        <w:ind w:left="1134"/>
        <w:jc w:val="both"/>
        <w:rPr>
          <w:rFonts w:ascii="Arial" w:hAnsi="Arial" w:cs="Arial"/>
          <w:sz w:val="20"/>
          <w:szCs w:val="20"/>
        </w:rPr>
      </w:pPr>
      <w:r w:rsidRPr="0074154F">
        <w:rPr>
          <w:rFonts w:ascii="Arial" w:hAnsi="Arial" w:cs="Arial"/>
          <w:sz w:val="20"/>
          <w:szCs w:val="20"/>
        </w:rPr>
        <w:t xml:space="preserve">Los terrenos no se deprecian, los Data Center y los edificios (locales comerciales) entregados en arrendamiento operativo se deprecian </w:t>
      </w:r>
      <w:proofErr w:type="gramStart"/>
      <w:r w:rsidRPr="0074154F">
        <w:rPr>
          <w:rFonts w:ascii="Arial" w:hAnsi="Arial" w:cs="Arial"/>
          <w:sz w:val="20"/>
          <w:szCs w:val="20"/>
        </w:rPr>
        <w:t>de acuerdo a</w:t>
      </w:r>
      <w:proofErr w:type="gramEnd"/>
      <w:r w:rsidRPr="0074154F">
        <w:rPr>
          <w:rFonts w:ascii="Arial" w:hAnsi="Arial" w:cs="Arial"/>
          <w:sz w:val="20"/>
          <w:szCs w:val="20"/>
        </w:rPr>
        <w:t xml:space="preserve"> su vida útil estimada de 20 años.</w:t>
      </w:r>
    </w:p>
    <w:p w14:paraId="51889F54" w14:textId="015530A9" w:rsidR="00265B2D" w:rsidRDefault="00265B2D" w:rsidP="000A2624">
      <w:pPr>
        <w:autoSpaceDE w:val="0"/>
        <w:autoSpaceDN w:val="0"/>
        <w:ind w:left="1134"/>
        <w:jc w:val="both"/>
        <w:rPr>
          <w:rFonts w:ascii="Arial" w:hAnsi="Arial" w:cs="Arial"/>
          <w:sz w:val="20"/>
          <w:szCs w:val="20"/>
        </w:rPr>
      </w:pPr>
    </w:p>
    <w:p w14:paraId="3C388063" w14:textId="5EA22A42" w:rsidR="00265B2D" w:rsidRDefault="00265B2D" w:rsidP="000A2624">
      <w:pPr>
        <w:autoSpaceDE w:val="0"/>
        <w:autoSpaceDN w:val="0"/>
        <w:ind w:left="1134"/>
        <w:jc w:val="both"/>
        <w:rPr>
          <w:rFonts w:ascii="Arial" w:hAnsi="Arial" w:cs="Arial"/>
          <w:sz w:val="20"/>
          <w:szCs w:val="20"/>
        </w:rPr>
      </w:pPr>
    </w:p>
    <w:p w14:paraId="0E3C188C" w14:textId="48CB4688" w:rsidR="00265B2D" w:rsidRPr="00265B2D" w:rsidRDefault="00265B2D" w:rsidP="00265B2D">
      <w:pPr>
        <w:autoSpaceDE w:val="0"/>
        <w:autoSpaceDN w:val="0"/>
        <w:ind w:left="1134"/>
        <w:jc w:val="center"/>
        <w:rPr>
          <w:rFonts w:ascii="Arial" w:hAnsi="Arial" w:cs="Arial"/>
          <w:b/>
          <w:bCs/>
          <w:sz w:val="20"/>
          <w:szCs w:val="20"/>
        </w:rPr>
      </w:pPr>
      <w:r w:rsidRPr="00265B2D">
        <w:rPr>
          <w:rFonts w:ascii="Arial" w:hAnsi="Arial" w:cs="Arial"/>
          <w:b/>
          <w:bCs/>
          <w:sz w:val="20"/>
          <w:szCs w:val="20"/>
        </w:rPr>
        <w:t>ESPACIO EN BLANCO</w:t>
      </w:r>
    </w:p>
    <w:p w14:paraId="678134E3" w14:textId="77777777" w:rsidR="00265B2D" w:rsidRPr="0074154F" w:rsidRDefault="00265B2D" w:rsidP="000A2624">
      <w:pPr>
        <w:autoSpaceDE w:val="0"/>
        <w:autoSpaceDN w:val="0"/>
        <w:ind w:left="1134"/>
        <w:jc w:val="both"/>
        <w:rPr>
          <w:rFonts w:ascii="Arial" w:hAnsi="Arial" w:cs="Arial"/>
          <w:sz w:val="20"/>
          <w:szCs w:val="20"/>
        </w:rPr>
      </w:pPr>
    </w:p>
    <w:p w14:paraId="51735149" w14:textId="0AC7A999" w:rsidR="004055CE" w:rsidRPr="0074154F" w:rsidRDefault="006549AF" w:rsidP="00413455">
      <w:pPr>
        <w:pStyle w:val="ListParagraph"/>
        <w:numPr>
          <w:ilvl w:val="1"/>
          <w:numId w:val="3"/>
        </w:numPr>
        <w:tabs>
          <w:tab w:val="left" w:pos="1134"/>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lastRenderedPageBreak/>
        <w:t xml:space="preserve">Inversiones en </w:t>
      </w:r>
      <w:r w:rsidR="0064333C" w:rsidRPr="0074154F">
        <w:rPr>
          <w:rFonts w:ascii="Arial" w:hAnsi="Arial" w:cs="Arial"/>
          <w:b/>
          <w:bCs/>
          <w:sz w:val="20"/>
          <w:szCs w:val="20"/>
          <w:u w:val="single"/>
        </w:rPr>
        <w:t>subsidiarias y asociadas</w:t>
      </w:r>
    </w:p>
    <w:p w14:paraId="500249F1" w14:textId="77777777" w:rsidR="004055CE" w:rsidRPr="0074154F" w:rsidRDefault="004055CE" w:rsidP="00413455">
      <w:pPr>
        <w:pStyle w:val="ListParagraph"/>
        <w:widowControl w:val="0"/>
        <w:spacing w:after="0" w:line="240" w:lineRule="auto"/>
        <w:ind w:left="1134" w:right="-1"/>
        <w:jc w:val="both"/>
        <w:rPr>
          <w:rFonts w:ascii="Arial" w:eastAsia="Arial Unicode MS" w:hAnsi="Arial" w:cs="Arial"/>
          <w:bCs/>
          <w:sz w:val="20"/>
          <w:szCs w:val="20"/>
          <w:lang w:eastAsia="es-ES" w:bidi="es-ES"/>
        </w:rPr>
      </w:pPr>
    </w:p>
    <w:p w14:paraId="57B2591A" w14:textId="15C198F2" w:rsidR="000A2624" w:rsidRPr="0074154F" w:rsidRDefault="006A44E2" w:rsidP="006A44E2">
      <w:pPr>
        <w:autoSpaceDE w:val="0"/>
        <w:autoSpaceDN w:val="0"/>
        <w:ind w:left="1134"/>
        <w:jc w:val="both"/>
        <w:rPr>
          <w:rFonts w:ascii="Arial" w:hAnsi="Arial" w:cs="Arial"/>
          <w:sz w:val="20"/>
          <w:szCs w:val="20"/>
        </w:rPr>
      </w:pPr>
      <w:r w:rsidRPr="0074154F">
        <w:rPr>
          <w:rFonts w:ascii="Arial" w:hAnsi="Arial" w:cs="Arial"/>
          <w:sz w:val="20"/>
          <w:szCs w:val="20"/>
        </w:rPr>
        <w:t xml:space="preserve">Se miden al costo en los estados financieros </w:t>
      </w:r>
      <w:r w:rsidR="00490800">
        <w:rPr>
          <w:rFonts w:ascii="Arial" w:hAnsi="Arial" w:cs="Arial"/>
          <w:sz w:val="20"/>
          <w:szCs w:val="20"/>
        </w:rPr>
        <w:t>de Telconet y su Compañía Relacionada</w:t>
      </w:r>
      <w:r w:rsidRPr="0074154F">
        <w:rPr>
          <w:rFonts w:ascii="Arial" w:hAnsi="Arial" w:cs="Arial"/>
          <w:sz w:val="20"/>
          <w:szCs w:val="20"/>
        </w:rPr>
        <w:t xml:space="preserve">, excepto si la inversión es clasificada como mantenida para la venta, en cuyo caso se contabiliza conforme a la NIIF 5 </w:t>
      </w:r>
      <w:r w:rsidR="000A2624" w:rsidRPr="0074154F">
        <w:rPr>
          <w:rFonts w:ascii="Arial" w:hAnsi="Arial" w:cs="Arial"/>
          <w:sz w:val="20"/>
          <w:szCs w:val="20"/>
        </w:rPr>
        <w:t>“</w:t>
      </w:r>
      <w:r w:rsidRPr="0074154F">
        <w:rPr>
          <w:rFonts w:ascii="Arial" w:hAnsi="Arial" w:cs="Arial"/>
          <w:sz w:val="20"/>
          <w:szCs w:val="20"/>
        </w:rPr>
        <w:t>Activos No Corrientes Mantenidos para la Venta y Operaciones Discontinuadas</w:t>
      </w:r>
      <w:r w:rsidR="000A2624" w:rsidRPr="0074154F">
        <w:rPr>
          <w:rFonts w:ascii="Arial" w:hAnsi="Arial" w:cs="Arial"/>
          <w:sz w:val="20"/>
          <w:szCs w:val="20"/>
        </w:rPr>
        <w:t>”</w:t>
      </w:r>
      <w:r w:rsidRPr="0074154F">
        <w:rPr>
          <w:rFonts w:ascii="Arial" w:hAnsi="Arial" w:cs="Arial"/>
          <w:sz w:val="20"/>
          <w:szCs w:val="20"/>
        </w:rPr>
        <w:t>.</w:t>
      </w:r>
    </w:p>
    <w:p w14:paraId="7FB1A8EB" w14:textId="6E0E05D6" w:rsidR="006A44E2" w:rsidRPr="0074154F" w:rsidRDefault="000A2624" w:rsidP="000A2624">
      <w:pPr>
        <w:autoSpaceDE w:val="0"/>
        <w:autoSpaceDN w:val="0"/>
        <w:ind w:left="1134"/>
        <w:jc w:val="both"/>
        <w:rPr>
          <w:rFonts w:ascii="Arial" w:hAnsi="Arial" w:cs="Arial"/>
          <w:sz w:val="20"/>
          <w:szCs w:val="20"/>
        </w:rPr>
      </w:pPr>
      <w:proofErr w:type="gramStart"/>
      <w:r w:rsidRPr="0074154F">
        <w:rPr>
          <w:rFonts w:ascii="Arial" w:hAnsi="Arial" w:cs="Arial"/>
          <w:b/>
          <w:bCs/>
          <w:i/>
          <w:iCs/>
          <w:sz w:val="20"/>
          <w:szCs w:val="20"/>
          <w:u w:val="single"/>
        </w:rPr>
        <w:t>S</w:t>
      </w:r>
      <w:r w:rsidR="006A44E2" w:rsidRPr="0074154F">
        <w:rPr>
          <w:rFonts w:ascii="Arial" w:hAnsi="Arial" w:cs="Arial"/>
          <w:b/>
          <w:bCs/>
          <w:i/>
          <w:iCs/>
          <w:sz w:val="20"/>
          <w:szCs w:val="20"/>
          <w:u w:val="single"/>
        </w:rPr>
        <w:t>ubsidiaria</w:t>
      </w:r>
      <w:r w:rsidRPr="0074154F">
        <w:rPr>
          <w:rFonts w:ascii="Arial" w:hAnsi="Arial" w:cs="Arial"/>
          <w:sz w:val="20"/>
          <w:szCs w:val="20"/>
        </w:rPr>
        <w:t>.-</w:t>
      </w:r>
      <w:proofErr w:type="gramEnd"/>
      <w:r w:rsidRPr="0074154F">
        <w:rPr>
          <w:rFonts w:ascii="Arial" w:hAnsi="Arial" w:cs="Arial"/>
          <w:sz w:val="20"/>
          <w:szCs w:val="20"/>
        </w:rPr>
        <w:t xml:space="preserve"> </w:t>
      </w:r>
      <w:r w:rsidR="006A44E2" w:rsidRPr="0074154F">
        <w:rPr>
          <w:rFonts w:ascii="Arial" w:hAnsi="Arial" w:cs="Arial"/>
          <w:sz w:val="20"/>
          <w:szCs w:val="20"/>
        </w:rPr>
        <w:t>es aquella entidad en que la Compañía tiene control. La Compañía posee control sobre otra entidad cuando:</w:t>
      </w:r>
      <w:r w:rsidRPr="0074154F">
        <w:rPr>
          <w:rFonts w:ascii="Arial" w:hAnsi="Arial" w:cs="Arial"/>
          <w:sz w:val="20"/>
          <w:szCs w:val="20"/>
        </w:rPr>
        <w:t xml:space="preserve"> (a) t</w:t>
      </w:r>
      <w:r w:rsidR="006A44E2" w:rsidRPr="0074154F">
        <w:rPr>
          <w:rFonts w:ascii="Arial" w:hAnsi="Arial" w:cs="Arial"/>
          <w:sz w:val="20"/>
          <w:szCs w:val="20"/>
        </w:rPr>
        <w:t>iene poder sobre la participada;</w:t>
      </w:r>
      <w:r w:rsidRPr="0074154F">
        <w:rPr>
          <w:rFonts w:ascii="Arial" w:hAnsi="Arial" w:cs="Arial"/>
          <w:sz w:val="20"/>
          <w:szCs w:val="20"/>
        </w:rPr>
        <w:t xml:space="preserve"> (b) e</w:t>
      </w:r>
      <w:r w:rsidR="006A44E2" w:rsidRPr="0074154F">
        <w:rPr>
          <w:rFonts w:ascii="Arial" w:hAnsi="Arial" w:cs="Arial"/>
          <w:sz w:val="20"/>
          <w:szCs w:val="20"/>
        </w:rPr>
        <w:t>stá expuesta a, o tiene derechos sobre, rendimientos variables procedentes de su implicación</w:t>
      </w:r>
      <w:r w:rsidRPr="0074154F">
        <w:rPr>
          <w:rFonts w:ascii="Arial" w:hAnsi="Arial" w:cs="Arial"/>
          <w:sz w:val="20"/>
          <w:szCs w:val="20"/>
        </w:rPr>
        <w:t xml:space="preserve"> </w:t>
      </w:r>
      <w:r w:rsidR="006A44E2" w:rsidRPr="0074154F">
        <w:rPr>
          <w:rFonts w:ascii="Arial" w:hAnsi="Arial" w:cs="Arial"/>
          <w:sz w:val="20"/>
          <w:szCs w:val="20"/>
        </w:rPr>
        <w:t>en la participada</w:t>
      </w:r>
      <w:r w:rsidRPr="0074154F">
        <w:rPr>
          <w:rFonts w:ascii="Arial" w:hAnsi="Arial" w:cs="Arial"/>
          <w:sz w:val="20"/>
          <w:szCs w:val="20"/>
        </w:rPr>
        <w:t xml:space="preserve">; </w:t>
      </w:r>
      <w:r w:rsidR="006A44E2" w:rsidRPr="0074154F">
        <w:rPr>
          <w:rFonts w:ascii="Arial" w:hAnsi="Arial" w:cs="Arial"/>
          <w:sz w:val="20"/>
          <w:szCs w:val="20"/>
        </w:rPr>
        <w:t>y</w:t>
      </w:r>
      <w:r w:rsidRPr="0074154F">
        <w:rPr>
          <w:rFonts w:ascii="Arial" w:hAnsi="Arial" w:cs="Arial"/>
          <w:sz w:val="20"/>
          <w:szCs w:val="20"/>
        </w:rPr>
        <w:t xml:space="preserve"> (c) t</w:t>
      </w:r>
      <w:r w:rsidR="006A44E2" w:rsidRPr="0074154F">
        <w:rPr>
          <w:rFonts w:ascii="Arial" w:hAnsi="Arial" w:cs="Arial"/>
          <w:sz w:val="20"/>
          <w:szCs w:val="20"/>
        </w:rPr>
        <w:t>iene la capacidad de usar su poder sobre la participada para afectar a sus rendimientos</w:t>
      </w:r>
      <w:r w:rsidR="00A06C44" w:rsidRPr="0074154F">
        <w:rPr>
          <w:rFonts w:ascii="Arial" w:hAnsi="Arial" w:cs="Arial"/>
          <w:sz w:val="20"/>
          <w:szCs w:val="20"/>
        </w:rPr>
        <w:t>.</w:t>
      </w:r>
    </w:p>
    <w:p w14:paraId="36ABEB5E" w14:textId="0F48C74E" w:rsidR="00265B2D" w:rsidRPr="00265B2D" w:rsidRDefault="00265B2D" w:rsidP="000A2624">
      <w:pPr>
        <w:pStyle w:val="ListParagraph"/>
        <w:widowControl w:val="0"/>
        <w:spacing w:after="0" w:line="240" w:lineRule="auto"/>
        <w:ind w:left="1134" w:right="-1"/>
        <w:jc w:val="both"/>
        <w:rPr>
          <w:rFonts w:ascii="Arial" w:eastAsia="Arial Unicode MS" w:hAnsi="Arial" w:cs="Arial"/>
          <w:bCs/>
          <w:sz w:val="18"/>
          <w:szCs w:val="18"/>
          <w:lang w:val="es-ES" w:eastAsia="es-ES" w:bidi="es-ES"/>
        </w:rPr>
      </w:pPr>
      <w:proofErr w:type="gramStart"/>
      <w:r w:rsidRPr="00265B2D">
        <w:rPr>
          <w:rFonts w:ascii="Arial" w:hAnsi="Arial" w:cs="Arial"/>
          <w:b/>
          <w:bCs/>
          <w:i/>
          <w:iCs/>
          <w:sz w:val="20"/>
          <w:szCs w:val="20"/>
          <w:u w:val="single"/>
        </w:rPr>
        <w:t>Asociada</w:t>
      </w:r>
      <w:r w:rsidRPr="00265B2D">
        <w:rPr>
          <w:rFonts w:ascii="Arial" w:hAnsi="Arial" w:cs="Arial"/>
          <w:sz w:val="20"/>
          <w:szCs w:val="20"/>
        </w:rPr>
        <w:t>.-</w:t>
      </w:r>
      <w:proofErr w:type="gramEnd"/>
      <w:r w:rsidRPr="00265B2D">
        <w:rPr>
          <w:rFonts w:ascii="Arial" w:hAnsi="Arial" w:cs="Arial"/>
          <w:sz w:val="20"/>
          <w:szCs w:val="20"/>
        </w:rPr>
        <w:t xml:space="preserve"> Es una entidad sobre la que la Compañía posee influencia significativa. Influencia significativa es el poder de intervenir en las decisiones de política financiera y de operación de la participada, sin llegar a tener el control ni el control conjunto de ésta.</w:t>
      </w:r>
    </w:p>
    <w:p w14:paraId="235D2129" w14:textId="77777777" w:rsidR="00265B2D" w:rsidRDefault="00265B2D" w:rsidP="000A2624">
      <w:pPr>
        <w:pStyle w:val="ListParagraph"/>
        <w:widowControl w:val="0"/>
        <w:spacing w:after="0" w:line="240" w:lineRule="auto"/>
        <w:ind w:left="1134" w:right="-1"/>
        <w:jc w:val="both"/>
        <w:rPr>
          <w:rFonts w:ascii="Arial" w:eastAsia="Arial Unicode MS" w:hAnsi="Arial" w:cs="Arial"/>
          <w:bCs/>
          <w:sz w:val="20"/>
          <w:szCs w:val="20"/>
          <w:lang w:val="es-ES" w:eastAsia="es-ES" w:bidi="es-ES"/>
        </w:rPr>
      </w:pPr>
    </w:p>
    <w:p w14:paraId="77202E32" w14:textId="58AE6D82" w:rsidR="002745AD" w:rsidRPr="0074154F" w:rsidRDefault="00256C74" w:rsidP="000A2624">
      <w:pPr>
        <w:pStyle w:val="ListParagraph"/>
        <w:widowControl w:val="0"/>
        <w:spacing w:after="0" w:line="240" w:lineRule="auto"/>
        <w:ind w:left="1134" w:right="-1"/>
        <w:jc w:val="both"/>
        <w:rPr>
          <w:rFonts w:ascii="Arial" w:eastAsia="Arial Unicode MS" w:hAnsi="Arial" w:cs="Arial"/>
          <w:bCs/>
          <w:sz w:val="20"/>
          <w:szCs w:val="20"/>
          <w:lang w:val="es-ES" w:eastAsia="es-ES" w:bidi="es-ES"/>
        </w:rPr>
      </w:pPr>
      <w:r>
        <w:rPr>
          <w:rFonts w:ascii="Arial" w:eastAsia="Arial Unicode MS" w:hAnsi="Arial" w:cs="Arial"/>
          <w:bCs/>
          <w:sz w:val="20"/>
          <w:szCs w:val="20"/>
          <w:lang w:val="es-ES" w:eastAsia="es-ES" w:bidi="es-ES"/>
        </w:rPr>
        <w:t>La Compañía y su relacionada</w:t>
      </w:r>
      <w:r w:rsidR="00CF44F0" w:rsidRPr="0074154F">
        <w:rPr>
          <w:rFonts w:ascii="Arial" w:eastAsia="Arial Unicode MS" w:hAnsi="Arial" w:cs="Arial"/>
          <w:bCs/>
          <w:sz w:val="20"/>
          <w:szCs w:val="20"/>
          <w:lang w:val="es-ES" w:eastAsia="es-ES" w:bidi="es-ES"/>
        </w:rPr>
        <w:t xml:space="preserve"> mide sus inversiones en asociadas al costo. Los dividendos precedentes de una subsidiaria o asociada se reconocen en los resultados del año cuando surja derecho a recibirlo.</w:t>
      </w:r>
    </w:p>
    <w:p w14:paraId="75CD9C62" w14:textId="0960E6DA" w:rsidR="00CF44F0" w:rsidRPr="0074154F" w:rsidRDefault="00CF44F0" w:rsidP="00413455">
      <w:pPr>
        <w:pStyle w:val="ListParagraph"/>
        <w:widowControl w:val="0"/>
        <w:spacing w:after="0" w:line="240" w:lineRule="auto"/>
        <w:ind w:left="1134" w:right="-1"/>
        <w:jc w:val="both"/>
        <w:rPr>
          <w:rFonts w:ascii="Arial" w:eastAsia="Arial Unicode MS" w:hAnsi="Arial" w:cs="Arial"/>
          <w:bCs/>
          <w:sz w:val="20"/>
          <w:szCs w:val="20"/>
          <w:lang w:val="es-ES" w:eastAsia="es-ES" w:bidi="es-ES"/>
        </w:rPr>
      </w:pPr>
    </w:p>
    <w:p w14:paraId="165745D7" w14:textId="0C0F6FEB" w:rsidR="00531E7A" w:rsidRPr="0074154F" w:rsidRDefault="0064333C" w:rsidP="00531E7A">
      <w:pPr>
        <w:pStyle w:val="ListParagraph"/>
        <w:numPr>
          <w:ilvl w:val="1"/>
          <w:numId w:val="3"/>
        </w:numPr>
        <w:tabs>
          <w:tab w:val="left" w:pos="1134"/>
          <w:tab w:val="left" w:pos="6989"/>
        </w:tabs>
        <w:spacing w:after="0" w:line="240" w:lineRule="auto"/>
        <w:ind w:left="1134" w:hanging="567"/>
        <w:jc w:val="both"/>
        <w:rPr>
          <w:rFonts w:ascii="Arial" w:hAnsi="Arial" w:cs="Arial"/>
          <w:sz w:val="20"/>
          <w:szCs w:val="20"/>
        </w:rPr>
      </w:pPr>
      <w:r w:rsidRPr="0074154F">
        <w:rPr>
          <w:rFonts w:ascii="Arial" w:hAnsi="Arial" w:cs="Arial"/>
          <w:b/>
          <w:bCs/>
          <w:sz w:val="20"/>
          <w:szCs w:val="20"/>
          <w:u w:val="single"/>
        </w:rPr>
        <w:t>Inversiones en derechos fiduciarios</w:t>
      </w:r>
    </w:p>
    <w:p w14:paraId="1A1742EE" w14:textId="77777777" w:rsidR="00531E7A" w:rsidRPr="0074154F" w:rsidRDefault="00531E7A" w:rsidP="00531E7A">
      <w:pPr>
        <w:pStyle w:val="ListParagraph"/>
        <w:tabs>
          <w:tab w:val="left" w:pos="1134"/>
          <w:tab w:val="left" w:pos="6989"/>
        </w:tabs>
        <w:spacing w:after="0" w:line="240" w:lineRule="auto"/>
        <w:ind w:left="1134"/>
        <w:jc w:val="both"/>
        <w:rPr>
          <w:rFonts w:ascii="Arial" w:hAnsi="Arial" w:cs="Arial"/>
          <w:sz w:val="20"/>
          <w:szCs w:val="20"/>
        </w:rPr>
      </w:pPr>
    </w:p>
    <w:p w14:paraId="1A78292C" w14:textId="6D00128C" w:rsidR="00DF7B9C" w:rsidRPr="0074154F" w:rsidRDefault="0064333C" w:rsidP="009B6FBE">
      <w:pPr>
        <w:pStyle w:val="ListParagraph"/>
        <w:widowControl w:val="0"/>
        <w:spacing w:after="0" w:line="240" w:lineRule="auto"/>
        <w:ind w:left="1134" w:right="-1"/>
        <w:jc w:val="both"/>
        <w:rPr>
          <w:rFonts w:ascii="Arial" w:eastAsia="Arial Unicode MS" w:hAnsi="Arial" w:cs="Arial"/>
          <w:bCs/>
          <w:sz w:val="20"/>
          <w:szCs w:val="20"/>
          <w:lang w:val="es-ES" w:eastAsia="es-ES" w:bidi="es-ES"/>
        </w:rPr>
      </w:pPr>
      <w:r w:rsidRPr="0074154F">
        <w:rPr>
          <w:rFonts w:ascii="Arial" w:eastAsia="Arial Unicode MS" w:hAnsi="Arial" w:cs="Arial"/>
          <w:bCs/>
          <w:sz w:val="20"/>
          <w:szCs w:val="20"/>
          <w:lang w:val="es-ES" w:eastAsia="es-ES" w:bidi="es-ES"/>
        </w:rPr>
        <w:t xml:space="preserve">Corresponden a </w:t>
      </w:r>
      <w:r w:rsidR="000A2624" w:rsidRPr="0074154F">
        <w:rPr>
          <w:rFonts w:ascii="Arial" w:eastAsia="Arial Unicode MS" w:hAnsi="Arial" w:cs="Arial"/>
          <w:bCs/>
          <w:sz w:val="20"/>
          <w:szCs w:val="20"/>
          <w:lang w:val="es-ES" w:eastAsia="es-ES" w:bidi="es-ES"/>
        </w:rPr>
        <w:t xml:space="preserve">los aportes </w:t>
      </w:r>
      <w:r w:rsidRPr="0074154F">
        <w:rPr>
          <w:rFonts w:ascii="Arial" w:eastAsia="Arial Unicode MS" w:hAnsi="Arial" w:cs="Arial"/>
          <w:bCs/>
          <w:sz w:val="20"/>
          <w:szCs w:val="20"/>
          <w:lang w:val="es-ES" w:eastAsia="es-ES" w:bidi="es-ES"/>
        </w:rPr>
        <w:t xml:space="preserve">entregados </w:t>
      </w:r>
      <w:r w:rsidR="006C7CE7" w:rsidRPr="0074154F">
        <w:rPr>
          <w:rFonts w:ascii="Arial" w:eastAsia="Arial Unicode MS" w:hAnsi="Arial" w:cs="Arial"/>
          <w:bCs/>
          <w:sz w:val="20"/>
          <w:szCs w:val="20"/>
          <w:lang w:val="es-ES" w:eastAsia="es-ES" w:bidi="es-ES"/>
        </w:rPr>
        <w:t>a cuatros</w:t>
      </w:r>
      <w:r w:rsidRPr="0074154F">
        <w:rPr>
          <w:rFonts w:ascii="Arial" w:eastAsia="Arial Unicode MS" w:hAnsi="Arial" w:cs="Arial"/>
          <w:bCs/>
          <w:sz w:val="20"/>
          <w:szCs w:val="20"/>
          <w:lang w:val="es-ES" w:eastAsia="es-ES" w:bidi="es-ES"/>
        </w:rPr>
        <w:t xml:space="preserve"> fideicomiso</w:t>
      </w:r>
      <w:r w:rsidR="000A2624" w:rsidRPr="0074154F">
        <w:rPr>
          <w:rFonts w:ascii="Arial" w:eastAsia="Arial Unicode MS" w:hAnsi="Arial" w:cs="Arial"/>
          <w:bCs/>
          <w:sz w:val="20"/>
          <w:szCs w:val="20"/>
          <w:lang w:val="es-ES" w:eastAsia="es-ES" w:bidi="es-ES"/>
        </w:rPr>
        <w:t>s c</w:t>
      </w:r>
      <w:r w:rsidRPr="0074154F">
        <w:rPr>
          <w:rFonts w:ascii="Arial" w:eastAsia="Arial Unicode MS" w:hAnsi="Arial" w:cs="Arial"/>
          <w:bCs/>
          <w:sz w:val="20"/>
          <w:szCs w:val="20"/>
          <w:lang w:val="es-ES" w:eastAsia="es-ES" w:bidi="es-ES"/>
        </w:rPr>
        <w:t>onstituido</w:t>
      </w:r>
      <w:r w:rsidR="000A2624" w:rsidRPr="0074154F">
        <w:rPr>
          <w:rFonts w:ascii="Arial" w:eastAsia="Arial Unicode MS" w:hAnsi="Arial" w:cs="Arial"/>
          <w:bCs/>
          <w:sz w:val="20"/>
          <w:szCs w:val="20"/>
          <w:lang w:val="es-ES" w:eastAsia="es-ES" w:bidi="es-ES"/>
        </w:rPr>
        <w:t>s</w:t>
      </w:r>
      <w:r w:rsidRPr="0074154F">
        <w:rPr>
          <w:rFonts w:ascii="Arial" w:eastAsia="Arial Unicode MS" w:hAnsi="Arial" w:cs="Arial"/>
          <w:bCs/>
          <w:sz w:val="20"/>
          <w:szCs w:val="20"/>
          <w:lang w:val="es-ES" w:eastAsia="es-ES" w:bidi="es-ES"/>
        </w:rPr>
        <w:t xml:space="preserve"> con la finalidad de desarrollar proyecto</w:t>
      </w:r>
      <w:r w:rsidR="000A2624" w:rsidRPr="0074154F">
        <w:rPr>
          <w:rFonts w:ascii="Arial" w:eastAsia="Arial Unicode MS" w:hAnsi="Arial" w:cs="Arial"/>
          <w:bCs/>
          <w:sz w:val="20"/>
          <w:szCs w:val="20"/>
          <w:lang w:val="es-ES" w:eastAsia="es-ES" w:bidi="es-ES"/>
        </w:rPr>
        <w:t>s</w:t>
      </w:r>
      <w:r w:rsidRPr="0074154F">
        <w:rPr>
          <w:rFonts w:ascii="Arial" w:eastAsia="Arial Unicode MS" w:hAnsi="Arial" w:cs="Arial"/>
          <w:bCs/>
          <w:sz w:val="20"/>
          <w:szCs w:val="20"/>
          <w:lang w:val="es-ES" w:eastAsia="es-ES" w:bidi="es-ES"/>
        </w:rPr>
        <w:t xml:space="preserve"> inmobiliario</w:t>
      </w:r>
      <w:r w:rsidR="000A2624" w:rsidRPr="0074154F">
        <w:rPr>
          <w:rFonts w:ascii="Arial" w:eastAsia="Arial Unicode MS" w:hAnsi="Arial" w:cs="Arial"/>
          <w:bCs/>
          <w:sz w:val="20"/>
          <w:szCs w:val="20"/>
          <w:lang w:val="es-ES" w:eastAsia="es-ES" w:bidi="es-ES"/>
        </w:rPr>
        <w:t>s</w:t>
      </w:r>
      <w:r w:rsidRPr="0074154F">
        <w:rPr>
          <w:rFonts w:ascii="Arial" w:eastAsia="Arial Unicode MS" w:hAnsi="Arial" w:cs="Arial"/>
          <w:bCs/>
          <w:sz w:val="20"/>
          <w:szCs w:val="20"/>
          <w:lang w:val="es-ES" w:eastAsia="es-ES" w:bidi="es-ES"/>
        </w:rPr>
        <w:t xml:space="preserve"> en conjunto con otros beneficiarios</w:t>
      </w:r>
      <w:r w:rsidR="000A2624" w:rsidRPr="0074154F">
        <w:rPr>
          <w:rFonts w:ascii="Arial" w:eastAsia="Arial Unicode MS" w:hAnsi="Arial" w:cs="Arial"/>
          <w:bCs/>
          <w:sz w:val="20"/>
          <w:szCs w:val="20"/>
          <w:lang w:val="es-ES" w:eastAsia="es-ES" w:bidi="es-ES"/>
        </w:rPr>
        <w:t xml:space="preserve"> los cuales son </w:t>
      </w:r>
      <w:r w:rsidRPr="0074154F">
        <w:rPr>
          <w:rFonts w:ascii="Arial" w:eastAsia="Arial Unicode MS" w:hAnsi="Arial" w:cs="Arial"/>
          <w:bCs/>
          <w:sz w:val="20"/>
          <w:szCs w:val="20"/>
          <w:lang w:val="es-ES" w:eastAsia="es-ES" w:bidi="es-ES"/>
        </w:rPr>
        <w:t>medidos al costo por medio de desembolsos efectuados</w:t>
      </w:r>
      <w:r w:rsidR="000A2624" w:rsidRPr="0074154F">
        <w:rPr>
          <w:rFonts w:ascii="Arial" w:eastAsia="Arial Unicode MS" w:hAnsi="Arial" w:cs="Arial"/>
          <w:bCs/>
          <w:sz w:val="20"/>
          <w:szCs w:val="20"/>
          <w:lang w:val="es-ES" w:eastAsia="es-ES" w:bidi="es-ES"/>
        </w:rPr>
        <w:t xml:space="preserve"> menos los deterioros registrados en los estados financieros </w:t>
      </w:r>
      <w:r w:rsidR="0070026E" w:rsidRPr="0074154F">
        <w:rPr>
          <w:rFonts w:ascii="Arial" w:eastAsia="Arial Unicode MS" w:hAnsi="Arial" w:cs="Arial"/>
          <w:bCs/>
          <w:sz w:val="20"/>
          <w:szCs w:val="20"/>
          <w:lang w:val="es-ES" w:eastAsia="es-ES" w:bidi="es-ES"/>
        </w:rPr>
        <w:t>consolidados</w:t>
      </w:r>
      <w:r w:rsidR="000A2624" w:rsidRPr="0074154F">
        <w:rPr>
          <w:rFonts w:ascii="Arial" w:eastAsia="Arial Unicode MS" w:hAnsi="Arial" w:cs="Arial"/>
          <w:bCs/>
          <w:sz w:val="20"/>
          <w:szCs w:val="20"/>
          <w:lang w:val="es-ES" w:eastAsia="es-ES" w:bidi="es-ES"/>
        </w:rPr>
        <w:t xml:space="preserve"> sobre la base de medición de la estructura patrimonial de los referidos fideicomisos. La Compañía </w:t>
      </w:r>
      <w:r w:rsidR="00AA2DD8">
        <w:rPr>
          <w:rFonts w:ascii="Arial" w:eastAsia="Arial Unicode MS" w:hAnsi="Arial" w:cs="Arial"/>
          <w:bCs/>
          <w:sz w:val="20"/>
          <w:szCs w:val="20"/>
          <w:lang w:val="es-ES" w:eastAsia="es-ES" w:bidi="es-ES"/>
        </w:rPr>
        <w:t xml:space="preserve">y su relacionada </w:t>
      </w:r>
      <w:r w:rsidR="000A2624" w:rsidRPr="0074154F">
        <w:rPr>
          <w:rFonts w:ascii="Arial" w:eastAsia="Arial Unicode MS" w:hAnsi="Arial" w:cs="Arial"/>
          <w:bCs/>
          <w:sz w:val="20"/>
          <w:szCs w:val="20"/>
          <w:lang w:val="es-ES" w:eastAsia="es-ES" w:bidi="es-ES"/>
        </w:rPr>
        <w:t>registra los saldos y transacciones que se incurren los fideicomisos sobre la base de la información financiera que provee la Fiduciaria que administra las operaciones financiero-contables y operativas.</w:t>
      </w:r>
    </w:p>
    <w:p w14:paraId="499BACB2" w14:textId="77777777" w:rsidR="006C7CE7" w:rsidRPr="0074154F" w:rsidRDefault="006C7CE7" w:rsidP="006C7CE7">
      <w:pPr>
        <w:pStyle w:val="ListParagraph"/>
        <w:tabs>
          <w:tab w:val="left" w:pos="1134"/>
          <w:tab w:val="left" w:pos="6989"/>
        </w:tabs>
        <w:spacing w:after="0" w:line="240" w:lineRule="auto"/>
        <w:ind w:left="1134"/>
        <w:jc w:val="both"/>
        <w:rPr>
          <w:rFonts w:ascii="Arial" w:hAnsi="Arial" w:cs="Arial"/>
          <w:sz w:val="20"/>
          <w:szCs w:val="20"/>
          <w:lang w:val="es-ES_tradnl"/>
        </w:rPr>
      </w:pPr>
    </w:p>
    <w:p w14:paraId="6A8931D4" w14:textId="36D48882" w:rsidR="00A06C44" w:rsidRPr="0074154F" w:rsidRDefault="00BC06C2" w:rsidP="00A06C44">
      <w:pPr>
        <w:pStyle w:val="ListParagraph"/>
        <w:numPr>
          <w:ilvl w:val="1"/>
          <w:numId w:val="3"/>
        </w:numPr>
        <w:tabs>
          <w:tab w:val="left" w:pos="1134"/>
          <w:tab w:val="left" w:pos="6989"/>
        </w:tabs>
        <w:spacing w:after="0" w:line="240" w:lineRule="auto"/>
        <w:ind w:left="1134" w:hanging="567"/>
        <w:jc w:val="both"/>
        <w:rPr>
          <w:rFonts w:ascii="Arial" w:hAnsi="Arial" w:cs="Arial"/>
          <w:sz w:val="20"/>
          <w:szCs w:val="20"/>
        </w:rPr>
      </w:pPr>
      <w:r w:rsidRPr="0074154F">
        <w:rPr>
          <w:rFonts w:ascii="Arial" w:hAnsi="Arial" w:cs="Arial"/>
          <w:b/>
          <w:bCs/>
          <w:sz w:val="20"/>
          <w:szCs w:val="20"/>
          <w:u w:val="single"/>
          <w:lang w:val="es-ES_tradnl"/>
        </w:rPr>
        <w:t>Activo</w:t>
      </w:r>
      <w:r w:rsidR="009142C7" w:rsidRPr="0074154F">
        <w:rPr>
          <w:rFonts w:ascii="Arial" w:hAnsi="Arial" w:cs="Arial"/>
          <w:b/>
          <w:bCs/>
          <w:sz w:val="20"/>
          <w:szCs w:val="20"/>
          <w:u w:val="single"/>
          <w:lang w:val="es-ES_tradnl"/>
        </w:rPr>
        <w:t>s</w:t>
      </w:r>
      <w:r w:rsidRPr="0074154F">
        <w:rPr>
          <w:rFonts w:ascii="Arial" w:hAnsi="Arial" w:cs="Arial"/>
          <w:b/>
          <w:bCs/>
          <w:sz w:val="20"/>
          <w:szCs w:val="20"/>
          <w:u w:val="single"/>
          <w:lang w:val="es-ES_tradnl"/>
        </w:rPr>
        <w:t xml:space="preserve"> </w:t>
      </w:r>
      <w:r w:rsidRPr="0074154F">
        <w:rPr>
          <w:rFonts w:ascii="Arial" w:hAnsi="Arial" w:cs="Arial"/>
          <w:b/>
          <w:bCs/>
          <w:sz w:val="20"/>
          <w:szCs w:val="20"/>
          <w:u w:val="single"/>
        </w:rPr>
        <w:t>intangibles</w:t>
      </w:r>
      <w:r w:rsidR="00A06C44" w:rsidRPr="0074154F">
        <w:rPr>
          <w:rFonts w:ascii="Arial" w:hAnsi="Arial" w:cs="Arial"/>
          <w:b/>
          <w:bCs/>
          <w:sz w:val="20"/>
          <w:szCs w:val="20"/>
          <w:u w:val="single"/>
        </w:rPr>
        <w:t xml:space="preserve"> </w:t>
      </w:r>
      <w:proofErr w:type="gramStart"/>
      <w:r w:rsidR="00A06C44" w:rsidRPr="0074154F">
        <w:rPr>
          <w:rFonts w:ascii="Arial" w:hAnsi="Arial" w:cs="Arial"/>
          <w:b/>
          <w:bCs/>
          <w:sz w:val="20"/>
          <w:szCs w:val="20"/>
          <w:u w:val="single"/>
        </w:rPr>
        <w:t>adquiridos</w:t>
      </w:r>
      <w:r w:rsidRPr="0074154F">
        <w:rPr>
          <w:rFonts w:ascii="Arial" w:hAnsi="Arial" w:cs="Arial"/>
          <w:b/>
          <w:bCs/>
          <w:sz w:val="20"/>
          <w:szCs w:val="20"/>
          <w:u w:val="single"/>
          <w:lang w:val="es-ES_tradnl"/>
        </w:rPr>
        <w:t>.-</w:t>
      </w:r>
      <w:proofErr w:type="gramEnd"/>
      <w:r w:rsidRPr="0074154F">
        <w:rPr>
          <w:rFonts w:ascii="Arial" w:hAnsi="Arial" w:cs="Arial"/>
          <w:sz w:val="20"/>
          <w:szCs w:val="20"/>
          <w:lang w:val="es-ES_tradnl"/>
        </w:rPr>
        <w:t xml:space="preserve"> </w:t>
      </w:r>
      <w:r w:rsidR="00A06C44" w:rsidRPr="0074154F">
        <w:rPr>
          <w:rFonts w:ascii="Arial" w:hAnsi="Arial" w:cs="Arial"/>
          <w:sz w:val="20"/>
          <w:szCs w:val="20"/>
        </w:rPr>
        <w:t>Los activos intangibles de vida útil definida son registrados al costo menos la amortización acumulada y cualquier pérdida por deterioro acumulada. La amortización se reconoce como se describe en la política de “Propiedades</w:t>
      </w:r>
      <w:r w:rsidR="000A2624" w:rsidRPr="0074154F">
        <w:rPr>
          <w:rFonts w:ascii="Arial" w:hAnsi="Arial" w:cs="Arial"/>
          <w:sz w:val="20"/>
          <w:szCs w:val="20"/>
        </w:rPr>
        <w:t xml:space="preserve"> y equipos</w:t>
      </w:r>
      <w:r w:rsidR="00A06C44" w:rsidRPr="0074154F">
        <w:rPr>
          <w:rFonts w:ascii="Arial" w:hAnsi="Arial" w:cs="Arial"/>
          <w:sz w:val="20"/>
          <w:szCs w:val="20"/>
        </w:rPr>
        <w:t xml:space="preserve">”. Los activos intangibles con vida útil </w:t>
      </w:r>
      <w:r w:rsidR="0010466F" w:rsidRPr="0074154F">
        <w:rPr>
          <w:rFonts w:ascii="Arial" w:hAnsi="Arial" w:cs="Arial"/>
          <w:sz w:val="20"/>
          <w:szCs w:val="20"/>
        </w:rPr>
        <w:t>in</w:t>
      </w:r>
      <w:r w:rsidR="00A06C44" w:rsidRPr="0074154F">
        <w:rPr>
          <w:rFonts w:ascii="Arial" w:hAnsi="Arial" w:cs="Arial"/>
          <w:sz w:val="20"/>
          <w:szCs w:val="20"/>
        </w:rPr>
        <w:t>definida que son adquiridos separadamente se registran al costo menos cualquier pérdida por deterioro acumulada.</w:t>
      </w:r>
    </w:p>
    <w:p w14:paraId="64C95CB3" w14:textId="560DC937" w:rsidR="00A06C44" w:rsidRPr="0074154F" w:rsidRDefault="00A06C44" w:rsidP="00A06C44">
      <w:pPr>
        <w:pStyle w:val="ListParagraph"/>
        <w:tabs>
          <w:tab w:val="left" w:pos="1134"/>
          <w:tab w:val="left" w:pos="6989"/>
        </w:tabs>
        <w:spacing w:after="0" w:line="240" w:lineRule="auto"/>
        <w:ind w:left="1134"/>
        <w:jc w:val="both"/>
        <w:rPr>
          <w:rFonts w:ascii="Arial" w:hAnsi="Arial" w:cs="Arial"/>
          <w:sz w:val="20"/>
          <w:szCs w:val="20"/>
        </w:rPr>
      </w:pPr>
    </w:p>
    <w:p w14:paraId="0F4D7D85" w14:textId="6C2B38B8" w:rsidR="00031199" w:rsidRPr="0074154F" w:rsidRDefault="00031199" w:rsidP="007D1452">
      <w:pPr>
        <w:pStyle w:val="ListParagraph"/>
        <w:numPr>
          <w:ilvl w:val="2"/>
          <w:numId w:val="3"/>
        </w:numPr>
        <w:spacing w:after="0" w:line="240" w:lineRule="auto"/>
        <w:ind w:left="1843" w:hanging="709"/>
        <w:jc w:val="both"/>
        <w:rPr>
          <w:rFonts w:ascii="Arial" w:hAnsi="Arial" w:cs="Arial"/>
          <w:sz w:val="20"/>
          <w:szCs w:val="20"/>
        </w:rPr>
      </w:pPr>
      <w:r w:rsidRPr="0074154F">
        <w:rPr>
          <w:rFonts w:ascii="Arial" w:hAnsi="Arial" w:cs="Arial"/>
          <w:b/>
          <w:bCs/>
          <w:i/>
          <w:iCs/>
          <w:sz w:val="20"/>
          <w:szCs w:val="20"/>
        </w:rPr>
        <w:t xml:space="preserve">Baja de activos </w:t>
      </w:r>
      <w:proofErr w:type="gramStart"/>
      <w:r w:rsidRPr="0074154F">
        <w:rPr>
          <w:rFonts w:ascii="Arial" w:hAnsi="Arial" w:cs="Arial"/>
          <w:b/>
          <w:bCs/>
          <w:i/>
          <w:iCs/>
          <w:sz w:val="20"/>
          <w:szCs w:val="20"/>
        </w:rPr>
        <w:t>intangibles</w:t>
      </w:r>
      <w:r w:rsidR="00E67C08" w:rsidRPr="0074154F">
        <w:rPr>
          <w:rFonts w:ascii="Arial" w:hAnsi="Arial" w:cs="Arial"/>
          <w:b/>
          <w:bCs/>
          <w:i/>
          <w:iCs/>
          <w:sz w:val="20"/>
          <w:szCs w:val="20"/>
        </w:rPr>
        <w:t>.-</w:t>
      </w:r>
      <w:proofErr w:type="gramEnd"/>
      <w:r w:rsidR="00E67C08" w:rsidRPr="0074154F">
        <w:rPr>
          <w:rFonts w:ascii="Arial" w:hAnsi="Arial" w:cs="Arial"/>
          <w:b/>
          <w:bCs/>
          <w:i/>
          <w:iCs/>
          <w:sz w:val="20"/>
          <w:szCs w:val="20"/>
        </w:rPr>
        <w:t xml:space="preserve"> </w:t>
      </w:r>
      <w:r w:rsidRPr="0074154F">
        <w:rPr>
          <w:rFonts w:ascii="Arial" w:hAnsi="Arial" w:cs="Arial"/>
          <w:sz w:val="20"/>
          <w:szCs w:val="20"/>
        </w:rPr>
        <w:t>Un activo intangible se da de baja al momento de su disposición, o cuando no se esperan beneficios económicos futuros de su uso o disposición. Las ganancias o pérdidas que surgen de la baja en libros de un activo intangible, medidas como la diferencia entre los ingresos netos provenientes de la venta y el importe en libros del activo se reconocen en el resultado del período al momento en que el activo es dado de baja.</w:t>
      </w:r>
    </w:p>
    <w:p w14:paraId="188E8F91" w14:textId="4584E8BC" w:rsidR="007D1452" w:rsidRPr="0074154F" w:rsidRDefault="007D1452" w:rsidP="007D1452">
      <w:pPr>
        <w:pStyle w:val="ListParagraph"/>
        <w:spacing w:after="0" w:line="240" w:lineRule="auto"/>
        <w:ind w:left="1843"/>
        <w:jc w:val="both"/>
        <w:rPr>
          <w:rFonts w:ascii="Arial" w:hAnsi="Arial" w:cs="Arial"/>
          <w:sz w:val="20"/>
          <w:szCs w:val="20"/>
        </w:rPr>
      </w:pPr>
    </w:p>
    <w:p w14:paraId="2AAFAA17" w14:textId="23AFB4DD" w:rsidR="00031199" w:rsidRPr="0074154F" w:rsidRDefault="00031199" w:rsidP="007D1452">
      <w:pPr>
        <w:pStyle w:val="ListParagraph"/>
        <w:numPr>
          <w:ilvl w:val="2"/>
          <w:numId w:val="3"/>
        </w:numPr>
        <w:spacing w:after="0" w:line="240" w:lineRule="auto"/>
        <w:ind w:left="1843" w:hanging="709"/>
        <w:jc w:val="both"/>
        <w:rPr>
          <w:rFonts w:ascii="Arial" w:hAnsi="Arial" w:cs="Arial"/>
          <w:sz w:val="20"/>
          <w:szCs w:val="20"/>
        </w:rPr>
      </w:pPr>
      <w:r w:rsidRPr="0074154F">
        <w:rPr>
          <w:rFonts w:ascii="Arial" w:hAnsi="Arial" w:cs="Arial"/>
          <w:b/>
          <w:bCs/>
          <w:i/>
          <w:iCs/>
          <w:sz w:val="20"/>
          <w:szCs w:val="20"/>
        </w:rPr>
        <w:t xml:space="preserve">Método de amortización y vidas </w:t>
      </w:r>
      <w:proofErr w:type="gramStart"/>
      <w:r w:rsidRPr="0074154F">
        <w:rPr>
          <w:rFonts w:ascii="Arial" w:hAnsi="Arial" w:cs="Arial"/>
          <w:b/>
          <w:bCs/>
          <w:i/>
          <w:iCs/>
          <w:sz w:val="20"/>
          <w:szCs w:val="20"/>
        </w:rPr>
        <w:t>útiles</w:t>
      </w:r>
      <w:r w:rsidR="00E67C08" w:rsidRPr="0074154F">
        <w:rPr>
          <w:rFonts w:ascii="Arial" w:hAnsi="Arial" w:cs="Arial"/>
          <w:b/>
          <w:bCs/>
          <w:i/>
          <w:iCs/>
          <w:sz w:val="20"/>
          <w:szCs w:val="20"/>
        </w:rPr>
        <w:t>.-</w:t>
      </w:r>
      <w:proofErr w:type="gramEnd"/>
      <w:r w:rsidR="00E67C08" w:rsidRPr="0074154F">
        <w:rPr>
          <w:rFonts w:ascii="Arial" w:hAnsi="Arial" w:cs="Arial"/>
          <w:b/>
          <w:bCs/>
          <w:i/>
          <w:iCs/>
          <w:sz w:val="20"/>
          <w:szCs w:val="20"/>
        </w:rPr>
        <w:t xml:space="preserve"> </w:t>
      </w:r>
      <w:r w:rsidRPr="0074154F">
        <w:rPr>
          <w:rFonts w:ascii="Arial" w:hAnsi="Arial" w:cs="Arial"/>
          <w:sz w:val="20"/>
          <w:szCs w:val="20"/>
        </w:rPr>
        <w:t>La amortización de los activos intangibles se carga a resultados sobre sus vidas útiles utilizando el método de línea recta. La vida útil estimada, valor residual y método de amortización son revisados al final de cada año, siendo el efecto de cualquier cambio en el estimado registrado sobre una base prospectiva.</w:t>
      </w:r>
    </w:p>
    <w:p w14:paraId="6D496A08" w14:textId="77777777" w:rsidR="007D1452" w:rsidRPr="0074154F" w:rsidRDefault="007D1452" w:rsidP="007D1452">
      <w:pPr>
        <w:spacing w:after="0" w:line="240" w:lineRule="auto"/>
        <w:jc w:val="both"/>
        <w:rPr>
          <w:rFonts w:ascii="Arial" w:hAnsi="Arial" w:cs="Arial"/>
          <w:sz w:val="20"/>
          <w:szCs w:val="20"/>
        </w:rPr>
      </w:pPr>
    </w:p>
    <w:p w14:paraId="7CDB911B" w14:textId="42326182" w:rsidR="00031199" w:rsidRPr="0074154F" w:rsidRDefault="00031199" w:rsidP="00031199">
      <w:pPr>
        <w:autoSpaceDE w:val="0"/>
        <w:autoSpaceDN w:val="0"/>
        <w:ind w:left="1134"/>
        <w:jc w:val="both"/>
        <w:rPr>
          <w:rFonts w:ascii="Arial" w:hAnsi="Arial" w:cs="Arial"/>
          <w:sz w:val="20"/>
          <w:szCs w:val="20"/>
        </w:rPr>
      </w:pPr>
      <w:r w:rsidRPr="0074154F">
        <w:rPr>
          <w:rFonts w:ascii="Arial" w:hAnsi="Arial" w:cs="Arial"/>
          <w:sz w:val="20"/>
          <w:szCs w:val="20"/>
        </w:rPr>
        <w:t>La vida útil de un activo intangible es finita o indefinida. La vida útil de un activo intangible que surja de un derecho contractual o legal de otro tipo no excederá el período de esos derechos, pero puede ser inferior, dependiendo del período a lo largo del cual la entidad espera utilizar el activo. Al 31 de diciembre del 20</w:t>
      </w:r>
      <w:r w:rsidR="0010466F" w:rsidRPr="0074154F">
        <w:rPr>
          <w:rFonts w:ascii="Arial" w:hAnsi="Arial" w:cs="Arial"/>
          <w:sz w:val="20"/>
          <w:szCs w:val="20"/>
        </w:rPr>
        <w:t>20</w:t>
      </w:r>
      <w:r w:rsidRPr="0074154F">
        <w:rPr>
          <w:rFonts w:ascii="Arial" w:hAnsi="Arial" w:cs="Arial"/>
          <w:sz w:val="20"/>
          <w:szCs w:val="20"/>
        </w:rPr>
        <w:t xml:space="preserve">, los activos intangibles con vida útil definida se amortizan a </w:t>
      </w:r>
      <w:r w:rsidR="0010466F" w:rsidRPr="0074154F">
        <w:rPr>
          <w:rFonts w:ascii="Arial" w:hAnsi="Arial" w:cs="Arial"/>
          <w:sz w:val="20"/>
          <w:szCs w:val="20"/>
        </w:rPr>
        <w:t>entre 1 a 15</w:t>
      </w:r>
      <w:r w:rsidRPr="0074154F">
        <w:rPr>
          <w:rFonts w:ascii="Arial" w:hAnsi="Arial" w:cs="Arial"/>
          <w:sz w:val="20"/>
          <w:szCs w:val="20"/>
        </w:rPr>
        <w:t xml:space="preserve"> años.</w:t>
      </w:r>
    </w:p>
    <w:p w14:paraId="4E9FB070" w14:textId="77777777" w:rsidR="0010466F" w:rsidRPr="0074154F" w:rsidRDefault="00031199" w:rsidP="00031199">
      <w:pPr>
        <w:autoSpaceDE w:val="0"/>
        <w:autoSpaceDN w:val="0"/>
        <w:ind w:left="1134"/>
        <w:jc w:val="both"/>
        <w:rPr>
          <w:rFonts w:ascii="Arial" w:hAnsi="Arial" w:cs="Arial"/>
          <w:sz w:val="20"/>
          <w:szCs w:val="20"/>
        </w:rPr>
      </w:pPr>
      <w:r w:rsidRPr="0074154F">
        <w:rPr>
          <w:rFonts w:ascii="Arial" w:hAnsi="Arial" w:cs="Arial"/>
          <w:sz w:val="20"/>
          <w:szCs w:val="20"/>
        </w:rPr>
        <w:t xml:space="preserve">Los activos intangibles de vida útil indefinida no se amortizan, pero se evalúan por deterioro anualmente y cuando exista indicios de que el activo intangible puede estar deteriorado. </w:t>
      </w:r>
    </w:p>
    <w:p w14:paraId="53B4597D" w14:textId="10B22100" w:rsidR="00031199" w:rsidRPr="0074154F" w:rsidRDefault="00031199" w:rsidP="00031199">
      <w:pPr>
        <w:autoSpaceDE w:val="0"/>
        <w:autoSpaceDN w:val="0"/>
        <w:ind w:left="1134"/>
        <w:jc w:val="both"/>
        <w:rPr>
          <w:rFonts w:ascii="Arial" w:hAnsi="Arial" w:cs="Arial"/>
          <w:sz w:val="20"/>
          <w:szCs w:val="20"/>
        </w:rPr>
      </w:pPr>
      <w:r w:rsidRPr="0074154F">
        <w:rPr>
          <w:rFonts w:ascii="Arial" w:hAnsi="Arial" w:cs="Arial"/>
          <w:sz w:val="20"/>
          <w:szCs w:val="20"/>
        </w:rPr>
        <w:lastRenderedPageBreak/>
        <w:t>Se estima que el valor residual de todos los activos intangibles de</w:t>
      </w:r>
      <w:r w:rsidR="006E27B9">
        <w:rPr>
          <w:rFonts w:ascii="Arial" w:hAnsi="Arial" w:cs="Arial"/>
          <w:sz w:val="20"/>
          <w:szCs w:val="20"/>
        </w:rPr>
        <w:t xml:space="preserve"> </w:t>
      </w:r>
      <w:r w:rsidR="00D460E2">
        <w:rPr>
          <w:rFonts w:ascii="Arial" w:hAnsi="Arial" w:cs="Arial"/>
          <w:sz w:val="20"/>
          <w:szCs w:val="20"/>
        </w:rPr>
        <w:t xml:space="preserve">Telconet </w:t>
      </w:r>
      <w:r w:rsidR="006E27B9">
        <w:rPr>
          <w:rFonts w:ascii="Arial" w:hAnsi="Arial" w:cs="Arial"/>
          <w:sz w:val="20"/>
          <w:szCs w:val="20"/>
        </w:rPr>
        <w:t xml:space="preserve">y su </w:t>
      </w:r>
      <w:r w:rsidR="00D460E2">
        <w:rPr>
          <w:rFonts w:ascii="Arial" w:hAnsi="Arial" w:cs="Arial"/>
          <w:sz w:val="20"/>
          <w:szCs w:val="20"/>
        </w:rPr>
        <w:t>Compañía R</w:t>
      </w:r>
      <w:r w:rsidR="006E27B9">
        <w:rPr>
          <w:rFonts w:ascii="Arial" w:hAnsi="Arial" w:cs="Arial"/>
          <w:sz w:val="20"/>
          <w:szCs w:val="20"/>
        </w:rPr>
        <w:t>elacionada</w:t>
      </w:r>
      <w:r w:rsidRPr="0074154F">
        <w:rPr>
          <w:rFonts w:ascii="Arial" w:hAnsi="Arial" w:cs="Arial"/>
          <w:sz w:val="20"/>
          <w:szCs w:val="20"/>
        </w:rPr>
        <w:t xml:space="preserve"> sea igual a cero.</w:t>
      </w:r>
    </w:p>
    <w:p w14:paraId="556E12A5" w14:textId="112CFFC5" w:rsidR="007E72D2" w:rsidRPr="0074154F" w:rsidRDefault="007E72D2" w:rsidP="00413455">
      <w:pPr>
        <w:pStyle w:val="ListParagraph"/>
        <w:numPr>
          <w:ilvl w:val="1"/>
          <w:numId w:val="3"/>
        </w:numPr>
        <w:tabs>
          <w:tab w:val="left" w:pos="1134"/>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 xml:space="preserve">Deterioro del valor de los activos </w:t>
      </w:r>
    </w:p>
    <w:p w14:paraId="7ACE1AC8" w14:textId="77777777" w:rsidR="007E72D2" w:rsidRPr="0074154F" w:rsidRDefault="007E72D2" w:rsidP="00413455">
      <w:pPr>
        <w:spacing w:after="0" w:line="240" w:lineRule="auto"/>
        <w:ind w:left="993"/>
        <w:jc w:val="both"/>
        <w:rPr>
          <w:rFonts w:ascii="Arial" w:hAnsi="Arial" w:cs="Arial"/>
          <w:color w:val="000000"/>
          <w:sz w:val="20"/>
          <w:szCs w:val="20"/>
        </w:rPr>
      </w:pPr>
    </w:p>
    <w:p w14:paraId="51C13F18" w14:textId="106B9C87" w:rsidR="00E67C08" w:rsidRPr="0074154F" w:rsidRDefault="007E72D2" w:rsidP="00413455">
      <w:pPr>
        <w:pStyle w:val="ListParagraph"/>
        <w:tabs>
          <w:tab w:val="left" w:pos="1276"/>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Al final de cada período sobre el cual se informa, </w:t>
      </w:r>
      <w:r w:rsidR="006E27B9">
        <w:rPr>
          <w:rFonts w:ascii="Arial" w:hAnsi="Arial" w:cs="Arial"/>
          <w:sz w:val="20"/>
          <w:szCs w:val="20"/>
        </w:rPr>
        <w:t xml:space="preserve">la Compañía y su </w:t>
      </w:r>
      <w:r w:rsidR="00EC4CD9">
        <w:rPr>
          <w:rFonts w:ascii="Arial" w:hAnsi="Arial" w:cs="Arial"/>
          <w:sz w:val="20"/>
          <w:szCs w:val="20"/>
        </w:rPr>
        <w:t>R</w:t>
      </w:r>
      <w:r w:rsidR="006E27B9">
        <w:rPr>
          <w:rFonts w:ascii="Arial" w:hAnsi="Arial" w:cs="Arial"/>
          <w:sz w:val="20"/>
          <w:szCs w:val="20"/>
        </w:rPr>
        <w:t>elacionada</w:t>
      </w:r>
      <w:r w:rsidRPr="0074154F">
        <w:rPr>
          <w:rFonts w:ascii="Arial" w:hAnsi="Arial" w:cs="Arial"/>
          <w:sz w:val="20"/>
          <w:szCs w:val="20"/>
        </w:rPr>
        <w:t xml:space="preserve"> evalúa los importes en libros de sus activos</w:t>
      </w:r>
      <w:r w:rsidR="006C7CE7" w:rsidRPr="0074154F">
        <w:rPr>
          <w:rFonts w:ascii="Arial" w:hAnsi="Arial" w:cs="Arial"/>
          <w:sz w:val="20"/>
          <w:szCs w:val="20"/>
        </w:rPr>
        <w:t xml:space="preserve"> por deterioro de otras cuentas por cobrar, </w:t>
      </w:r>
      <w:r w:rsidR="00AC53A1" w:rsidRPr="0074154F">
        <w:rPr>
          <w:rFonts w:ascii="Arial" w:hAnsi="Arial" w:cs="Arial"/>
          <w:sz w:val="20"/>
          <w:szCs w:val="20"/>
        </w:rPr>
        <w:t>cuentas</w:t>
      </w:r>
      <w:r w:rsidR="006C7CE7" w:rsidRPr="0074154F">
        <w:rPr>
          <w:rFonts w:ascii="Arial" w:hAnsi="Arial" w:cs="Arial"/>
          <w:sz w:val="20"/>
          <w:szCs w:val="20"/>
        </w:rPr>
        <w:t xml:space="preserve"> incobrables, otras cuentas </w:t>
      </w:r>
      <w:r w:rsidR="00AC53A1" w:rsidRPr="0074154F">
        <w:rPr>
          <w:rFonts w:ascii="Arial" w:hAnsi="Arial" w:cs="Arial"/>
          <w:sz w:val="20"/>
          <w:szCs w:val="20"/>
        </w:rPr>
        <w:t xml:space="preserve">por cobrar </w:t>
      </w:r>
      <w:r w:rsidR="006C7CE7" w:rsidRPr="0074154F">
        <w:rPr>
          <w:rFonts w:ascii="Arial" w:hAnsi="Arial" w:cs="Arial"/>
          <w:sz w:val="20"/>
          <w:szCs w:val="20"/>
        </w:rPr>
        <w:t>diversas,</w:t>
      </w:r>
      <w:r w:rsidR="00AC53A1" w:rsidRPr="0074154F">
        <w:rPr>
          <w:rFonts w:ascii="Arial" w:hAnsi="Arial" w:cs="Arial"/>
          <w:sz w:val="20"/>
          <w:szCs w:val="20"/>
        </w:rPr>
        <w:t xml:space="preserve"> </w:t>
      </w:r>
      <w:r w:rsidR="006C7CE7" w:rsidRPr="0074154F">
        <w:rPr>
          <w:rFonts w:ascii="Arial" w:hAnsi="Arial" w:cs="Arial"/>
          <w:sz w:val="20"/>
          <w:szCs w:val="20"/>
        </w:rPr>
        <w:t>anticipos a proveedores,</w:t>
      </w:r>
      <w:r w:rsidRPr="0074154F">
        <w:rPr>
          <w:rFonts w:ascii="Arial" w:hAnsi="Arial" w:cs="Arial"/>
          <w:sz w:val="20"/>
          <w:szCs w:val="20"/>
        </w:rPr>
        <w:t xml:space="preserve"> </w:t>
      </w:r>
      <w:r w:rsidR="00AC53A1" w:rsidRPr="0074154F">
        <w:rPr>
          <w:rFonts w:ascii="Arial" w:hAnsi="Arial" w:cs="Arial"/>
          <w:sz w:val="20"/>
          <w:szCs w:val="20"/>
        </w:rPr>
        <w:t>i</w:t>
      </w:r>
      <w:r w:rsidR="006C7CE7" w:rsidRPr="0074154F">
        <w:rPr>
          <w:rFonts w:ascii="Arial" w:hAnsi="Arial" w:cs="Arial"/>
          <w:sz w:val="20"/>
          <w:szCs w:val="20"/>
        </w:rPr>
        <w:t xml:space="preserve">nversiones en acciones, </w:t>
      </w:r>
      <w:r w:rsidRPr="0074154F">
        <w:rPr>
          <w:rFonts w:ascii="Arial" w:hAnsi="Arial" w:cs="Arial"/>
          <w:sz w:val="20"/>
          <w:szCs w:val="20"/>
        </w:rPr>
        <w:t xml:space="preserve">tangibles e intangibles a fin de determinar si existe un indicativo que estos activos han sufrido alguna pérdida por deterioro de valor. En tal caso, se calcula el importe recuperable del activo a fin de determinar el alcance de la pérdida por deterioro de valor (de haber alguna). </w:t>
      </w:r>
    </w:p>
    <w:p w14:paraId="2B1E058D" w14:textId="77777777" w:rsidR="00E67C08" w:rsidRPr="0074154F" w:rsidRDefault="00E67C08" w:rsidP="00EB1B57">
      <w:pPr>
        <w:tabs>
          <w:tab w:val="left" w:pos="1276"/>
          <w:tab w:val="left" w:pos="6989"/>
        </w:tabs>
        <w:spacing w:after="0" w:line="240" w:lineRule="auto"/>
        <w:jc w:val="both"/>
        <w:rPr>
          <w:rFonts w:ascii="Arial" w:hAnsi="Arial" w:cs="Arial"/>
          <w:sz w:val="20"/>
          <w:szCs w:val="20"/>
        </w:rPr>
      </w:pPr>
    </w:p>
    <w:p w14:paraId="409D6D97" w14:textId="0BAC6DB8" w:rsidR="006C7CE7" w:rsidRPr="0074154F" w:rsidRDefault="007E72D2" w:rsidP="00413455">
      <w:pPr>
        <w:pStyle w:val="ListParagraph"/>
        <w:tabs>
          <w:tab w:val="left" w:pos="1276"/>
          <w:tab w:val="left" w:pos="6989"/>
        </w:tabs>
        <w:spacing w:after="0" w:line="240" w:lineRule="auto"/>
        <w:ind w:left="1134"/>
        <w:jc w:val="both"/>
        <w:rPr>
          <w:rFonts w:ascii="Arial" w:hAnsi="Arial" w:cs="Arial"/>
          <w:sz w:val="20"/>
          <w:szCs w:val="20"/>
        </w:rPr>
      </w:pPr>
      <w:r w:rsidRPr="0074154F">
        <w:rPr>
          <w:rFonts w:ascii="Arial" w:hAnsi="Arial" w:cs="Arial"/>
          <w:sz w:val="20"/>
          <w:szCs w:val="20"/>
        </w:rPr>
        <w:t>Las pérdidas y reversiones por deterioro se reconocen inmediatamente en resultados</w:t>
      </w:r>
      <w:r w:rsidR="00BC6CD2" w:rsidRPr="0074154F">
        <w:rPr>
          <w:rFonts w:ascii="Arial" w:hAnsi="Arial" w:cs="Arial"/>
          <w:sz w:val="20"/>
          <w:szCs w:val="20"/>
        </w:rPr>
        <w:t xml:space="preserve"> del año.</w:t>
      </w:r>
      <w:r w:rsidRPr="0074154F">
        <w:rPr>
          <w:rFonts w:ascii="Arial" w:hAnsi="Arial" w:cs="Arial"/>
          <w:sz w:val="20"/>
          <w:szCs w:val="20"/>
        </w:rPr>
        <w:t xml:space="preserve"> </w:t>
      </w:r>
      <w:r w:rsidR="005E4245" w:rsidRPr="0074154F">
        <w:rPr>
          <w:rFonts w:ascii="Arial" w:hAnsi="Arial" w:cs="Arial"/>
          <w:sz w:val="20"/>
          <w:szCs w:val="20"/>
        </w:rPr>
        <w:t>Durante el año 20</w:t>
      </w:r>
      <w:r w:rsidR="00E06117" w:rsidRPr="0074154F">
        <w:rPr>
          <w:rFonts w:ascii="Arial" w:hAnsi="Arial" w:cs="Arial"/>
          <w:sz w:val="20"/>
          <w:szCs w:val="20"/>
        </w:rPr>
        <w:t>20</w:t>
      </w:r>
      <w:r w:rsidRPr="0074154F">
        <w:rPr>
          <w:rFonts w:ascii="Arial" w:hAnsi="Arial" w:cs="Arial"/>
          <w:sz w:val="20"/>
          <w:szCs w:val="20"/>
        </w:rPr>
        <w:t xml:space="preserve">, no se determinaron ajustes </w:t>
      </w:r>
      <w:r w:rsidR="00D437F2" w:rsidRPr="0074154F">
        <w:rPr>
          <w:rFonts w:ascii="Arial" w:hAnsi="Arial" w:cs="Arial"/>
          <w:sz w:val="20"/>
          <w:szCs w:val="20"/>
        </w:rPr>
        <w:t xml:space="preserve">materiales </w:t>
      </w:r>
      <w:r w:rsidRPr="0074154F">
        <w:rPr>
          <w:rFonts w:ascii="Arial" w:hAnsi="Arial" w:cs="Arial"/>
          <w:sz w:val="20"/>
          <w:szCs w:val="20"/>
        </w:rPr>
        <w:t>por deterioro de los activos</w:t>
      </w:r>
      <w:r w:rsidR="006C7CE7" w:rsidRPr="0074154F">
        <w:rPr>
          <w:rFonts w:ascii="Arial" w:hAnsi="Arial" w:cs="Arial"/>
          <w:sz w:val="20"/>
          <w:szCs w:val="20"/>
        </w:rPr>
        <w:t xml:space="preserve"> de otras cuentas por cobrar, </w:t>
      </w:r>
      <w:r w:rsidR="00AC53A1" w:rsidRPr="0074154F">
        <w:rPr>
          <w:rFonts w:ascii="Arial" w:hAnsi="Arial" w:cs="Arial"/>
          <w:sz w:val="20"/>
          <w:szCs w:val="20"/>
        </w:rPr>
        <w:t xml:space="preserve">anticipos a proveedores, </w:t>
      </w:r>
      <w:r w:rsidR="006C7CE7" w:rsidRPr="0074154F">
        <w:rPr>
          <w:rFonts w:ascii="Arial" w:hAnsi="Arial" w:cs="Arial"/>
          <w:sz w:val="20"/>
          <w:szCs w:val="20"/>
        </w:rPr>
        <w:t>i</w:t>
      </w:r>
      <w:r w:rsidR="00AC53A1" w:rsidRPr="0074154F">
        <w:rPr>
          <w:rFonts w:ascii="Arial" w:hAnsi="Arial" w:cs="Arial"/>
          <w:sz w:val="20"/>
          <w:szCs w:val="20"/>
        </w:rPr>
        <w:t>nversiones en acciones,</w:t>
      </w:r>
      <w:r w:rsidRPr="0074154F">
        <w:rPr>
          <w:rFonts w:ascii="Arial" w:hAnsi="Arial" w:cs="Arial"/>
          <w:sz w:val="20"/>
          <w:szCs w:val="20"/>
        </w:rPr>
        <w:t xml:space="preserve"> tangibles y/o intangibles, que deban ser registrados en los estados </w:t>
      </w:r>
      <w:r w:rsidR="00AE2759" w:rsidRPr="0074154F">
        <w:rPr>
          <w:rFonts w:ascii="Arial" w:hAnsi="Arial" w:cs="Arial"/>
          <w:sz w:val="20"/>
          <w:szCs w:val="20"/>
        </w:rPr>
        <w:t xml:space="preserve">financieros </w:t>
      </w:r>
      <w:r w:rsidR="002140FB" w:rsidRPr="0074154F">
        <w:rPr>
          <w:rFonts w:ascii="Arial" w:hAnsi="Arial" w:cs="Arial"/>
          <w:sz w:val="20"/>
          <w:szCs w:val="20"/>
        </w:rPr>
        <w:t>de la Compañía</w:t>
      </w:r>
      <w:r w:rsidR="004B7D17">
        <w:rPr>
          <w:rFonts w:ascii="Arial" w:hAnsi="Arial" w:cs="Arial"/>
          <w:sz w:val="20"/>
          <w:szCs w:val="20"/>
        </w:rPr>
        <w:t xml:space="preserve"> y su relacionada</w:t>
      </w:r>
      <w:r w:rsidR="002140FB" w:rsidRPr="0074154F">
        <w:rPr>
          <w:rFonts w:ascii="Arial" w:hAnsi="Arial" w:cs="Arial"/>
          <w:sz w:val="20"/>
          <w:szCs w:val="20"/>
        </w:rPr>
        <w:t xml:space="preserve">, excepto por </w:t>
      </w:r>
      <w:r w:rsidR="00D437F2" w:rsidRPr="0074154F">
        <w:rPr>
          <w:rFonts w:ascii="Arial" w:hAnsi="Arial" w:cs="Arial"/>
          <w:sz w:val="20"/>
          <w:szCs w:val="20"/>
        </w:rPr>
        <w:t>la baja de cartera y de inventarios registrados contra los resultados del ejercicio.</w:t>
      </w:r>
    </w:p>
    <w:p w14:paraId="00ED1FDA" w14:textId="77777777" w:rsidR="006C7CE7" w:rsidRPr="0074154F" w:rsidRDefault="006C7CE7" w:rsidP="00413455">
      <w:pPr>
        <w:pStyle w:val="ListParagraph"/>
        <w:tabs>
          <w:tab w:val="left" w:pos="1276"/>
          <w:tab w:val="left" w:pos="6989"/>
        </w:tabs>
        <w:spacing w:after="0" w:line="240" w:lineRule="auto"/>
        <w:ind w:left="1134"/>
        <w:jc w:val="both"/>
        <w:rPr>
          <w:rFonts w:ascii="Arial" w:hAnsi="Arial" w:cs="Arial"/>
          <w:sz w:val="20"/>
          <w:szCs w:val="20"/>
        </w:rPr>
      </w:pPr>
    </w:p>
    <w:p w14:paraId="1409E946" w14:textId="31EB1577" w:rsidR="001479DF" w:rsidRPr="0074154F" w:rsidRDefault="001479DF" w:rsidP="00916E2A">
      <w:pPr>
        <w:pStyle w:val="ListParagraph"/>
        <w:numPr>
          <w:ilvl w:val="1"/>
          <w:numId w:val="3"/>
        </w:numPr>
        <w:tabs>
          <w:tab w:val="left" w:pos="1134"/>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Pasivos de contratos</w:t>
      </w:r>
    </w:p>
    <w:p w14:paraId="22A346B5" w14:textId="6CDC4460" w:rsidR="00915128" w:rsidRPr="0074154F" w:rsidRDefault="00915128" w:rsidP="00915128">
      <w:pPr>
        <w:pStyle w:val="ListParagraph"/>
        <w:tabs>
          <w:tab w:val="left" w:pos="1134"/>
          <w:tab w:val="left" w:pos="6989"/>
        </w:tabs>
        <w:spacing w:after="0" w:line="240" w:lineRule="auto"/>
        <w:ind w:left="1134"/>
        <w:jc w:val="both"/>
        <w:rPr>
          <w:rFonts w:ascii="Arial" w:hAnsi="Arial" w:cs="Arial"/>
          <w:b/>
          <w:sz w:val="20"/>
          <w:szCs w:val="20"/>
          <w:u w:val="single"/>
        </w:rPr>
      </w:pPr>
    </w:p>
    <w:p w14:paraId="593800AC" w14:textId="16DA2EEE" w:rsidR="00915128" w:rsidRPr="0074154F" w:rsidRDefault="00915128" w:rsidP="00915128">
      <w:pPr>
        <w:pStyle w:val="ListParagraph"/>
        <w:tabs>
          <w:tab w:val="left" w:pos="1134"/>
          <w:tab w:val="left" w:pos="6989"/>
        </w:tabs>
        <w:spacing w:after="0" w:line="240" w:lineRule="auto"/>
        <w:ind w:left="1134"/>
        <w:jc w:val="both"/>
        <w:rPr>
          <w:rFonts w:ascii="Arial" w:hAnsi="Arial" w:cs="Arial"/>
          <w:bCs/>
          <w:sz w:val="20"/>
          <w:szCs w:val="20"/>
        </w:rPr>
      </w:pPr>
      <w:r w:rsidRPr="0074154F">
        <w:rPr>
          <w:rFonts w:ascii="Arial" w:hAnsi="Arial" w:cs="Arial"/>
          <w:bCs/>
          <w:sz w:val="20"/>
          <w:szCs w:val="20"/>
        </w:rPr>
        <w:t>Constituyen la obligación de</w:t>
      </w:r>
      <w:r w:rsidR="006E27B9">
        <w:rPr>
          <w:rFonts w:ascii="Arial" w:hAnsi="Arial" w:cs="Arial"/>
          <w:bCs/>
          <w:sz w:val="20"/>
          <w:szCs w:val="20"/>
        </w:rPr>
        <w:t xml:space="preserve"> la Compañía y su </w:t>
      </w:r>
      <w:r w:rsidR="00284D85">
        <w:rPr>
          <w:rFonts w:ascii="Arial" w:hAnsi="Arial" w:cs="Arial"/>
          <w:bCs/>
          <w:sz w:val="20"/>
          <w:szCs w:val="20"/>
        </w:rPr>
        <w:t>R</w:t>
      </w:r>
      <w:r w:rsidR="006E27B9">
        <w:rPr>
          <w:rFonts w:ascii="Arial" w:hAnsi="Arial" w:cs="Arial"/>
          <w:bCs/>
          <w:sz w:val="20"/>
          <w:szCs w:val="20"/>
        </w:rPr>
        <w:t>elacionada</w:t>
      </w:r>
      <w:r w:rsidRPr="0074154F">
        <w:rPr>
          <w:rFonts w:ascii="Arial" w:hAnsi="Arial" w:cs="Arial"/>
          <w:bCs/>
          <w:sz w:val="20"/>
          <w:szCs w:val="20"/>
        </w:rPr>
        <w:t xml:space="preserve"> a transferir bienes o servicios a un cliente, por los cuales ha recibido un pago por parte de sus clientes y son reconocidos como sigue: ingresos diferidos: constituyen principalmente el cobro anticipado de los valores determinados y garantías de los equipos. Estos contratos tienen plazo de vigencia promedio de 12 meses. </w:t>
      </w:r>
      <w:r w:rsidR="00256C74">
        <w:rPr>
          <w:rFonts w:ascii="Arial" w:hAnsi="Arial" w:cs="Arial"/>
          <w:bCs/>
          <w:sz w:val="20"/>
          <w:szCs w:val="20"/>
        </w:rPr>
        <w:t xml:space="preserve">La Compañía y su </w:t>
      </w:r>
      <w:r w:rsidR="00E10428">
        <w:rPr>
          <w:rFonts w:ascii="Arial" w:hAnsi="Arial" w:cs="Arial"/>
          <w:bCs/>
          <w:sz w:val="20"/>
          <w:szCs w:val="20"/>
        </w:rPr>
        <w:t>R</w:t>
      </w:r>
      <w:r w:rsidR="00256C74">
        <w:rPr>
          <w:rFonts w:ascii="Arial" w:hAnsi="Arial" w:cs="Arial"/>
          <w:bCs/>
          <w:sz w:val="20"/>
          <w:szCs w:val="20"/>
        </w:rPr>
        <w:t>elacionada</w:t>
      </w:r>
      <w:r w:rsidRPr="0074154F">
        <w:rPr>
          <w:rFonts w:ascii="Arial" w:hAnsi="Arial" w:cs="Arial"/>
          <w:bCs/>
          <w:sz w:val="20"/>
          <w:szCs w:val="20"/>
        </w:rPr>
        <w:t xml:space="preserve"> reconoce estos valores a resultados (ingresos) en los estados financieros </w:t>
      </w:r>
      <w:r w:rsidR="0070026E" w:rsidRPr="0074154F">
        <w:rPr>
          <w:rFonts w:ascii="Arial" w:hAnsi="Arial" w:cs="Arial"/>
          <w:bCs/>
          <w:sz w:val="20"/>
          <w:szCs w:val="20"/>
        </w:rPr>
        <w:t>consolidados</w:t>
      </w:r>
      <w:r w:rsidRPr="0074154F">
        <w:rPr>
          <w:rFonts w:ascii="Arial" w:hAnsi="Arial" w:cs="Arial"/>
          <w:bCs/>
          <w:sz w:val="20"/>
          <w:szCs w:val="20"/>
        </w:rPr>
        <w:t xml:space="preserve"> de manera mensual por el método de línea recta con base al servicio prestado </w:t>
      </w:r>
      <w:proofErr w:type="gramStart"/>
      <w:r w:rsidRPr="0074154F">
        <w:rPr>
          <w:rFonts w:ascii="Arial" w:hAnsi="Arial" w:cs="Arial"/>
          <w:bCs/>
          <w:sz w:val="20"/>
          <w:szCs w:val="20"/>
        </w:rPr>
        <w:t>de acuerdo al</w:t>
      </w:r>
      <w:proofErr w:type="gramEnd"/>
      <w:r w:rsidRPr="0074154F">
        <w:rPr>
          <w:rFonts w:ascii="Arial" w:hAnsi="Arial" w:cs="Arial"/>
          <w:bCs/>
          <w:sz w:val="20"/>
          <w:szCs w:val="20"/>
        </w:rPr>
        <w:t xml:space="preserve"> plazo de vigencia de cada uno de los contratos firmados con clientes bajo el principio de realización del ingreso.  </w:t>
      </w:r>
    </w:p>
    <w:p w14:paraId="66516D2F" w14:textId="5CD69FA1" w:rsidR="00915128" w:rsidRPr="0074154F" w:rsidRDefault="00915128" w:rsidP="00915128">
      <w:pPr>
        <w:pStyle w:val="ListParagraph"/>
        <w:tabs>
          <w:tab w:val="left" w:pos="1134"/>
          <w:tab w:val="left" w:pos="6989"/>
        </w:tabs>
        <w:spacing w:after="0" w:line="240" w:lineRule="auto"/>
        <w:ind w:left="1134"/>
        <w:jc w:val="both"/>
        <w:rPr>
          <w:rFonts w:ascii="Arial" w:hAnsi="Arial" w:cs="Arial"/>
          <w:bCs/>
          <w:sz w:val="20"/>
          <w:szCs w:val="20"/>
        </w:rPr>
      </w:pPr>
    </w:p>
    <w:p w14:paraId="642C27CA" w14:textId="48A599CB" w:rsidR="00916E2A" w:rsidRPr="0074154F" w:rsidRDefault="000501A0" w:rsidP="00916E2A">
      <w:pPr>
        <w:pStyle w:val="ListParagraph"/>
        <w:numPr>
          <w:ilvl w:val="1"/>
          <w:numId w:val="3"/>
        </w:numPr>
        <w:tabs>
          <w:tab w:val="left" w:pos="1134"/>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Arrendamiento</w:t>
      </w:r>
      <w:r w:rsidR="00E67C08" w:rsidRPr="0074154F">
        <w:rPr>
          <w:rFonts w:ascii="Arial" w:hAnsi="Arial" w:cs="Arial"/>
          <w:b/>
          <w:sz w:val="20"/>
          <w:szCs w:val="20"/>
          <w:u w:val="single"/>
        </w:rPr>
        <w:t>s</w:t>
      </w:r>
    </w:p>
    <w:p w14:paraId="67447B17" w14:textId="49330456" w:rsidR="00916E2A" w:rsidRPr="0074154F" w:rsidRDefault="00916E2A" w:rsidP="00413455">
      <w:pPr>
        <w:pStyle w:val="ListParagraph"/>
        <w:tabs>
          <w:tab w:val="left" w:pos="1276"/>
          <w:tab w:val="left" w:pos="6989"/>
        </w:tabs>
        <w:spacing w:after="0" w:line="240" w:lineRule="auto"/>
        <w:ind w:left="1134"/>
        <w:jc w:val="both"/>
        <w:rPr>
          <w:rFonts w:ascii="Arial" w:hAnsi="Arial" w:cs="Arial"/>
          <w:sz w:val="20"/>
          <w:szCs w:val="20"/>
        </w:rPr>
      </w:pPr>
    </w:p>
    <w:p w14:paraId="633B4260" w14:textId="77777777" w:rsidR="00E67C08" w:rsidRPr="0074154F" w:rsidRDefault="00E67C08" w:rsidP="000501A0">
      <w:pPr>
        <w:tabs>
          <w:tab w:val="left" w:pos="1134"/>
          <w:tab w:val="left" w:pos="6989"/>
        </w:tabs>
        <w:spacing w:after="0" w:line="240" w:lineRule="auto"/>
        <w:ind w:left="1123" w:right="22"/>
        <w:jc w:val="both"/>
        <w:rPr>
          <w:rFonts w:ascii="Arial" w:hAnsi="Arial" w:cs="Arial"/>
          <w:sz w:val="20"/>
          <w:szCs w:val="20"/>
        </w:rPr>
      </w:pPr>
      <w:r w:rsidRPr="0074154F">
        <w:rPr>
          <w:rFonts w:ascii="Arial" w:hAnsi="Arial" w:cs="Arial"/>
          <w:sz w:val="20"/>
          <w:szCs w:val="20"/>
        </w:rPr>
        <w:t xml:space="preserve">Hasta el año 2018, los arrendamientos fueron clasificados como arrendamientos “operativos” o “financieros”, y a partir del 1 de enero del 2019, son reconocidos como ‘activos por derecho de uso’ con su correspondiente ‘pasivo por arrendamientos’, en la fecha en que el referido activo se encuentra listo para ser utilizado en el giro del negocio de la Compañía.  </w:t>
      </w:r>
    </w:p>
    <w:p w14:paraId="66A8D6FA" w14:textId="77777777" w:rsidR="00E67C08" w:rsidRPr="0074154F" w:rsidRDefault="00E67C08" w:rsidP="000501A0">
      <w:pPr>
        <w:tabs>
          <w:tab w:val="left" w:pos="1134"/>
          <w:tab w:val="left" w:pos="6989"/>
        </w:tabs>
        <w:spacing w:after="0" w:line="240" w:lineRule="auto"/>
        <w:ind w:left="1123" w:right="22"/>
        <w:jc w:val="both"/>
        <w:rPr>
          <w:rFonts w:ascii="Arial" w:hAnsi="Arial" w:cs="Arial"/>
          <w:sz w:val="20"/>
          <w:szCs w:val="20"/>
        </w:rPr>
      </w:pPr>
    </w:p>
    <w:p w14:paraId="30BE699D" w14:textId="676E95B7" w:rsidR="001479DF" w:rsidRPr="0074154F" w:rsidRDefault="00E67C08" w:rsidP="001479DF">
      <w:pPr>
        <w:tabs>
          <w:tab w:val="left" w:pos="1134"/>
          <w:tab w:val="left" w:pos="6989"/>
        </w:tabs>
        <w:spacing w:after="0" w:line="240" w:lineRule="auto"/>
        <w:ind w:left="1123" w:right="22"/>
        <w:jc w:val="both"/>
        <w:rPr>
          <w:rFonts w:ascii="Arial" w:hAnsi="Arial" w:cs="Arial"/>
          <w:sz w:val="20"/>
          <w:szCs w:val="20"/>
        </w:rPr>
      </w:pPr>
      <w:r w:rsidRPr="0074154F">
        <w:rPr>
          <w:rFonts w:ascii="Arial" w:hAnsi="Arial" w:cs="Arial"/>
          <w:sz w:val="20"/>
          <w:szCs w:val="20"/>
        </w:rPr>
        <w:t>Los contratos por arrendamiento suscritos, los cuales no pueden ser utilizados como garantías para préstamos son: Nodos como tipo de activo, para ser utilizado como “portadores de internet” con plazos de arrendamiento que van de 1 a 6 años hasta el 2025. Estos contratos no contienen componentes adicionales dentro de las cláusulas relacionados con los pagos predeterminados</w:t>
      </w:r>
      <w:r w:rsidR="001479DF" w:rsidRPr="0074154F">
        <w:rPr>
          <w:rFonts w:ascii="Arial" w:hAnsi="Arial" w:cs="Arial"/>
          <w:sz w:val="20"/>
          <w:szCs w:val="20"/>
        </w:rPr>
        <w:t>, por lo tanto, no se ha efectuado ninguna diferenciación con las cuotas de cánones periódicos de arrendamiento.</w:t>
      </w:r>
    </w:p>
    <w:p w14:paraId="46323EE9" w14:textId="24B03E4C" w:rsidR="003F027D" w:rsidRPr="0074154F" w:rsidRDefault="003F027D" w:rsidP="00413455">
      <w:pPr>
        <w:pStyle w:val="ListParagraph"/>
        <w:tabs>
          <w:tab w:val="left" w:pos="1276"/>
          <w:tab w:val="left" w:pos="6989"/>
        </w:tabs>
        <w:spacing w:after="0" w:line="240" w:lineRule="auto"/>
        <w:ind w:left="1134"/>
        <w:jc w:val="both"/>
        <w:rPr>
          <w:rFonts w:ascii="Arial" w:hAnsi="Arial" w:cs="Arial"/>
          <w:sz w:val="20"/>
          <w:szCs w:val="20"/>
        </w:rPr>
      </w:pPr>
    </w:p>
    <w:p w14:paraId="12A1D290" w14:textId="0131F2D2" w:rsidR="000501A0" w:rsidRPr="0074154F" w:rsidRDefault="00ED4AA7" w:rsidP="00413455">
      <w:pPr>
        <w:pStyle w:val="ListParagraph"/>
        <w:tabs>
          <w:tab w:val="left" w:pos="1276"/>
          <w:tab w:val="left" w:pos="6989"/>
        </w:tabs>
        <w:spacing w:after="0" w:line="240" w:lineRule="auto"/>
        <w:ind w:left="1134"/>
        <w:jc w:val="both"/>
        <w:rPr>
          <w:rFonts w:ascii="Arial" w:hAnsi="Arial" w:cs="Arial"/>
          <w:sz w:val="20"/>
          <w:szCs w:val="20"/>
        </w:rPr>
      </w:pPr>
      <w:r w:rsidRPr="0074154F">
        <w:rPr>
          <w:rFonts w:ascii="Arial" w:hAnsi="Arial" w:cs="Arial"/>
          <w:sz w:val="20"/>
          <w:szCs w:val="20"/>
          <w:u w:val="single"/>
        </w:rPr>
        <w:t xml:space="preserve">La Compañía como </w:t>
      </w:r>
      <w:proofErr w:type="gramStart"/>
      <w:r w:rsidRPr="0074154F">
        <w:rPr>
          <w:rFonts w:ascii="Arial" w:hAnsi="Arial" w:cs="Arial"/>
          <w:sz w:val="20"/>
          <w:szCs w:val="20"/>
          <w:u w:val="single"/>
        </w:rPr>
        <w:t>arrendataria</w:t>
      </w:r>
      <w:r w:rsidRPr="0074154F">
        <w:rPr>
          <w:rFonts w:ascii="Arial" w:hAnsi="Arial" w:cs="Arial"/>
          <w:sz w:val="20"/>
          <w:szCs w:val="20"/>
        </w:rPr>
        <w:t>.-</w:t>
      </w:r>
      <w:proofErr w:type="gramEnd"/>
      <w:r w:rsidRPr="0074154F">
        <w:rPr>
          <w:rFonts w:ascii="Arial" w:hAnsi="Arial" w:cs="Arial"/>
          <w:sz w:val="20"/>
          <w:szCs w:val="20"/>
        </w:rPr>
        <w:t xml:space="preserve"> </w:t>
      </w:r>
      <w:r w:rsidR="006337CC">
        <w:rPr>
          <w:rFonts w:ascii="Arial" w:hAnsi="Arial" w:cs="Arial"/>
          <w:sz w:val="20"/>
          <w:szCs w:val="20"/>
        </w:rPr>
        <w:t xml:space="preserve">La Compañía y su </w:t>
      </w:r>
      <w:r w:rsidR="00A422DF">
        <w:rPr>
          <w:rFonts w:ascii="Arial" w:hAnsi="Arial" w:cs="Arial"/>
          <w:sz w:val="20"/>
          <w:szCs w:val="20"/>
        </w:rPr>
        <w:t>R</w:t>
      </w:r>
      <w:r w:rsidR="006337CC">
        <w:rPr>
          <w:rFonts w:ascii="Arial" w:hAnsi="Arial" w:cs="Arial"/>
          <w:sz w:val="20"/>
          <w:szCs w:val="20"/>
        </w:rPr>
        <w:t>elacionada</w:t>
      </w:r>
      <w:r w:rsidR="000929F7" w:rsidRPr="0074154F">
        <w:rPr>
          <w:rFonts w:ascii="Arial" w:hAnsi="Arial" w:cs="Arial"/>
          <w:sz w:val="20"/>
          <w:szCs w:val="20"/>
        </w:rPr>
        <w:t xml:space="preserve"> evalúa si un contrato es o contiene un arrendamiento al inicio del contrato y reconoce un activo por derecho de uso y un correspondiente pasivo por arrendamiento respecto a todos los contratos de arrendamiento en los que sea arrendatario, exceptuando los arrendamientos de corto plazo (plazo de 12 meses o menos)</w:t>
      </w:r>
      <w:r w:rsidRPr="0074154F">
        <w:rPr>
          <w:rFonts w:ascii="Arial" w:hAnsi="Arial" w:cs="Arial"/>
          <w:sz w:val="20"/>
          <w:szCs w:val="20"/>
        </w:rPr>
        <w:t>.</w:t>
      </w:r>
      <w:r w:rsidR="000929F7" w:rsidRPr="0074154F">
        <w:rPr>
          <w:rFonts w:ascii="Arial" w:hAnsi="Arial" w:cs="Arial"/>
          <w:sz w:val="20"/>
          <w:szCs w:val="20"/>
        </w:rPr>
        <w:t xml:space="preserve"> </w:t>
      </w:r>
    </w:p>
    <w:p w14:paraId="4DA180EB" w14:textId="77777777" w:rsidR="000929F7" w:rsidRPr="0074154F" w:rsidRDefault="000929F7" w:rsidP="00413455">
      <w:pPr>
        <w:pStyle w:val="ListParagraph"/>
        <w:tabs>
          <w:tab w:val="left" w:pos="1276"/>
          <w:tab w:val="left" w:pos="6989"/>
        </w:tabs>
        <w:spacing w:after="0" w:line="240" w:lineRule="auto"/>
        <w:ind w:left="1134"/>
        <w:jc w:val="both"/>
        <w:rPr>
          <w:rFonts w:ascii="Arial" w:hAnsi="Arial" w:cs="Arial"/>
          <w:sz w:val="20"/>
          <w:szCs w:val="20"/>
        </w:rPr>
      </w:pPr>
    </w:p>
    <w:p w14:paraId="757AA3D5" w14:textId="23DE7920" w:rsidR="000929F7" w:rsidRPr="0074154F" w:rsidRDefault="000929F7" w:rsidP="000929F7">
      <w:pPr>
        <w:tabs>
          <w:tab w:val="left" w:pos="1134"/>
          <w:tab w:val="left" w:pos="6989"/>
        </w:tabs>
        <w:spacing w:after="0" w:line="240" w:lineRule="auto"/>
        <w:ind w:left="1123" w:right="22"/>
        <w:jc w:val="both"/>
        <w:rPr>
          <w:rFonts w:ascii="Arial" w:hAnsi="Arial" w:cs="Arial"/>
          <w:sz w:val="20"/>
          <w:szCs w:val="20"/>
        </w:rPr>
      </w:pPr>
      <w:r w:rsidRPr="0074154F">
        <w:rPr>
          <w:rFonts w:ascii="Arial" w:hAnsi="Arial" w:cs="Arial"/>
          <w:sz w:val="20"/>
          <w:szCs w:val="20"/>
        </w:rPr>
        <w:t xml:space="preserve">Para estos arrendamientos, </w:t>
      </w:r>
      <w:r w:rsidR="006337CC">
        <w:rPr>
          <w:rFonts w:ascii="Arial" w:hAnsi="Arial" w:cs="Arial"/>
          <w:sz w:val="20"/>
          <w:szCs w:val="20"/>
        </w:rPr>
        <w:t xml:space="preserve">La Compañía y su </w:t>
      </w:r>
      <w:r w:rsidR="00485FDE">
        <w:rPr>
          <w:rFonts w:ascii="Arial" w:hAnsi="Arial" w:cs="Arial"/>
          <w:sz w:val="20"/>
          <w:szCs w:val="20"/>
        </w:rPr>
        <w:t>R</w:t>
      </w:r>
      <w:r w:rsidR="006337CC">
        <w:rPr>
          <w:rFonts w:ascii="Arial" w:hAnsi="Arial" w:cs="Arial"/>
          <w:sz w:val="20"/>
          <w:szCs w:val="20"/>
        </w:rPr>
        <w:t>elacionada</w:t>
      </w:r>
      <w:r w:rsidRPr="0074154F">
        <w:rPr>
          <w:rFonts w:ascii="Arial" w:hAnsi="Arial" w:cs="Arial"/>
          <w:sz w:val="20"/>
          <w:szCs w:val="20"/>
        </w:rPr>
        <w:t xml:space="preserve"> reconoce la amortización de los activos por derecho de uso y los intereses sobre los pasivos de arrendamiento en el estado de resultado y otros resultados integrales; y, separa el monto total de dinero pagado en una porción principal (presentada dentro de las actividades de financiamiento) e intereses (presentada dentro de las actividades de operación) en el estado de flujo de efectivos.</w:t>
      </w:r>
    </w:p>
    <w:p w14:paraId="7CEC177D" w14:textId="54C62B4D" w:rsidR="000929F7" w:rsidRDefault="000929F7" w:rsidP="000929F7">
      <w:pPr>
        <w:tabs>
          <w:tab w:val="left" w:pos="1134"/>
          <w:tab w:val="left" w:pos="6989"/>
        </w:tabs>
        <w:spacing w:after="0" w:line="240" w:lineRule="auto"/>
        <w:ind w:left="1123" w:right="22"/>
        <w:jc w:val="both"/>
        <w:rPr>
          <w:rFonts w:ascii="Arial" w:hAnsi="Arial" w:cs="Arial"/>
          <w:sz w:val="20"/>
          <w:szCs w:val="20"/>
        </w:rPr>
      </w:pPr>
    </w:p>
    <w:p w14:paraId="5178158B" w14:textId="06DF56E8" w:rsidR="00E77A69" w:rsidRDefault="00E77A69" w:rsidP="000929F7">
      <w:pPr>
        <w:tabs>
          <w:tab w:val="left" w:pos="1134"/>
          <w:tab w:val="left" w:pos="6989"/>
        </w:tabs>
        <w:spacing w:after="0" w:line="240" w:lineRule="auto"/>
        <w:ind w:left="1123" w:right="22"/>
        <w:jc w:val="both"/>
        <w:rPr>
          <w:rFonts w:ascii="Arial" w:hAnsi="Arial" w:cs="Arial"/>
          <w:sz w:val="20"/>
          <w:szCs w:val="20"/>
        </w:rPr>
      </w:pPr>
    </w:p>
    <w:p w14:paraId="4115BADA" w14:textId="77777777" w:rsidR="00E77A69" w:rsidRPr="0074154F" w:rsidRDefault="00E77A69" w:rsidP="000929F7">
      <w:pPr>
        <w:tabs>
          <w:tab w:val="left" w:pos="1134"/>
          <w:tab w:val="left" w:pos="6989"/>
        </w:tabs>
        <w:spacing w:after="0" w:line="240" w:lineRule="auto"/>
        <w:ind w:left="1123" w:right="22"/>
        <w:jc w:val="both"/>
        <w:rPr>
          <w:rFonts w:ascii="Arial" w:hAnsi="Arial" w:cs="Arial"/>
          <w:sz w:val="20"/>
          <w:szCs w:val="20"/>
        </w:rPr>
      </w:pPr>
    </w:p>
    <w:p w14:paraId="590044A6" w14:textId="77777777" w:rsidR="00ED4AA7" w:rsidRPr="0074154F" w:rsidRDefault="00ED4AA7" w:rsidP="00ED4AA7">
      <w:pPr>
        <w:spacing w:after="0" w:line="240" w:lineRule="auto"/>
        <w:ind w:left="1134"/>
        <w:jc w:val="both"/>
        <w:rPr>
          <w:rFonts w:ascii="Arial" w:hAnsi="Arial" w:cs="Arial"/>
          <w:b/>
          <w:bCs/>
          <w:sz w:val="20"/>
          <w:szCs w:val="20"/>
          <w:u w:val="single"/>
        </w:rPr>
      </w:pPr>
      <w:r w:rsidRPr="0074154F">
        <w:rPr>
          <w:rFonts w:ascii="Arial" w:hAnsi="Arial" w:cs="Arial"/>
          <w:b/>
          <w:bCs/>
          <w:sz w:val="20"/>
          <w:szCs w:val="20"/>
          <w:u w:val="single"/>
        </w:rPr>
        <w:lastRenderedPageBreak/>
        <w:t>Obligaciones bajo arrendamiento financiero</w:t>
      </w:r>
    </w:p>
    <w:p w14:paraId="70D5840F" w14:textId="77777777" w:rsidR="00ED4AA7" w:rsidRPr="0074154F" w:rsidRDefault="00ED4AA7" w:rsidP="000929F7">
      <w:pPr>
        <w:pStyle w:val="ListParagraph"/>
        <w:tabs>
          <w:tab w:val="left" w:pos="1276"/>
          <w:tab w:val="left" w:pos="6989"/>
        </w:tabs>
        <w:spacing w:after="0" w:line="240" w:lineRule="auto"/>
        <w:ind w:left="1134"/>
        <w:jc w:val="both"/>
        <w:rPr>
          <w:rFonts w:ascii="Arial" w:hAnsi="Arial" w:cs="Arial"/>
          <w:sz w:val="20"/>
          <w:szCs w:val="20"/>
        </w:rPr>
      </w:pPr>
    </w:p>
    <w:p w14:paraId="26096457" w14:textId="716FF24E" w:rsidR="00916E2A" w:rsidRPr="0074154F" w:rsidRDefault="000929F7" w:rsidP="000929F7">
      <w:pPr>
        <w:pStyle w:val="ListParagraph"/>
        <w:tabs>
          <w:tab w:val="left" w:pos="1276"/>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El pasivo por arrendamientos es medido inicialmente al valor presente los pagos de renta que no sean pagados en la fecha de inicio, descontado por la tasa implícita en el contrato. Si está tasa no puede ser fácilmente determinada, </w:t>
      </w:r>
      <w:r w:rsidR="006337CC">
        <w:rPr>
          <w:rFonts w:ascii="Arial" w:hAnsi="Arial" w:cs="Arial"/>
          <w:sz w:val="20"/>
          <w:szCs w:val="20"/>
        </w:rPr>
        <w:t xml:space="preserve">La Compañía y su </w:t>
      </w:r>
      <w:r w:rsidR="008A5DD7">
        <w:rPr>
          <w:rFonts w:ascii="Arial" w:hAnsi="Arial" w:cs="Arial"/>
          <w:sz w:val="20"/>
          <w:szCs w:val="20"/>
        </w:rPr>
        <w:t>R</w:t>
      </w:r>
      <w:r w:rsidR="006337CC">
        <w:rPr>
          <w:rFonts w:ascii="Arial" w:hAnsi="Arial" w:cs="Arial"/>
          <w:sz w:val="20"/>
          <w:szCs w:val="20"/>
        </w:rPr>
        <w:t>elacionada</w:t>
      </w:r>
      <w:r w:rsidRPr="0074154F">
        <w:rPr>
          <w:rFonts w:ascii="Arial" w:hAnsi="Arial" w:cs="Arial"/>
          <w:sz w:val="20"/>
          <w:szCs w:val="20"/>
        </w:rPr>
        <w:t xml:space="preserve"> utiliza tasas que incrementales.</w:t>
      </w:r>
    </w:p>
    <w:p w14:paraId="15F40912" w14:textId="77777777" w:rsidR="002745AD" w:rsidRPr="0074154F" w:rsidRDefault="002745AD" w:rsidP="000929F7">
      <w:pPr>
        <w:tabs>
          <w:tab w:val="left" w:pos="1134"/>
          <w:tab w:val="left" w:pos="6989"/>
        </w:tabs>
        <w:spacing w:after="0" w:line="240" w:lineRule="auto"/>
        <w:ind w:left="1123" w:right="22"/>
        <w:jc w:val="both"/>
        <w:rPr>
          <w:rFonts w:ascii="Arial" w:hAnsi="Arial" w:cs="Arial"/>
          <w:sz w:val="20"/>
          <w:szCs w:val="20"/>
        </w:rPr>
      </w:pPr>
    </w:p>
    <w:p w14:paraId="70613EAB" w14:textId="28992382" w:rsidR="000929F7" w:rsidRPr="0074154F" w:rsidRDefault="000929F7" w:rsidP="000929F7">
      <w:pPr>
        <w:tabs>
          <w:tab w:val="left" w:pos="1134"/>
          <w:tab w:val="left" w:pos="6989"/>
        </w:tabs>
        <w:spacing w:after="0" w:line="240" w:lineRule="auto"/>
        <w:ind w:left="1123" w:right="22"/>
        <w:jc w:val="both"/>
        <w:rPr>
          <w:rFonts w:ascii="Arial" w:hAnsi="Arial" w:cs="Arial"/>
          <w:sz w:val="20"/>
          <w:szCs w:val="20"/>
        </w:rPr>
      </w:pPr>
      <w:r w:rsidRPr="0074154F">
        <w:rPr>
          <w:rFonts w:ascii="Arial" w:hAnsi="Arial" w:cs="Arial"/>
          <w:sz w:val="20"/>
          <w:szCs w:val="20"/>
        </w:rPr>
        <w:t>Los pagos de renta incluidos en la medición del pasivo por arredramiento consisten en:</w:t>
      </w:r>
    </w:p>
    <w:p w14:paraId="5DAE0C19" w14:textId="77777777" w:rsidR="000929F7" w:rsidRPr="0074154F" w:rsidRDefault="000929F7" w:rsidP="000929F7">
      <w:pPr>
        <w:pStyle w:val="ListParagraph"/>
        <w:tabs>
          <w:tab w:val="left" w:pos="1134"/>
          <w:tab w:val="left" w:pos="6989"/>
        </w:tabs>
        <w:spacing w:after="0" w:line="240" w:lineRule="auto"/>
        <w:ind w:left="1134" w:right="22"/>
        <w:jc w:val="both"/>
        <w:rPr>
          <w:rFonts w:ascii="Arial" w:hAnsi="Arial" w:cs="Arial"/>
          <w:sz w:val="20"/>
          <w:szCs w:val="20"/>
        </w:rPr>
      </w:pPr>
    </w:p>
    <w:p w14:paraId="7912FD29" w14:textId="3190A774" w:rsidR="000929F7" w:rsidRPr="0074154F" w:rsidRDefault="000929F7" w:rsidP="000929F7">
      <w:pPr>
        <w:pStyle w:val="ListParagraph"/>
        <w:numPr>
          <w:ilvl w:val="0"/>
          <w:numId w:val="35"/>
        </w:numPr>
        <w:spacing w:after="0" w:line="240" w:lineRule="auto"/>
        <w:ind w:left="1418" w:right="22" w:hanging="284"/>
        <w:jc w:val="both"/>
        <w:rPr>
          <w:rFonts w:ascii="Arial" w:hAnsi="Arial" w:cs="Arial"/>
          <w:sz w:val="20"/>
          <w:szCs w:val="20"/>
        </w:rPr>
      </w:pPr>
      <w:r w:rsidRPr="0074154F">
        <w:rPr>
          <w:rFonts w:ascii="Arial" w:hAnsi="Arial" w:cs="Arial"/>
          <w:sz w:val="20"/>
          <w:szCs w:val="20"/>
        </w:rPr>
        <w:t xml:space="preserve">Pagos de renta fijos (incluyendo pagos fijos en sustancias), menos cualquier incentivo por arrendamiento recibido; </w:t>
      </w:r>
    </w:p>
    <w:p w14:paraId="1574E4A9" w14:textId="77777777" w:rsidR="00A82968" w:rsidRPr="0074154F" w:rsidRDefault="00A82968" w:rsidP="00A82968">
      <w:pPr>
        <w:pStyle w:val="ListParagraph"/>
        <w:spacing w:after="0" w:line="240" w:lineRule="auto"/>
        <w:ind w:left="1418" w:right="22"/>
        <w:jc w:val="both"/>
        <w:rPr>
          <w:rFonts w:ascii="Arial" w:hAnsi="Arial" w:cs="Arial"/>
          <w:sz w:val="20"/>
          <w:szCs w:val="20"/>
        </w:rPr>
      </w:pPr>
    </w:p>
    <w:p w14:paraId="1EDE9625" w14:textId="77777777" w:rsidR="000929F7" w:rsidRPr="0074154F" w:rsidRDefault="000929F7" w:rsidP="000929F7">
      <w:pPr>
        <w:pStyle w:val="ListParagraph"/>
        <w:numPr>
          <w:ilvl w:val="0"/>
          <w:numId w:val="35"/>
        </w:numPr>
        <w:spacing w:after="0" w:line="240" w:lineRule="auto"/>
        <w:ind w:left="1418" w:right="22" w:hanging="284"/>
        <w:jc w:val="both"/>
        <w:rPr>
          <w:rFonts w:ascii="Arial" w:hAnsi="Arial" w:cs="Arial"/>
          <w:sz w:val="20"/>
          <w:szCs w:val="20"/>
        </w:rPr>
      </w:pPr>
      <w:r w:rsidRPr="0074154F">
        <w:rPr>
          <w:rFonts w:ascii="Arial" w:hAnsi="Arial" w:cs="Arial"/>
          <w:sz w:val="20"/>
          <w:szCs w:val="20"/>
        </w:rPr>
        <w:t xml:space="preserve">Pago de renta variable que dependen de un índice o tasa, inicialmente medidos usando el índice o tasa en la fecha de inicio; </w:t>
      </w:r>
    </w:p>
    <w:p w14:paraId="5C32DA83" w14:textId="77777777" w:rsidR="000929F7" w:rsidRPr="0074154F" w:rsidRDefault="000929F7" w:rsidP="000929F7">
      <w:pPr>
        <w:pStyle w:val="ListParagraph"/>
        <w:spacing w:after="0" w:line="240" w:lineRule="auto"/>
        <w:ind w:left="1134" w:right="22"/>
        <w:jc w:val="both"/>
        <w:rPr>
          <w:rFonts w:ascii="Arial" w:hAnsi="Arial" w:cs="Arial"/>
          <w:sz w:val="20"/>
          <w:szCs w:val="20"/>
        </w:rPr>
      </w:pPr>
    </w:p>
    <w:p w14:paraId="25F5C1F6" w14:textId="77777777" w:rsidR="000929F7" w:rsidRPr="0074154F" w:rsidRDefault="000929F7" w:rsidP="000929F7">
      <w:pPr>
        <w:pStyle w:val="ListParagraph"/>
        <w:numPr>
          <w:ilvl w:val="0"/>
          <w:numId w:val="35"/>
        </w:numPr>
        <w:spacing w:after="0" w:line="240" w:lineRule="auto"/>
        <w:ind w:left="1418" w:right="22" w:hanging="284"/>
        <w:jc w:val="both"/>
        <w:rPr>
          <w:rFonts w:ascii="Arial" w:hAnsi="Arial" w:cs="Arial"/>
          <w:sz w:val="20"/>
          <w:szCs w:val="20"/>
        </w:rPr>
      </w:pPr>
      <w:r w:rsidRPr="0074154F">
        <w:rPr>
          <w:rFonts w:ascii="Arial" w:hAnsi="Arial" w:cs="Arial"/>
          <w:sz w:val="20"/>
          <w:szCs w:val="20"/>
        </w:rPr>
        <w:t>El monto esperado a pagarse por el arrendatario bajo garantías de valor residual;</w:t>
      </w:r>
    </w:p>
    <w:p w14:paraId="601EC332" w14:textId="77777777" w:rsidR="000929F7" w:rsidRPr="0074154F" w:rsidRDefault="000929F7" w:rsidP="000929F7">
      <w:pPr>
        <w:pStyle w:val="ListParagraph"/>
        <w:spacing w:after="0" w:line="240" w:lineRule="auto"/>
        <w:ind w:left="1134" w:right="22"/>
        <w:jc w:val="both"/>
        <w:rPr>
          <w:rFonts w:ascii="Arial" w:hAnsi="Arial" w:cs="Arial"/>
          <w:sz w:val="20"/>
          <w:szCs w:val="20"/>
        </w:rPr>
      </w:pPr>
    </w:p>
    <w:p w14:paraId="17334449" w14:textId="77777777" w:rsidR="000929F7" w:rsidRPr="0074154F" w:rsidRDefault="000929F7" w:rsidP="000929F7">
      <w:pPr>
        <w:pStyle w:val="ListParagraph"/>
        <w:numPr>
          <w:ilvl w:val="0"/>
          <w:numId w:val="35"/>
        </w:numPr>
        <w:spacing w:after="0" w:line="240" w:lineRule="auto"/>
        <w:ind w:left="1418" w:right="22" w:hanging="284"/>
        <w:jc w:val="both"/>
        <w:rPr>
          <w:rFonts w:ascii="Arial" w:hAnsi="Arial" w:cs="Arial"/>
          <w:sz w:val="20"/>
          <w:szCs w:val="20"/>
        </w:rPr>
      </w:pPr>
      <w:r w:rsidRPr="0074154F">
        <w:rPr>
          <w:rFonts w:ascii="Arial" w:hAnsi="Arial" w:cs="Arial"/>
          <w:sz w:val="20"/>
          <w:szCs w:val="20"/>
        </w:rPr>
        <w:t xml:space="preserve">El precio de ejercicio de opciones de compra, si el arrendatario está razonablemente certero de ejercitar las opciones; y </w:t>
      </w:r>
    </w:p>
    <w:p w14:paraId="24CF664F" w14:textId="18728A50" w:rsidR="000929F7" w:rsidRPr="0074154F" w:rsidRDefault="000929F7" w:rsidP="000929F7">
      <w:pPr>
        <w:pStyle w:val="ListParagraph"/>
        <w:spacing w:after="0" w:line="240" w:lineRule="auto"/>
        <w:ind w:left="1134" w:right="22"/>
        <w:jc w:val="both"/>
        <w:rPr>
          <w:rFonts w:ascii="Arial" w:hAnsi="Arial" w:cs="Arial"/>
          <w:sz w:val="20"/>
          <w:szCs w:val="20"/>
        </w:rPr>
      </w:pPr>
    </w:p>
    <w:p w14:paraId="76D77453" w14:textId="77777777" w:rsidR="00ED4AA7" w:rsidRPr="0074154F" w:rsidRDefault="000929F7" w:rsidP="00ED4AA7">
      <w:pPr>
        <w:pStyle w:val="ListParagraph"/>
        <w:numPr>
          <w:ilvl w:val="0"/>
          <w:numId w:val="35"/>
        </w:numPr>
        <w:spacing w:after="0" w:line="240" w:lineRule="auto"/>
        <w:ind w:left="1418" w:right="22" w:hanging="284"/>
        <w:jc w:val="both"/>
        <w:rPr>
          <w:rFonts w:ascii="Arial" w:hAnsi="Arial" w:cs="Arial"/>
          <w:sz w:val="20"/>
          <w:szCs w:val="20"/>
        </w:rPr>
      </w:pPr>
      <w:r w:rsidRPr="0074154F">
        <w:rPr>
          <w:rFonts w:ascii="Arial" w:hAnsi="Arial" w:cs="Arial"/>
          <w:sz w:val="20"/>
          <w:szCs w:val="20"/>
        </w:rPr>
        <w:t>Pagos por penalizaciones resultantes de la terminación del arrendamiento, si el periodo del arrendamiento refleja el ejercicio de una opción de terminación del arrendamiento.</w:t>
      </w:r>
      <w:r w:rsidR="00ED4AA7" w:rsidRPr="0074154F">
        <w:rPr>
          <w:rFonts w:ascii="Arial" w:hAnsi="Arial" w:cs="Arial"/>
          <w:sz w:val="20"/>
          <w:szCs w:val="20"/>
        </w:rPr>
        <w:t xml:space="preserve"> </w:t>
      </w:r>
      <w:r w:rsidRPr="0074154F">
        <w:rPr>
          <w:rFonts w:ascii="Arial" w:hAnsi="Arial" w:cs="Arial"/>
          <w:sz w:val="20"/>
          <w:szCs w:val="20"/>
        </w:rPr>
        <w:t>El pasivo por arrendamiento se presenta como un rubro separado en el estado de si</w:t>
      </w:r>
      <w:r w:rsidR="00ED4AA7" w:rsidRPr="0074154F">
        <w:rPr>
          <w:rFonts w:ascii="Arial" w:hAnsi="Arial" w:cs="Arial"/>
          <w:sz w:val="20"/>
          <w:szCs w:val="20"/>
        </w:rPr>
        <w:t>tua</w:t>
      </w:r>
      <w:r w:rsidRPr="0074154F">
        <w:rPr>
          <w:rFonts w:ascii="Arial" w:hAnsi="Arial" w:cs="Arial"/>
          <w:sz w:val="20"/>
          <w:szCs w:val="20"/>
        </w:rPr>
        <w:t xml:space="preserve">ción financiera. </w:t>
      </w:r>
    </w:p>
    <w:p w14:paraId="42969E9F" w14:textId="77777777" w:rsidR="00ED4AA7" w:rsidRPr="0074154F" w:rsidRDefault="00ED4AA7" w:rsidP="00ED4AA7">
      <w:pPr>
        <w:pStyle w:val="ListParagraph"/>
        <w:rPr>
          <w:rFonts w:ascii="Arial" w:hAnsi="Arial" w:cs="Arial"/>
          <w:sz w:val="20"/>
          <w:szCs w:val="20"/>
        </w:rPr>
      </w:pPr>
    </w:p>
    <w:p w14:paraId="378E5E2A" w14:textId="4AB1C541" w:rsidR="000929F7" w:rsidRPr="0074154F" w:rsidRDefault="000929F7" w:rsidP="00ED4AA7">
      <w:pPr>
        <w:pStyle w:val="ListParagraph"/>
        <w:spacing w:after="0" w:line="240" w:lineRule="auto"/>
        <w:ind w:left="1134" w:right="22"/>
        <w:jc w:val="both"/>
        <w:rPr>
          <w:rFonts w:ascii="Arial" w:hAnsi="Arial" w:cs="Arial"/>
          <w:sz w:val="20"/>
          <w:szCs w:val="20"/>
        </w:rPr>
      </w:pPr>
      <w:r w:rsidRPr="0074154F">
        <w:rPr>
          <w:rFonts w:ascii="Arial" w:hAnsi="Arial" w:cs="Arial"/>
          <w:sz w:val="20"/>
          <w:szCs w:val="20"/>
        </w:rPr>
        <w:t>El pasivo por arrendamiento es medido subsecuentemente con el aumento del valor en libros para reflejar los intereses devengados por el pasivo por arrendamiento (usando el método de interés efectivo) y reduciendo el valor en libros para reflejar los pagos de renta realizados.</w:t>
      </w:r>
      <w:r w:rsidR="00ED4AA7" w:rsidRPr="0074154F">
        <w:rPr>
          <w:rFonts w:ascii="Arial" w:hAnsi="Arial" w:cs="Arial"/>
          <w:sz w:val="20"/>
          <w:szCs w:val="20"/>
        </w:rPr>
        <w:t xml:space="preserve"> </w:t>
      </w:r>
      <w:r w:rsidR="006337CC">
        <w:rPr>
          <w:rFonts w:ascii="Arial" w:hAnsi="Arial" w:cs="Arial"/>
          <w:sz w:val="20"/>
          <w:szCs w:val="20"/>
        </w:rPr>
        <w:t xml:space="preserve">La Compañía y su </w:t>
      </w:r>
      <w:r w:rsidR="008E19B7">
        <w:rPr>
          <w:rFonts w:ascii="Arial" w:hAnsi="Arial" w:cs="Arial"/>
          <w:sz w:val="20"/>
          <w:szCs w:val="20"/>
        </w:rPr>
        <w:t>R</w:t>
      </w:r>
      <w:r w:rsidR="006337CC">
        <w:rPr>
          <w:rFonts w:ascii="Arial" w:hAnsi="Arial" w:cs="Arial"/>
          <w:sz w:val="20"/>
          <w:szCs w:val="20"/>
        </w:rPr>
        <w:t>elacionada</w:t>
      </w:r>
      <w:r w:rsidRPr="0074154F">
        <w:rPr>
          <w:rFonts w:ascii="Arial" w:hAnsi="Arial" w:cs="Arial"/>
          <w:sz w:val="20"/>
          <w:szCs w:val="20"/>
        </w:rPr>
        <w:t xml:space="preserve"> revalúa el pasivo por arrendamiento (y realiza el ajuste correspondiente al activo por derecho de uso relacionado) siempre que:</w:t>
      </w:r>
    </w:p>
    <w:p w14:paraId="23F0386C" w14:textId="661F8EF1" w:rsidR="000929F7" w:rsidRPr="0074154F" w:rsidRDefault="000929F7" w:rsidP="00413455">
      <w:pPr>
        <w:pStyle w:val="ListParagraph"/>
        <w:tabs>
          <w:tab w:val="left" w:pos="1276"/>
          <w:tab w:val="left" w:pos="6989"/>
        </w:tabs>
        <w:spacing w:after="0" w:line="240" w:lineRule="auto"/>
        <w:ind w:left="1134"/>
        <w:jc w:val="both"/>
        <w:rPr>
          <w:rFonts w:ascii="Arial" w:hAnsi="Arial" w:cs="Arial"/>
          <w:sz w:val="20"/>
          <w:szCs w:val="20"/>
        </w:rPr>
      </w:pPr>
    </w:p>
    <w:p w14:paraId="2FCF889C" w14:textId="77777777" w:rsidR="00984A0F" w:rsidRPr="0074154F" w:rsidRDefault="00984A0F" w:rsidP="00ED4AA7">
      <w:pPr>
        <w:pStyle w:val="ListParagraph"/>
        <w:spacing w:after="0" w:line="240" w:lineRule="auto"/>
        <w:ind w:left="1134" w:right="22"/>
        <w:jc w:val="both"/>
        <w:rPr>
          <w:rFonts w:ascii="Arial" w:hAnsi="Arial" w:cs="Arial"/>
          <w:sz w:val="20"/>
          <w:szCs w:val="20"/>
        </w:rPr>
      </w:pPr>
      <w:r w:rsidRPr="0074154F">
        <w:rPr>
          <w:rFonts w:ascii="Arial" w:hAnsi="Arial" w:cs="Arial"/>
          <w:sz w:val="20"/>
          <w:szCs w:val="20"/>
        </w:rPr>
        <w:t>El plazo del arrendamiento es modificado o hay un evento o cambio significativo en las circunstancias del arrendamiento resultando en un cambio en la evaluación del ejercicio de opción de compra, cuyo caso el pasivo por arrendamiento es medido descontando los pagos de renta actualizados usando una tasa de descuento actualizada.</w:t>
      </w:r>
    </w:p>
    <w:p w14:paraId="47B898B2" w14:textId="77777777" w:rsidR="00984A0F" w:rsidRPr="0074154F" w:rsidRDefault="00984A0F" w:rsidP="00984A0F">
      <w:pPr>
        <w:pStyle w:val="ListParagraph"/>
        <w:tabs>
          <w:tab w:val="left" w:pos="1134"/>
          <w:tab w:val="left" w:pos="6989"/>
        </w:tabs>
        <w:spacing w:after="0" w:line="240" w:lineRule="auto"/>
        <w:ind w:left="1134" w:right="22"/>
        <w:jc w:val="both"/>
        <w:rPr>
          <w:rFonts w:ascii="Arial" w:hAnsi="Arial" w:cs="Arial"/>
          <w:sz w:val="20"/>
          <w:szCs w:val="20"/>
        </w:rPr>
      </w:pPr>
    </w:p>
    <w:p w14:paraId="0FC6BE35" w14:textId="0E4F1BA2" w:rsidR="00984A0F" w:rsidRPr="0074154F" w:rsidRDefault="00984A0F" w:rsidP="00ED4AA7">
      <w:pPr>
        <w:pStyle w:val="ListParagraph"/>
        <w:spacing w:after="0" w:line="240" w:lineRule="auto"/>
        <w:ind w:left="1134" w:right="22"/>
        <w:jc w:val="both"/>
        <w:rPr>
          <w:rFonts w:ascii="Arial" w:hAnsi="Arial" w:cs="Arial"/>
          <w:sz w:val="20"/>
          <w:szCs w:val="20"/>
        </w:rPr>
      </w:pPr>
      <w:r w:rsidRPr="0074154F">
        <w:rPr>
          <w:rFonts w:ascii="Arial" w:hAnsi="Arial" w:cs="Arial"/>
          <w:sz w:val="20"/>
          <w:szCs w:val="20"/>
        </w:rPr>
        <w:t>Los pagos de renta se modifican como consecuencia de cambios en índices o tasa o un cambio en el pago esperado bajo un valor residual garantizado, en cuyos casos el pasivo por arrendamiento se revalúa descontando los pagos de renta actualizados utilizando la misma tasa de descuento (a menos que el cambio en los pagos de renta se deba a un cambio en una tasa de interés variable, en cuyo caso se usa una tasa de descuento actualizada)</w:t>
      </w:r>
      <w:r w:rsidR="00E67C08" w:rsidRPr="0074154F">
        <w:rPr>
          <w:rFonts w:ascii="Arial" w:hAnsi="Arial" w:cs="Arial"/>
          <w:sz w:val="20"/>
          <w:szCs w:val="20"/>
        </w:rPr>
        <w:t>.</w:t>
      </w:r>
    </w:p>
    <w:p w14:paraId="0BE3D312" w14:textId="1BC5FCCB" w:rsidR="00E67C08" w:rsidRPr="0074154F" w:rsidRDefault="00E67C08" w:rsidP="00ED4AA7">
      <w:pPr>
        <w:pStyle w:val="ListParagraph"/>
        <w:spacing w:after="0" w:line="240" w:lineRule="auto"/>
        <w:ind w:left="1134" w:right="22"/>
        <w:jc w:val="both"/>
        <w:rPr>
          <w:rFonts w:ascii="Arial" w:hAnsi="Arial" w:cs="Arial"/>
          <w:sz w:val="20"/>
          <w:szCs w:val="20"/>
        </w:rPr>
      </w:pPr>
    </w:p>
    <w:p w14:paraId="1094F40A" w14:textId="77777777" w:rsidR="001E776C" w:rsidRPr="0074154F" w:rsidRDefault="001E776C" w:rsidP="001E776C">
      <w:pPr>
        <w:spacing w:after="0" w:line="240" w:lineRule="auto"/>
        <w:ind w:left="1134"/>
        <w:jc w:val="both"/>
        <w:rPr>
          <w:rFonts w:ascii="Arial" w:hAnsi="Arial" w:cs="Arial"/>
          <w:b/>
          <w:bCs/>
          <w:sz w:val="20"/>
          <w:szCs w:val="20"/>
          <w:u w:val="single"/>
        </w:rPr>
      </w:pPr>
      <w:r w:rsidRPr="0074154F">
        <w:rPr>
          <w:rFonts w:ascii="Arial" w:hAnsi="Arial" w:cs="Arial"/>
          <w:b/>
          <w:bCs/>
          <w:sz w:val="20"/>
          <w:szCs w:val="20"/>
          <w:u w:val="single"/>
        </w:rPr>
        <w:t>Activos por derechos de uso</w:t>
      </w:r>
    </w:p>
    <w:p w14:paraId="1B9E9C70" w14:textId="02C2FAFA"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p>
    <w:p w14:paraId="2FA85354" w14:textId="77777777" w:rsidR="001E776C" w:rsidRPr="0074154F" w:rsidRDefault="001E776C" w:rsidP="001E776C">
      <w:pPr>
        <w:spacing w:after="0" w:line="240" w:lineRule="auto"/>
        <w:ind w:left="1134"/>
        <w:jc w:val="both"/>
        <w:rPr>
          <w:rFonts w:ascii="Arial" w:hAnsi="Arial" w:cs="Arial"/>
          <w:sz w:val="20"/>
          <w:szCs w:val="20"/>
        </w:rPr>
      </w:pPr>
      <w:r w:rsidRPr="0074154F">
        <w:rPr>
          <w:rFonts w:ascii="Arial" w:hAnsi="Arial" w:cs="Arial"/>
          <w:sz w:val="20"/>
          <w:szCs w:val="20"/>
        </w:rPr>
        <w:t>Los activos por derechos de uso consisten en la medición inicial del pasivo por arrendamiento correspondiente, los pagos de renta realizados en o antes de la fecha de inicio, menos cualquier incentivo por arrendamiento recibido y cualquier costo inicial directo. </w:t>
      </w:r>
    </w:p>
    <w:p w14:paraId="4A49FC0B" w14:textId="13570EAF" w:rsidR="00984A0F" w:rsidRPr="0074154F" w:rsidRDefault="00984A0F" w:rsidP="00984A0F">
      <w:pPr>
        <w:pStyle w:val="ListParagraph"/>
        <w:tabs>
          <w:tab w:val="left" w:pos="1843"/>
          <w:tab w:val="left" w:pos="6989"/>
        </w:tabs>
        <w:spacing w:after="0" w:line="240" w:lineRule="auto"/>
        <w:ind w:left="1134"/>
        <w:jc w:val="both"/>
        <w:rPr>
          <w:rFonts w:ascii="Arial" w:hAnsi="Arial" w:cs="Arial"/>
          <w:sz w:val="20"/>
          <w:szCs w:val="20"/>
        </w:rPr>
      </w:pPr>
    </w:p>
    <w:p w14:paraId="2DCBCD05" w14:textId="13101168"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r w:rsidRPr="0074154F">
        <w:rPr>
          <w:rFonts w:ascii="Arial" w:hAnsi="Arial" w:cs="Arial"/>
          <w:sz w:val="20"/>
          <w:szCs w:val="20"/>
        </w:rPr>
        <w:t>La valuación subsecuente es el costo menos la depreciación acumulada y pérdidas por deterioro. En la medida en que los costos se relacionen a un activo por derecho de uso, los costos son incluidos en el activo por derechos de uso relacionado, a menos que los costos se incurran para generar inventarios. </w:t>
      </w:r>
    </w:p>
    <w:p w14:paraId="5199CF2B" w14:textId="77777777"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p>
    <w:p w14:paraId="60EA2EBE" w14:textId="033B6877"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r w:rsidRPr="0074154F">
        <w:rPr>
          <w:rFonts w:ascii="Arial" w:hAnsi="Arial" w:cs="Arial"/>
          <w:sz w:val="20"/>
          <w:szCs w:val="20"/>
        </w:rPr>
        <w:t>Los activos por derechos de uso se deprecian durante el período que resulte más corto entre el período del arrendamiento y la vida útil del activo subyacente.</w:t>
      </w:r>
      <w:r w:rsidRPr="0074154F">
        <w:rPr>
          <w:rFonts w:ascii="Arial" w:hAnsi="Arial" w:cs="Arial"/>
          <w:color w:val="FF0000"/>
          <w:sz w:val="20"/>
          <w:szCs w:val="20"/>
        </w:rPr>
        <w:t xml:space="preserve"> </w:t>
      </w:r>
      <w:r w:rsidRPr="0074154F">
        <w:rPr>
          <w:rFonts w:ascii="Arial" w:hAnsi="Arial" w:cs="Arial"/>
          <w:sz w:val="20"/>
          <w:szCs w:val="20"/>
        </w:rPr>
        <w:t>La depreciación comienza en la fecha de inicio del arrendamiento. Los activos por derechos de uso son presentados como un rubro separado en el estado separado de situación financiera.</w:t>
      </w:r>
    </w:p>
    <w:p w14:paraId="59BC5E30" w14:textId="2A7640F0"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p>
    <w:p w14:paraId="15D4B7EF" w14:textId="2DEBA2B3" w:rsidR="001E776C" w:rsidRPr="0074154F" w:rsidRDefault="0092583B" w:rsidP="00984A0F">
      <w:pPr>
        <w:pStyle w:val="ListParagraph"/>
        <w:tabs>
          <w:tab w:val="left" w:pos="1843"/>
          <w:tab w:val="left" w:pos="6989"/>
        </w:tabs>
        <w:spacing w:after="0" w:line="240" w:lineRule="auto"/>
        <w:ind w:left="1134"/>
        <w:jc w:val="both"/>
        <w:rPr>
          <w:rFonts w:ascii="Arial" w:hAnsi="Arial" w:cs="Arial"/>
          <w:sz w:val="20"/>
          <w:szCs w:val="20"/>
        </w:rPr>
      </w:pPr>
      <w:r>
        <w:rPr>
          <w:rFonts w:ascii="Arial" w:hAnsi="Arial" w:cs="Arial"/>
          <w:sz w:val="20"/>
          <w:szCs w:val="20"/>
        </w:rPr>
        <w:lastRenderedPageBreak/>
        <w:t xml:space="preserve">La Compañía y su </w:t>
      </w:r>
      <w:r w:rsidR="009F1F12">
        <w:rPr>
          <w:rFonts w:ascii="Arial" w:hAnsi="Arial" w:cs="Arial"/>
          <w:sz w:val="20"/>
          <w:szCs w:val="20"/>
        </w:rPr>
        <w:t>R</w:t>
      </w:r>
      <w:r>
        <w:rPr>
          <w:rFonts w:ascii="Arial" w:hAnsi="Arial" w:cs="Arial"/>
          <w:sz w:val="20"/>
          <w:szCs w:val="20"/>
        </w:rPr>
        <w:t>elacionada</w:t>
      </w:r>
      <w:r w:rsidR="001E776C" w:rsidRPr="0074154F">
        <w:rPr>
          <w:rFonts w:ascii="Arial" w:hAnsi="Arial" w:cs="Arial"/>
          <w:sz w:val="20"/>
          <w:szCs w:val="20"/>
        </w:rPr>
        <w:t xml:space="preserve"> aplica la NIC 36 para determinar si un activo por derecho de uso está deteriorado y contabiliza cualquier pérdida por deterioro identificada como se describe en la política de “Propiedades y equipos”.</w:t>
      </w:r>
    </w:p>
    <w:p w14:paraId="6B996EAA" w14:textId="42371B4D" w:rsidR="001E776C" w:rsidRPr="0074154F" w:rsidRDefault="001E776C" w:rsidP="00984A0F">
      <w:pPr>
        <w:pStyle w:val="ListParagraph"/>
        <w:tabs>
          <w:tab w:val="left" w:pos="1843"/>
          <w:tab w:val="left" w:pos="6989"/>
        </w:tabs>
        <w:spacing w:after="0" w:line="240" w:lineRule="auto"/>
        <w:ind w:left="1134"/>
        <w:jc w:val="both"/>
        <w:rPr>
          <w:rFonts w:ascii="Arial" w:hAnsi="Arial" w:cs="Arial"/>
          <w:sz w:val="20"/>
          <w:szCs w:val="20"/>
        </w:rPr>
      </w:pPr>
    </w:p>
    <w:p w14:paraId="64519732" w14:textId="78A7D0F8" w:rsidR="001E776C" w:rsidRPr="0074154F" w:rsidRDefault="007C02FE" w:rsidP="001E776C">
      <w:pPr>
        <w:spacing w:after="0" w:line="240" w:lineRule="auto"/>
        <w:ind w:left="1134"/>
        <w:jc w:val="both"/>
        <w:rPr>
          <w:rFonts w:ascii="Arial" w:hAnsi="Arial" w:cs="Arial"/>
          <w:sz w:val="20"/>
          <w:szCs w:val="20"/>
        </w:rPr>
      </w:pPr>
      <w:r>
        <w:rPr>
          <w:rFonts w:ascii="Arial" w:hAnsi="Arial" w:cs="Arial"/>
          <w:sz w:val="20"/>
          <w:szCs w:val="20"/>
          <w:u w:val="single"/>
        </w:rPr>
        <w:t>La Compañía y su relacionada</w:t>
      </w:r>
      <w:r w:rsidR="00FB7E91" w:rsidRPr="0074154F">
        <w:rPr>
          <w:rFonts w:ascii="Arial" w:hAnsi="Arial" w:cs="Arial"/>
          <w:sz w:val="20"/>
          <w:szCs w:val="20"/>
          <w:u w:val="single"/>
        </w:rPr>
        <w:t xml:space="preserve"> </w:t>
      </w:r>
      <w:r w:rsidR="001E776C" w:rsidRPr="0074154F">
        <w:rPr>
          <w:rFonts w:ascii="Arial" w:hAnsi="Arial" w:cs="Arial"/>
          <w:sz w:val="20"/>
          <w:szCs w:val="20"/>
          <w:u w:val="single"/>
        </w:rPr>
        <w:t xml:space="preserve">como </w:t>
      </w:r>
      <w:proofErr w:type="gramStart"/>
      <w:r w:rsidR="001E776C" w:rsidRPr="0074154F">
        <w:rPr>
          <w:rFonts w:ascii="Arial" w:hAnsi="Arial" w:cs="Arial"/>
          <w:sz w:val="20"/>
          <w:szCs w:val="20"/>
          <w:u w:val="single"/>
        </w:rPr>
        <w:t>arrendataria</w:t>
      </w:r>
      <w:r w:rsidR="001479DF" w:rsidRPr="0074154F">
        <w:rPr>
          <w:rFonts w:ascii="Arial" w:hAnsi="Arial" w:cs="Arial"/>
          <w:sz w:val="20"/>
          <w:szCs w:val="20"/>
        </w:rPr>
        <w:t>.-</w:t>
      </w:r>
      <w:proofErr w:type="gramEnd"/>
      <w:r w:rsidR="001479DF" w:rsidRPr="0074154F">
        <w:rPr>
          <w:rFonts w:ascii="Arial" w:hAnsi="Arial" w:cs="Arial"/>
          <w:sz w:val="20"/>
          <w:szCs w:val="20"/>
        </w:rPr>
        <w:t xml:space="preserve"> </w:t>
      </w:r>
      <w:r w:rsidR="001E776C" w:rsidRPr="0074154F">
        <w:rPr>
          <w:rFonts w:ascii="Arial" w:hAnsi="Arial" w:cs="Arial"/>
          <w:sz w:val="20"/>
          <w:szCs w:val="20"/>
        </w:rPr>
        <w:t>Los arrendamientos operativos se cargan a resultados empleando el método de línea recta, durante el plazo correspondiente al arrendamiento, salvo que resulte más representativa otra base sistemática de reparto por reflejar más adecuadamente el patrón temporal de los beneficios del arrendamiento para el usuario. </w:t>
      </w:r>
    </w:p>
    <w:p w14:paraId="29224CA1" w14:textId="77777777" w:rsidR="001E776C" w:rsidRPr="0074154F" w:rsidRDefault="001E776C" w:rsidP="001E776C">
      <w:pPr>
        <w:spacing w:after="0" w:line="240" w:lineRule="auto"/>
        <w:ind w:left="1134"/>
        <w:jc w:val="both"/>
        <w:rPr>
          <w:rFonts w:ascii="Arial" w:hAnsi="Arial" w:cs="Arial"/>
          <w:sz w:val="20"/>
          <w:szCs w:val="20"/>
        </w:rPr>
      </w:pPr>
    </w:p>
    <w:p w14:paraId="23E292CF" w14:textId="77777777" w:rsidR="001E776C" w:rsidRPr="0074154F" w:rsidRDefault="001E776C" w:rsidP="001E776C">
      <w:pPr>
        <w:spacing w:after="0" w:line="240" w:lineRule="auto"/>
        <w:ind w:left="1134"/>
        <w:jc w:val="both"/>
        <w:rPr>
          <w:rFonts w:ascii="Arial" w:hAnsi="Arial" w:cs="Arial"/>
          <w:sz w:val="20"/>
          <w:szCs w:val="20"/>
        </w:rPr>
      </w:pPr>
      <w:r w:rsidRPr="0074154F">
        <w:rPr>
          <w:rFonts w:ascii="Arial" w:hAnsi="Arial" w:cs="Arial"/>
          <w:sz w:val="20"/>
          <w:szCs w:val="20"/>
        </w:rPr>
        <w:t xml:space="preserve">Las cuotas contingentes por arrendamiento se reconocen como gastos en los períodos en los que sean incurridos. </w:t>
      </w:r>
    </w:p>
    <w:p w14:paraId="6B57AF3C" w14:textId="1F0E3B20" w:rsidR="00336B8C" w:rsidRPr="0074154F" w:rsidRDefault="00336B8C" w:rsidP="00413455">
      <w:pPr>
        <w:spacing w:after="0" w:line="240" w:lineRule="auto"/>
        <w:rPr>
          <w:rFonts w:ascii="Arial" w:eastAsia="Times New Roman" w:hAnsi="Arial" w:cs="Arial"/>
          <w:b/>
          <w:sz w:val="20"/>
          <w:szCs w:val="20"/>
          <w:u w:val="single"/>
          <w:lang w:eastAsia="es-EC"/>
        </w:rPr>
      </w:pPr>
    </w:p>
    <w:p w14:paraId="4A62E334" w14:textId="6E0FB31F" w:rsidR="007E72D2" w:rsidRPr="0074154F" w:rsidRDefault="007E72D2" w:rsidP="00413455">
      <w:pPr>
        <w:pStyle w:val="ListParagraph"/>
        <w:numPr>
          <w:ilvl w:val="1"/>
          <w:numId w:val="3"/>
        </w:numPr>
        <w:tabs>
          <w:tab w:val="left" w:pos="1134"/>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 xml:space="preserve">Impuestos </w:t>
      </w:r>
    </w:p>
    <w:p w14:paraId="4EB313B6" w14:textId="77777777" w:rsidR="007E72D2" w:rsidRPr="0074154F" w:rsidRDefault="007E72D2" w:rsidP="00413455">
      <w:pPr>
        <w:tabs>
          <w:tab w:val="left" w:pos="1276"/>
        </w:tabs>
        <w:spacing w:after="0" w:line="240" w:lineRule="auto"/>
        <w:jc w:val="both"/>
        <w:rPr>
          <w:rFonts w:ascii="Arial" w:hAnsi="Arial" w:cs="Arial"/>
          <w:sz w:val="20"/>
          <w:szCs w:val="20"/>
        </w:rPr>
      </w:pPr>
    </w:p>
    <w:p w14:paraId="47081471" w14:textId="6CCDDD12" w:rsidR="005E4245" w:rsidRPr="0074154F" w:rsidRDefault="005E4245" w:rsidP="00413455">
      <w:pPr>
        <w:pStyle w:val="ListParagraph"/>
        <w:tabs>
          <w:tab w:val="left" w:pos="1276"/>
          <w:tab w:val="left" w:pos="6989"/>
        </w:tabs>
        <w:spacing w:after="0" w:line="240" w:lineRule="auto"/>
        <w:ind w:left="1134"/>
        <w:jc w:val="both"/>
        <w:rPr>
          <w:rFonts w:ascii="Arial" w:eastAsia="Arial Unicode MS" w:hAnsi="Arial" w:cs="Arial"/>
          <w:bCs/>
          <w:sz w:val="20"/>
          <w:szCs w:val="20"/>
          <w:lang w:val="es-ES" w:eastAsia="es-ES" w:bidi="es-ES"/>
        </w:rPr>
      </w:pPr>
      <w:r w:rsidRPr="0074154F">
        <w:rPr>
          <w:rFonts w:ascii="Arial" w:eastAsia="Arial Unicode MS" w:hAnsi="Arial" w:cs="Arial"/>
          <w:bCs/>
          <w:sz w:val="20"/>
          <w:szCs w:val="20"/>
          <w:lang w:val="es-ES" w:eastAsia="es-ES" w:bidi="es-ES"/>
        </w:rPr>
        <w:t>El gasto por impuesto a la renta representa la suma del impuesto a la renta por pagar corriente y el impuesto diferido</w:t>
      </w:r>
      <w:r w:rsidR="0015599D" w:rsidRPr="0074154F">
        <w:rPr>
          <w:rFonts w:ascii="Arial" w:eastAsia="Arial Unicode MS" w:hAnsi="Arial" w:cs="Arial"/>
          <w:bCs/>
          <w:sz w:val="20"/>
          <w:szCs w:val="20"/>
          <w:lang w:val="es-ES" w:eastAsia="es-ES" w:bidi="es-ES"/>
        </w:rPr>
        <w:t>, si hubiere</w:t>
      </w:r>
      <w:r w:rsidRPr="0074154F">
        <w:rPr>
          <w:rFonts w:ascii="Arial" w:eastAsia="Arial Unicode MS" w:hAnsi="Arial" w:cs="Arial"/>
          <w:bCs/>
          <w:sz w:val="20"/>
          <w:szCs w:val="20"/>
          <w:lang w:val="es-ES" w:eastAsia="es-ES" w:bidi="es-ES"/>
        </w:rPr>
        <w:t>.</w:t>
      </w:r>
    </w:p>
    <w:p w14:paraId="30A6ECFB" w14:textId="0EDE3353" w:rsidR="001479DF" w:rsidRPr="0074154F" w:rsidRDefault="001479DF" w:rsidP="00413455">
      <w:pPr>
        <w:pStyle w:val="ListParagraph"/>
        <w:tabs>
          <w:tab w:val="left" w:pos="1276"/>
          <w:tab w:val="left" w:pos="6989"/>
        </w:tabs>
        <w:spacing w:after="0" w:line="240" w:lineRule="auto"/>
        <w:ind w:left="1134"/>
        <w:jc w:val="both"/>
        <w:rPr>
          <w:rFonts w:ascii="Arial" w:eastAsia="Arial Unicode MS" w:hAnsi="Arial" w:cs="Arial"/>
          <w:bCs/>
          <w:sz w:val="20"/>
          <w:szCs w:val="20"/>
          <w:lang w:val="es-ES" w:eastAsia="es-ES" w:bidi="es-ES"/>
        </w:rPr>
      </w:pPr>
    </w:p>
    <w:p w14:paraId="5C535CFB" w14:textId="5B168DFC" w:rsidR="005E4245" w:rsidRPr="0074154F" w:rsidRDefault="005E4245" w:rsidP="00413455">
      <w:pPr>
        <w:pStyle w:val="bodycopyindent"/>
        <w:numPr>
          <w:ilvl w:val="2"/>
          <w:numId w:val="3"/>
        </w:numPr>
        <w:tabs>
          <w:tab w:val="left" w:pos="1843"/>
        </w:tabs>
        <w:spacing w:before="0" w:line="240" w:lineRule="auto"/>
        <w:ind w:left="1843" w:hanging="709"/>
        <w:jc w:val="both"/>
        <w:rPr>
          <w:sz w:val="20"/>
          <w:szCs w:val="20"/>
          <w:lang w:val="es-MX"/>
        </w:rPr>
      </w:pPr>
      <w:r w:rsidRPr="0074154F">
        <w:rPr>
          <w:b/>
          <w:sz w:val="20"/>
          <w:szCs w:val="20"/>
          <w:u w:val="single"/>
          <w:lang w:val="es-MX"/>
        </w:rPr>
        <w:t>Impuesto</w:t>
      </w:r>
      <w:r w:rsidR="00CF4E2E" w:rsidRPr="0074154F">
        <w:rPr>
          <w:b/>
          <w:sz w:val="20"/>
          <w:szCs w:val="20"/>
          <w:u w:val="single"/>
          <w:lang w:val="es-MX"/>
        </w:rPr>
        <w:t>s</w:t>
      </w:r>
      <w:r w:rsidRPr="0074154F">
        <w:rPr>
          <w:b/>
          <w:sz w:val="20"/>
          <w:szCs w:val="20"/>
          <w:u w:val="single"/>
          <w:lang w:val="es-MX"/>
        </w:rPr>
        <w:t xml:space="preserve"> </w:t>
      </w:r>
      <w:proofErr w:type="gramStart"/>
      <w:r w:rsidRPr="0074154F">
        <w:rPr>
          <w:b/>
          <w:sz w:val="20"/>
          <w:szCs w:val="20"/>
          <w:u w:val="single"/>
          <w:lang w:val="es-MX"/>
        </w:rPr>
        <w:t>corriente</w:t>
      </w:r>
      <w:r w:rsidR="00CF4E2E" w:rsidRPr="0074154F">
        <w:rPr>
          <w:b/>
          <w:sz w:val="20"/>
          <w:szCs w:val="20"/>
          <w:u w:val="single"/>
          <w:lang w:val="es-MX"/>
        </w:rPr>
        <w:t>s</w:t>
      </w:r>
      <w:r w:rsidR="002A5612" w:rsidRPr="0074154F">
        <w:rPr>
          <w:b/>
          <w:sz w:val="20"/>
          <w:szCs w:val="20"/>
          <w:lang w:val="es-MX"/>
        </w:rPr>
        <w:t>.</w:t>
      </w:r>
      <w:r w:rsidRPr="0074154F">
        <w:rPr>
          <w:b/>
          <w:sz w:val="20"/>
          <w:szCs w:val="20"/>
          <w:lang w:val="es-MX"/>
        </w:rPr>
        <w:t>-</w:t>
      </w:r>
      <w:proofErr w:type="gramEnd"/>
      <w:r w:rsidRPr="0074154F">
        <w:rPr>
          <w:b/>
          <w:sz w:val="20"/>
          <w:szCs w:val="20"/>
          <w:lang w:val="es-MX"/>
        </w:rPr>
        <w:t xml:space="preserve"> </w:t>
      </w:r>
      <w:r w:rsidRPr="0074154F">
        <w:rPr>
          <w:sz w:val="20"/>
          <w:szCs w:val="20"/>
          <w:lang w:val="es-MX"/>
        </w:rPr>
        <w:t>Se basa en la utilidad gravable (tributaria) registrada durante el año. La utilidad gravable difiere de la utilidad contable, debido a las partidas de ingresos o gastos imponibles o deducibles y partidas que no serán gravables o deducibles. El pasivo de la Compañía por concepto del impuesto corriente se calcula utilizando las tasas fiscales aprobadas al final de cada período.</w:t>
      </w:r>
    </w:p>
    <w:p w14:paraId="0522E1FA" w14:textId="77777777" w:rsidR="005E4245" w:rsidRPr="0074154F" w:rsidRDefault="005E4245" w:rsidP="00413455">
      <w:pPr>
        <w:pStyle w:val="bodycopyindent"/>
        <w:tabs>
          <w:tab w:val="left" w:pos="1843"/>
        </w:tabs>
        <w:spacing w:before="0" w:line="240" w:lineRule="auto"/>
        <w:ind w:left="1843"/>
        <w:jc w:val="both"/>
        <w:rPr>
          <w:sz w:val="20"/>
          <w:szCs w:val="20"/>
          <w:lang w:val="es-MX"/>
        </w:rPr>
      </w:pPr>
    </w:p>
    <w:p w14:paraId="435DB0C8" w14:textId="555E4A1E" w:rsidR="00CF4E2E" w:rsidRPr="0074154F" w:rsidRDefault="005E4245" w:rsidP="00413455">
      <w:pPr>
        <w:pStyle w:val="bodycopyindent"/>
        <w:numPr>
          <w:ilvl w:val="2"/>
          <w:numId w:val="3"/>
        </w:numPr>
        <w:tabs>
          <w:tab w:val="left" w:pos="1843"/>
        </w:tabs>
        <w:spacing w:before="0" w:line="240" w:lineRule="auto"/>
        <w:ind w:left="1843" w:hanging="709"/>
        <w:jc w:val="both"/>
        <w:rPr>
          <w:rFonts w:eastAsia="Arial Unicode MS"/>
          <w:b/>
          <w:sz w:val="20"/>
          <w:szCs w:val="20"/>
          <w:u w:val="single"/>
          <w:lang w:val="es-MX"/>
        </w:rPr>
      </w:pPr>
      <w:r w:rsidRPr="0074154F">
        <w:rPr>
          <w:b/>
          <w:sz w:val="20"/>
          <w:szCs w:val="20"/>
          <w:u w:val="single"/>
          <w:lang w:val="es-MX"/>
        </w:rPr>
        <w:t>Impuestos</w:t>
      </w:r>
      <w:r w:rsidR="00CF4E2E" w:rsidRPr="0074154F">
        <w:rPr>
          <w:b/>
          <w:sz w:val="20"/>
          <w:szCs w:val="20"/>
          <w:u w:val="single"/>
          <w:lang w:val="es-MX"/>
        </w:rPr>
        <w:t xml:space="preserve"> </w:t>
      </w:r>
      <w:proofErr w:type="gramStart"/>
      <w:r w:rsidRPr="0074154F">
        <w:rPr>
          <w:b/>
          <w:sz w:val="20"/>
          <w:szCs w:val="20"/>
          <w:u w:val="single"/>
          <w:lang w:val="es-MX"/>
        </w:rPr>
        <w:t>diferidos</w:t>
      </w:r>
      <w:r w:rsidR="002A5612" w:rsidRPr="0074154F">
        <w:rPr>
          <w:b/>
          <w:sz w:val="20"/>
          <w:szCs w:val="20"/>
          <w:lang w:val="es-MX"/>
        </w:rPr>
        <w:t>.-</w:t>
      </w:r>
      <w:proofErr w:type="gramEnd"/>
      <w:r w:rsidRPr="0074154F">
        <w:rPr>
          <w:sz w:val="20"/>
          <w:szCs w:val="20"/>
          <w:lang w:val="es-MX"/>
        </w:rPr>
        <w:t xml:space="preserve"> Se reconoce sobre las diferencias temporarias determinadas entre el valor en libros de los activos y pasivos incluidos en los estados financieros </w:t>
      </w:r>
      <w:r w:rsidR="001425AC">
        <w:rPr>
          <w:sz w:val="20"/>
          <w:szCs w:val="20"/>
          <w:lang w:val="es-MX"/>
        </w:rPr>
        <w:t>y su Compañía relacionada</w:t>
      </w:r>
      <w:r w:rsidR="00477714" w:rsidRPr="0074154F">
        <w:rPr>
          <w:sz w:val="20"/>
          <w:szCs w:val="20"/>
          <w:lang w:val="es-MX"/>
        </w:rPr>
        <w:t xml:space="preserve"> </w:t>
      </w:r>
      <w:r w:rsidRPr="0074154F">
        <w:rPr>
          <w:sz w:val="20"/>
          <w:szCs w:val="20"/>
          <w:lang w:val="es-MX"/>
        </w:rPr>
        <w:t>y sus bases fiscales. Un pasivo por impuesto diferido se reconoce generalmente para todas las diferencias tem</w:t>
      </w:r>
      <w:r w:rsidR="005661A5" w:rsidRPr="0074154F">
        <w:rPr>
          <w:sz w:val="20"/>
          <w:szCs w:val="20"/>
          <w:lang w:val="es-MX"/>
        </w:rPr>
        <w:t xml:space="preserve">porarias imponibles. </w:t>
      </w:r>
    </w:p>
    <w:p w14:paraId="4083DA9E" w14:textId="77777777" w:rsidR="00CF4E2E" w:rsidRPr="0074154F" w:rsidRDefault="00CF4E2E" w:rsidP="00CF4E2E">
      <w:pPr>
        <w:pStyle w:val="bodycopyindent"/>
        <w:tabs>
          <w:tab w:val="left" w:pos="1843"/>
        </w:tabs>
        <w:spacing w:before="0" w:line="240" w:lineRule="auto"/>
        <w:ind w:left="1843"/>
        <w:jc w:val="both"/>
        <w:rPr>
          <w:sz w:val="20"/>
          <w:szCs w:val="20"/>
          <w:lang w:val="es-MX"/>
        </w:rPr>
      </w:pPr>
    </w:p>
    <w:p w14:paraId="2643F0AA" w14:textId="340BB74D" w:rsidR="005E4245" w:rsidRPr="0074154F" w:rsidRDefault="005E4245" w:rsidP="00CF4E2E">
      <w:pPr>
        <w:pStyle w:val="bodycopyindent"/>
        <w:tabs>
          <w:tab w:val="left" w:pos="1843"/>
        </w:tabs>
        <w:spacing w:before="0" w:line="240" w:lineRule="auto"/>
        <w:ind w:left="1843"/>
        <w:jc w:val="both"/>
        <w:rPr>
          <w:rFonts w:eastAsia="Arial Unicode MS"/>
          <w:b/>
          <w:sz w:val="20"/>
          <w:szCs w:val="20"/>
          <w:u w:val="single"/>
          <w:lang w:val="es-MX"/>
        </w:rPr>
      </w:pPr>
      <w:r w:rsidRPr="0074154F">
        <w:rPr>
          <w:sz w:val="20"/>
          <w:szCs w:val="20"/>
          <w:lang w:val="es-MX"/>
        </w:rPr>
        <w:t>Un activo por impuesto diferido se reconoce por todas las diferencias temporarias deducibles, en la medida en que resulte probable que la Compañía disponga de utilidades gravables futuras contra las que se podría cargar esas diferencias temporarias deducibles.</w:t>
      </w:r>
    </w:p>
    <w:p w14:paraId="1774701E" w14:textId="77777777" w:rsidR="005E4245" w:rsidRPr="0074154F" w:rsidRDefault="005E4245" w:rsidP="00413455">
      <w:pPr>
        <w:pStyle w:val="ListParagraph"/>
        <w:spacing w:after="0" w:line="240" w:lineRule="auto"/>
        <w:ind w:left="1843"/>
        <w:jc w:val="both"/>
        <w:rPr>
          <w:rFonts w:ascii="Arial" w:hAnsi="Arial" w:cs="Arial"/>
          <w:sz w:val="20"/>
          <w:szCs w:val="20"/>
        </w:rPr>
      </w:pPr>
    </w:p>
    <w:p w14:paraId="68FDF7E0" w14:textId="77777777" w:rsidR="005E4245" w:rsidRPr="0074154F" w:rsidRDefault="005E4245" w:rsidP="00413455">
      <w:pPr>
        <w:pStyle w:val="ListParagraph"/>
        <w:spacing w:after="0" w:line="240" w:lineRule="auto"/>
        <w:ind w:left="1843"/>
        <w:jc w:val="both"/>
        <w:rPr>
          <w:rFonts w:ascii="Arial" w:hAnsi="Arial" w:cs="Arial"/>
          <w:sz w:val="20"/>
          <w:szCs w:val="20"/>
        </w:rPr>
      </w:pPr>
      <w:r w:rsidRPr="0074154F">
        <w:rPr>
          <w:rFonts w:ascii="Arial" w:hAnsi="Arial" w:cs="Arial"/>
          <w:sz w:val="20"/>
          <w:szCs w:val="20"/>
        </w:rPr>
        <w:t>El importe en libros de un activo por impuestos diferidos debe someterse a revisión al final de cada período sobre el que se informe y se debe reducir, en la medida que estime probable que no dispondrá de suficiente utilidad gravable (tributaria), en el futuro, como para permitir que se recupere la totalidad o una parte del activo.</w:t>
      </w:r>
    </w:p>
    <w:p w14:paraId="721B496D" w14:textId="54F99AFE" w:rsidR="00EE1A44" w:rsidRPr="0074154F" w:rsidRDefault="00EE1A44" w:rsidP="00413455">
      <w:pPr>
        <w:pStyle w:val="ListParagraph"/>
        <w:spacing w:after="0" w:line="240" w:lineRule="auto"/>
        <w:ind w:left="1843"/>
        <w:jc w:val="both"/>
        <w:rPr>
          <w:rFonts w:ascii="Arial" w:hAnsi="Arial" w:cs="Arial"/>
          <w:b/>
          <w:sz w:val="20"/>
          <w:szCs w:val="20"/>
        </w:rPr>
      </w:pPr>
    </w:p>
    <w:p w14:paraId="1BDCE0DF" w14:textId="4EA067D6" w:rsidR="00312B27" w:rsidRPr="0074154F" w:rsidRDefault="005E4245" w:rsidP="00413455">
      <w:pPr>
        <w:pStyle w:val="bodycopyindent"/>
        <w:numPr>
          <w:ilvl w:val="2"/>
          <w:numId w:val="3"/>
        </w:numPr>
        <w:tabs>
          <w:tab w:val="left" w:pos="1843"/>
        </w:tabs>
        <w:spacing w:before="0" w:line="240" w:lineRule="auto"/>
        <w:ind w:left="1843" w:hanging="709"/>
        <w:jc w:val="both"/>
        <w:rPr>
          <w:b/>
          <w:sz w:val="20"/>
          <w:szCs w:val="20"/>
          <w:lang w:val="es-MX"/>
        </w:rPr>
      </w:pPr>
      <w:r w:rsidRPr="0074154F">
        <w:rPr>
          <w:b/>
          <w:sz w:val="20"/>
          <w:szCs w:val="20"/>
          <w:u w:val="single"/>
          <w:lang w:val="es-MX"/>
        </w:rPr>
        <w:t>I</w:t>
      </w:r>
      <w:r w:rsidR="00AF6061" w:rsidRPr="0074154F">
        <w:rPr>
          <w:b/>
          <w:sz w:val="20"/>
          <w:szCs w:val="20"/>
          <w:u w:val="single"/>
          <w:lang w:val="es-MX"/>
        </w:rPr>
        <w:t xml:space="preserve">mpuestos corrientes y </w:t>
      </w:r>
      <w:proofErr w:type="gramStart"/>
      <w:r w:rsidR="00AF6061" w:rsidRPr="0074154F">
        <w:rPr>
          <w:b/>
          <w:sz w:val="20"/>
          <w:szCs w:val="20"/>
          <w:u w:val="single"/>
          <w:lang w:val="es-MX"/>
        </w:rPr>
        <w:t>diferidos</w:t>
      </w:r>
      <w:r w:rsidR="002A5612" w:rsidRPr="0074154F">
        <w:rPr>
          <w:b/>
          <w:sz w:val="20"/>
          <w:szCs w:val="20"/>
          <w:lang w:val="es-MX"/>
        </w:rPr>
        <w:t>.-</w:t>
      </w:r>
      <w:proofErr w:type="gramEnd"/>
      <w:r w:rsidRPr="0074154F">
        <w:rPr>
          <w:b/>
          <w:sz w:val="20"/>
          <w:szCs w:val="20"/>
          <w:lang w:val="es-MX"/>
        </w:rPr>
        <w:t xml:space="preserve"> </w:t>
      </w:r>
      <w:r w:rsidRPr="0074154F">
        <w:rPr>
          <w:sz w:val="20"/>
          <w:szCs w:val="20"/>
          <w:lang w:val="es-MX"/>
        </w:rPr>
        <w:t>Se reconocen como ingreso o gasto, y son incluidos en el resultado, excepto en la medida en que hayan surgido de una transacción o suceso que se reconoce fuera del resultado ya sea en otro resultado integral o directamente en el patrimonio, en cuyo caso el impuesto también se reconoce fuera del resultado; o cuando surgen del registro inicial de una combinación de negocios. Además, los pasivos por impuesto diferido no se reconocen si la diferencia temporal surge del reconocimiento inicial de la plusvalía</w:t>
      </w:r>
      <w:r w:rsidRPr="0074154F">
        <w:rPr>
          <w:b/>
          <w:sz w:val="20"/>
          <w:szCs w:val="20"/>
          <w:lang w:val="es-MX"/>
        </w:rPr>
        <w:t>.</w:t>
      </w:r>
    </w:p>
    <w:p w14:paraId="37776196" w14:textId="5908A17E" w:rsidR="00F8503D" w:rsidRDefault="00F8503D" w:rsidP="00413455">
      <w:pPr>
        <w:pStyle w:val="bodycopyindent"/>
        <w:tabs>
          <w:tab w:val="left" w:pos="1843"/>
        </w:tabs>
        <w:spacing w:before="0" w:line="240" w:lineRule="auto"/>
        <w:jc w:val="both"/>
        <w:rPr>
          <w:b/>
          <w:sz w:val="20"/>
          <w:szCs w:val="20"/>
          <w:lang w:val="es-MX"/>
        </w:rPr>
      </w:pPr>
    </w:p>
    <w:p w14:paraId="680031F9" w14:textId="64D9726F" w:rsidR="007E72D2" w:rsidRPr="0074154F" w:rsidRDefault="007E72D2" w:rsidP="00413455">
      <w:pPr>
        <w:pStyle w:val="ListParagraph"/>
        <w:numPr>
          <w:ilvl w:val="1"/>
          <w:numId w:val="3"/>
        </w:numPr>
        <w:tabs>
          <w:tab w:val="left" w:pos="1276"/>
          <w:tab w:val="left" w:pos="6989"/>
        </w:tabs>
        <w:spacing w:after="0" w:line="240" w:lineRule="auto"/>
        <w:ind w:left="1134" w:hanging="567"/>
        <w:jc w:val="both"/>
        <w:rPr>
          <w:rFonts w:ascii="Arial" w:hAnsi="Arial" w:cs="Arial"/>
          <w:b/>
          <w:bCs/>
          <w:iCs/>
          <w:sz w:val="20"/>
          <w:szCs w:val="20"/>
          <w:u w:val="single"/>
        </w:rPr>
      </w:pPr>
      <w:r w:rsidRPr="0074154F">
        <w:rPr>
          <w:rFonts w:ascii="Arial" w:hAnsi="Arial" w:cs="Arial"/>
          <w:b/>
          <w:bCs/>
          <w:iCs/>
          <w:sz w:val="20"/>
          <w:szCs w:val="20"/>
          <w:u w:val="single"/>
        </w:rPr>
        <w:t>Provisiones y contingencias</w:t>
      </w:r>
    </w:p>
    <w:p w14:paraId="6A8A0A07" w14:textId="77777777" w:rsidR="007E72D2" w:rsidRPr="0074154F" w:rsidRDefault="007E72D2" w:rsidP="00413455">
      <w:pPr>
        <w:pStyle w:val="bodycopyindent"/>
        <w:tabs>
          <w:tab w:val="left" w:pos="1276"/>
        </w:tabs>
        <w:spacing w:before="0" w:line="240" w:lineRule="auto"/>
        <w:ind w:left="0"/>
        <w:jc w:val="both"/>
        <w:rPr>
          <w:color w:val="auto"/>
          <w:sz w:val="20"/>
          <w:szCs w:val="20"/>
          <w:lang w:val="es-EC"/>
        </w:rPr>
      </w:pPr>
    </w:p>
    <w:p w14:paraId="4CAF8FF3" w14:textId="30A9F514" w:rsidR="00B81169" w:rsidRPr="0074154F" w:rsidRDefault="007E72D2" w:rsidP="00413455">
      <w:pPr>
        <w:pStyle w:val="ListParagraph"/>
        <w:tabs>
          <w:tab w:val="left" w:pos="1276"/>
          <w:tab w:val="left" w:pos="6989"/>
        </w:tabs>
        <w:spacing w:after="0" w:line="240" w:lineRule="auto"/>
        <w:ind w:left="1134"/>
        <w:jc w:val="both"/>
        <w:rPr>
          <w:rFonts w:ascii="Arial" w:hAnsi="Arial" w:cs="Arial"/>
          <w:sz w:val="20"/>
          <w:szCs w:val="20"/>
        </w:rPr>
      </w:pPr>
      <w:r w:rsidRPr="0074154F">
        <w:rPr>
          <w:rFonts w:ascii="Arial" w:hAnsi="Arial" w:cs="Arial"/>
          <w:sz w:val="20"/>
          <w:szCs w:val="20"/>
        </w:rPr>
        <w:t xml:space="preserve">Se reconocen cuando </w:t>
      </w:r>
      <w:r w:rsidR="007C02FE">
        <w:rPr>
          <w:rFonts w:ascii="Arial" w:hAnsi="Arial" w:cs="Arial"/>
          <w:sz w:val="20"/>
          <w:szCs w:val="20"/>
        </w:rPr>
        <w:t>la Compañía y su relacionada</w:t>
      </w:r>
      <w:r w:rsidRPr="0074154F">
        <w:rPr>
          <w:rFonts w:ascii="Arial" w:hAnsi="Arial" w:cs="Arial"/>
          <w:sz w:val="20"/>
          <w:szCs w:val="20"/>
        </w:rPr>
        <w:t xml:space="preserve"> tiene una obligación presente (ya sea legal o implícita) como resultado de un suceso pasado, es probable que la Compañía tenga que desprenderse de recursos económicos, para cancelar la obligación, y puede hacerse una estimación fiabl</w:t>
      </w:r>
      <w:r w:rsidR="0015599D" w:rsidRPr="0074154F">
        <w:rPr>
          <w:rFonts w:ascii="Arial" w:hAnsi="Arial" w:cs="Arial"/>
          <w:sz w:val="20"/>
          <w:szCs w:val="20"/>
        </w:rPr>
        <w:t xml:space="preserve">e del importe de la obligación. </w:t>
      </w:r>
      <w:r w:rsidRPr="0074154F">
        <w:rPr>
          <w:rFonts w:ascii="Arial" w:hAnsi="Arial"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4E4CF55A" w14:textId="79AE1C5A" w:rsidR="00C700AF" w:rsidRDefault="00C700AF" w:rsidP="00413455">
      <w:pPr>
        <w:pStyle w:val="ListParagraph"/>
        <w:tabs>
          <w:tab w:val="left" w:pos="1276"/>
          <w:tab w:val="left" w:pos="6989"/>
        </w:tabs>
        <w:spacing w:after="0" w:line="240" w:lineRule="auto"/>
        <w:ind w:left="1134"/>
        <w:jc w:val="both"/>
        <w:rPr>
          <w:rFonts w:ascii="Arial" w:hAnsi="Arial" w:cs="Arial"/>
          <w:sz w:val="20"/>
          <w:szCs w:val="20"/>
        </w:rPr>
      </w:pPr>
    </w:p>
    <w:p w14:paraId="27829CC3" w14:textId="58C4A640" w:rsidR="00E77A69" w:rsidRDefault="00E77A69" w:rsidP="00413455">
      <w:pPr>
        <w:pStyle w:val="ListParagraph"/>
        <w:tabs>
          <w:tab w:val="left" w:pos="1276"/>
          <w:tab w:val="left" w:pos="6989"/>
        </w:tabs>
        <w:spacing w:after="0" w:line="240" w:lineRule="auto"/>
        <w:ind w:left="1134"/>
        <w:jc w:val="both"/>
        <w:rPr>
          <w:rFonts w:ascii="Arial" w:hAnsi="Arial" w:cs="Arial"/>
          <w:sz w:val="20"/>
          <w:szCs w:val="20"/>
        </w:rPr>
      </w:pPr>
    </w:p>
    <w:p w14:paraId="0B2AD50C" w14:textId="4989F926" w:rsidR="00E77A69" w:rsidRPr="007739F8" w:rsidRDefault="007739F8" w:rsidP="007739F8">
      <w:pPr>
        <w:pStyle w:val="ListParagraph"/>
        <w:tabs>
          <w:tab w:val="left" w:pos="1276"/>
          <w:tab w:val="left" w:pos="6989"/>
        </w:tabs>
        <w:spacing w:after="0" w:line="240" w:lineRule="auto"/>
        <w:ind w:left="1134"/>
        <w:jc w:val="center"/>
        <w:rPr>
          <w:rFonts w:ascii="Arial" w:hAnsi="Arial" w:cs="Arial"/>
          <w:b/>
          <w:bCs/>
          <w:sz w:val="20"/>
          <w:szCs w:val="20"/>
        </w:rPr>
      </w:pPr>
      <w:r w:rsidRPr="007739F8">
        <w:rPr>
          <w:rFonts w:ascii="Arial" w:hAnsi="Arial" w:cs="Arial"/>
          <w:b/>
          <w:bCs/>
          <w:sz w:val="20"/>
          <w:szCs w:val="20"/>
        </w:rPr>
        <w:t>ESPACIO EN BLANCO</w:t>
      </w:r>
    </w:p>
    <w:p w14:paraId="2286BBFC" w14:textId="77777777" w:rsidR="00354935" w:rsidRPr="0074154F" w:rsidRDefault="00354935" w:rsidP="00413455">
      <w:pPr>
        <w:pStyle w:val="ListParagraph"/>
        <w:numPr>
          <w:ilvl w:val="1"/>
          <w:numId w:val="3"/>
        </w:numPr>
        <w:tabs>
          <w:tab w:val="left" w:pos="1276"/>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lastRenderedPageBreak/>
        <w:t>Beneficios a trabajadores</w:t>
      </w:r>
    </w:p>
    <w:p w14:paraId="25E68139" w14:textId="77777777" w:rsidR="00354935" w:rsidRPr="0074154F" w:rsidRDefault="00354935" w:rsidP="00413455">
      <w:pPr>
        <w:pStyle w:val="ListParagraph"/>
        <w:spacing w:after="0" w:line="240" w:lineRule="auto"/>
        <w:ind w:left="1701"/>
        <w:jc w:val="both"/>
        <w:rPr>
          <w:rFonts w:ascii="Arial" w:eastAsia="Arial Unicode MS" w:hAnsi="Arial" w:cs="Arial"/>
          <w:b/>
          <w:sz w:val="20"/>
          <w:szCs w:val="20"/>
          <w:u w:val="single"/>
        </w:rPr>
      </w:pPr>
    </w:p>
    <w:p w14:paraId="16F836E9" w14:textId="3751653D" w:rsidR="00354935" w:rsidRPr="0074154F" w:rsidRDefault="00354935" w:rsidP="001479DF">
      <w:pPr>
        <w:pStyle w:val="bodycopyindent"/>
        <w:numPr>
          <w:ilvl w:val="2"/>
          <w:numId w:val="3"/>
        </w:numPr>
        <w:tabs>
          <w:tab w:val="left" w:pos="1843"/>
        </w:tabs>
        <w:spacing w:before="0" w:line="240" w:lineRule="auto"/>
        <w:ind w:left="1843" w:hanging="709"/>
        <w:jc w:val="both"/>
        <w:rPr>
          <w:rFonts w:eastAsia="Arial Unicode MS"/>
          <w:b/>
          <w:sz w:val="20"/>
          <w:szCs w:val="20"/>
          <w:u w:val="single"/>
          <w:lang w:val="es-EC"/>
        </w:rPr>
      </w:pPr>
      <w:r w:rsidRPr="0074154F">
        <w:rPr>
          <w:b/>
          <w:sz w:val="20"/>
          <w:szCs w:val="20"/>
          <w:u w:val="single"/>
          <w:lang w:val="es-EC"/>
        </w:rPr>
        <w:t xml:space="preserve">Beneficios definidos: Jubilación patronal y bonificación por </w:t>
      </w:r>
      <w:proofErr w:type="gramStart"/>
      <w:r w:rsidRPr="0074154F">
        <w:rPr>
          <w:b/>
          <w:sz w:val="20"/>
          <w:szCs w:val="20"/>
          <w:u w:val="single"/>
          <w:lang w:val="es-EC"/>
        </w:rPr>
        <w:t>desahucio</w:t>
      </w:r>
      <w:r w:rsidR="002A5612" w:rsidRPr="0074154F">
        <w:rPr>
          <w:b/>
          <w:sz w:val="20"/>
          <w:szCs w:val="20"/>
          <w:lang w:val="es-MX"/>
        </w:rPr>
        <w:t>.-</w:t>
      </w:r>
      <w:proofErr w:type="gramEnd"/>
      <w:r w:rsidRPr="0074154F">
        <w:rPr>
          <w:b/>
          <w:sz w:val="20"/>
          <w:szCs w:val="20"/>
          <w:lang w:val="es-EC"/>
        </w:rPr>
        <w:t xml:space="preserve"> </w:t>
      </w:r>
      <w:r w:rsidRPr="0074154F">
        <w:rPr>
          <w:sz w:val="20"/>
          <w:szCs w:val="20"/>
          <w:lang w:val="es-EC"/>
        </w:rPr>
        <w:t>El costo de los beneficios definidos (jubilación patronal y bonificación por desahucio) es determinado utilizando el Método de la Unidad de Crédito Proyectada, con valoraciones actuariales realizadas al final de cada período.</w:t>
      </w:r>
    </w:p>
    <w:p w14:paraId="4B5F3BE5" w14:textId="77777777" w:rsidR="00354935" w:rsidRPr="0074154F" w:rsidRDefault="00354935" w:rsidP="00413455">
      <w:pPr>
        <w:pStyle w:val="ListParagraph"/>
        <w:spacing w:after="0" w:line="240" w:lineRule="auto"/>
        <w:ind w:left="1843"/>
        <w:jc w:val="both"/>
        <w:rPr>
          <w:rFonts w:ascii="Arial" w:hAnsi="Arial" w:cs="Arial"/>
          <w:sz w:val="20"/>
          <w:szCs w:val="20"/>
        </w:rPr>
      </w:pPr>
    </w:p>
    <w:p w14:paraId="1F89A353" w14:textId="77777777" w:rsidR="00354935" w:rsidRPr="0074154F" w:rsidRDefault="00354935" w:rsidP="00413455">
      <w:pPr>
        <w:pStyle w:val="ListParagraph"/>
        <w:spacing w:after="0" w:line="240" w:lineRule="auto"/>
        <w:ind w:left="1843"/>
        <w:jc w:val="both"/>
        <w:rPr>
          <w:rFonts w:ascii="Arial" w:hAnsi="Arial" w:cs="Arial"/>
          <w:sz w:val="20"/>
          <w:szCs w:val="20"/>
        </w:rPr>
      </w:pPr>
      <w:r w:rsidRPr="0074154F">
        <w:rPr>
          <w:rFonts w:ascii="Arial" w:hAnsi="Arial" w:cs="Arial"/>
          <w:sz w:val="20"/>
          <w:szCs w:val="20"/>
        </w:rPr>
        <w:t>Los costos por servicio presente y pasado se reconocen en el resultado del año en el que se generan, así como el interés financiero generado por la obligación de beneficio definido.</w:t>
      </w:r>
    </w:p>
    <w:p w14:paraId="7E4B668A" w14:textId="77777777" w:rsidR="00354935" w:rsidRPr="0074154F" w:rsidRDefault="00354935" w:rsidP="00413455">
      <w:pPr>
        <w:pStyle w:val="ListParagraph"/>
        <w:spacing w:after="0" w:line="240" w:lineRule="auto"/>
        <w:ind w:left="1843"/>
        <w:jc w:val="both"/>
        <w:rPr>
          <w:rFonts w:ascii="Arial" w:hAnsi="Arial" w:cs="Arial"/>
          <w:sz w:val="20"/>
          <w:szCs w:val="20"/>
        </w:rPr>
      </w:pPr>
    </w:p>
    <w:p w14:paraId="2DA9AF99" w14:textId="77777777" w:rsidR="00354935" w:rsidRPr="0074154F" w:rsidRDefault="00354935" w:rsidP="00413455">
      <w:pPr>
        <w:pStyle w:val="ListParagraph"/>
        <w:spacing w:after="0" w:line="240" w:lineRule="auto"/>
        <w:ind w:left="1843"/>
        <w:jc w:val="both"/>
        <w:rPr>
          <w:rFonts w:ascii="Arial" w:hAnsi="Arial" w:cs="Arial"/>
          <w:sz w:val="20"/>
          <w:szCs w:val="20"/>
        </w:rPr>
      </w:pPr>
      <w:r w:rsidRPr="0074154F">
        <w:rPr>
          <w:rFonts w:ascii="Arial" w:hAnsi="Arial" w:cs="Arial"/>
          <w:sz w:val="20"/>
          <w:szCs w:val="20"/>
        </w:rPr>
        <w:t xml:space="preserve">Las nuevas mediciones, que comprenden las ganancias y pérdidas actuariales, se reconocen en el estado de situación financiera con cargo o abono a otro resultado integral, en el período en que se producen.  </w:t>
      </w:r>
    </w:p>
    <w:p w14:paraId="61C256F9" w14:textId="77777777" w:rsidR="00354935" w:rsidRPr="0074154F" w:rsidRDefault="00354935" w:rsidP="00413455">
      <w:pPr>
        <w:pStyle w:val="ListParagraph"/>
        <w:spacing w:after="0" w:line="240" w:lineRule="auto"/>
        <w:ind w:left="1843"/>
        <w:jc w:val="both"/>
        <w:rPr>
          <w:rFonts w:ascii="Arial" w:hAnsi="Arial" w:cs="Arial"/>
          <w:sz w:val="20"/>
          <w:szCs w:val="20"/>
        </w:rPr>
      </w:pPr>
    </w:p>
    <w:p w14:paraId="778F78DA" w14:textId="77777777" w:rsidR="00354935" w:rsidRPr="0074154F" w:rsidRDefault="00354935" w:rsidP="00413455">
      <w:pPr>
        <w:pStyle w:val="ListParagraph"/>
        <w:spacing w:after="0" w:line="240" w:lineRule="auto"/>
        <w:ind w:left="1843"/>
        <w:jc w:val="both"/>
        <w:rPr>
          <w:rFonts w:ascii="Arial" w:eastAsia="Arial Unicode MS" w:hAnsi="Arial" w:cs="Arial"/>
          <w:b/>
          <w:sz w:val="20"/>
          <w:szCs w:val="20"/>
          <w:u w:val="single"/>
        </w:rPr>
      </w:pPr>
      <w:r w:rsidRPr="0074154F">
        <w:rPr>
          <w:rFonts w:ascii="Arial" w:hAnsi="Arial" w:cs="Arial"/>
          <w:sz w:val="20"/>
          <w:szCs w:val="20"/>
        </w:rPr>
        <w:t>El reconocimiento de las ganancias y pérdidas actuariales en otro resultado integral se reflejan inmediatamente en los resultados acumulados y no son reclasificadas a la utilidad o pérdida del período.</w:t>
      </w:r>
    </w:p>
    <w:p w14:paraId="561C40B3" w14:textId="77777777" w:rsidR="00354935" w:rsidRPr="0074154F" w:rsidRDefault="00354935" w:rsidP="00413455">
      <w:pPr>
        <w:pStyle w:val="ListParagraph"/>
        <w:spacing w:after="0" w:line="240" w:lineRule="auto"/>
        <w:ind w:left="1701"/>
        <w:jc w:val="both"/>
        <w:rPr>
          <w:rFonts w:ascii="Arial" w:eastAsia="Arial Unicode MS" w:hAnsi="Arial" w:cs="Arial"/>
          <w:b/>
          <w:sz w:val="20"/>
          <w:szCs w:val="20"/>
          <w:u w:val="single"/>
        </w:rPr>
      </w:pPr>
    </w:p>
    <w:p w14:paraId="7BEEBF46" w14:textId="755EC832" w:rsidR="00F56786" w:rsidRPr="0074154F" w:rsidRDefault="00354935" w:rsidP="00413455">
      <w:pPr>
        <w:pStyle w:val="bodycopyindent"/>
        <w:numPr>
          <w:ilvl w:val="2"/>
          <w:numId w:val="3"/>
        </w:numPr>
        <w:tabs>
          <w:tab w:val="left" w:pos="1843"/>
        </w:tabs>
        <w:spacing w:before="0" w:line="240" w:lineRule="auto"/>
        <w:ind w:left="1843" w:hanging="709"/>
        <w:jc w:val="both"/>
        <w:rPr>
          <w:rFonts w:eastAsia="Arial Unicode MS"/>
          <w:b/>
          <w:sz w:val="20"/>
          <w:szCs w:val="20"/>
          <w:u w:val="single"/>
          <w:lang w:val="es-EC"/>
        </w:rPr>
      </w:pPr>
      <w:r w:rsidRPr="0074154F">
        <w:rPr>
          <w:b/>
          <w:sz w:val="20"/>
          <w:szCs w:val="20"/>
          <w:u w:val="single"/>
          <w:lang w:val="es-EC"/>
        </w:rPr>
        <w:t xml:space="preserve">Participación a </w:t>
      </w:r>
      <w:proofErr w:type="gramStart"/>
      <w:r w:rsidRPr="0074154F">
        <w:rPr>
          <w:b/>
          <w:sz w:val="20"/>
          <w:szCs w:val="20"/>
          <w:u w:val="single"/>
          <w:lang w:val="es-EC"/>
        </w:rPr>
        <w:t>trabajadores</w:t>
      </w:r>
      <w:r w:rsidR="002A5612" w:rsidRPr="0074154F">
        <w:rPr>
          <w:b/>
          <w:sz w:val="20"/>
          <w:szCs w:val="20"/>
          <w:lang w:val="es-MX"/>
        </w:rPr>
        <w:t>.-</w:t>
      </w:r>
      <w:proofErr w:type="gramEnd"/>
      <w:r w:rsidRPr="0074154F">
        <w:rPr>
          <w:b/>
          <w:sz w:val="20"/>
          <w:szCs w:val="20"/>
          <w:lang w:val="es-EC"/>
        </w:rPr>
        <w:t xml:space="preserve"> </w:t>
      </w:r>
      <w:r w:rsidR="007C02FE">
        <w:rPr>
          <w:sz w:val="20"/>
          <w:szCs w:val="20"/>
          <w:lang w:val="es-EC"/>
        </w:rPr>
        <w:t>La Compañía y su relacionada</w:t>
      </w:r>
      <w:r w:rsidRPr="0074154F">
        <w:rPr>
          <w:sz w:val="20"/>
          <w:szCs w:val="20"/>
          <w:lang w:val="es-EC"/>
        </w:rPr>
        <w:t xml:space="preserve"> reconoce un pasivo y un gasto por la participación de los trabajadores en las utilidades de la Compañía.</w:t>
      </w:r>
      <w:r w:rsidR="00C13EC6" w:rsidRPr="0074154F">
        <w:rPr>
          <w:sz w:val="20"/>
          <w:szCs w:val="20"/>
          <w:lang w:val="es-EC"/>
        </w:rPr>
        <w:t xml:space="preserve"> </w:t>
      </w:r>
      <w:r w:rsidRPr="0074154F">
        <w:rPr>
          <w:sz w:val="20"/>
          <w:szCs w:val="20"/>
          <w:lang w:val="es-EC"/>
        </w:rPr>
        <w:t>Este beneficio se calcula a la tasa del 15% de las utilidades líquidas de acuerdo con disposiciones legales</w:t>
      </w:r>
      <w:r w:rsidRPr="0074154F">
        <w:rPr>
          <w:b/>
          <w:sz w:val="20"/>
          <w:szCs w:val="20"/>
          <w:lang w:val="es-EC"/>
        </w:rPr>
        <w:t>.</w:t>
      </w:r>
    </w:p>
    <w:p w14:paraId="229DB0CE" w14:textId="116809EE" w:rsidR="00354935" w:rsidRPr="0074154F" w:rsidRDefault="00354935" w:rsidP="00413455">
      <w:pPr>
        <w:pStyle w:val="ListParagraph"/>
        <w:tabs>
          <w:tab w:val="left" w:pos="1276"/>
          <w:tab w:val="left" w:pos="6989"/>
        </w:tabs>
        <w:spacing w:after="0" w:line="240" w:lineRule="auto"/>
        <w:ind w:left="1134"/>
        <w:jc w:val="both"/>
        <w:rPr>
          <w:rFonts w:ascii="Arial" w:hAnsi="Arial" w:cs="Arial"/>
          <w:b/>
          <w:bCs/>
          <w:iCs/>
          <w:sz w:val="20"/>
          <w:szCs w:val="20"/>
          <w:u w:val="single"/>
        </w:rPr>
      </w:pPr>
    </w:p>
    <w:p w14:paraId="63845B54" w14:textId="77777777" w:rsidR="00354935" w:rsidRPr="0074154F" w:rsidRDefault="00354935" w:rsidP="00413455">
      <w:pPr>
        <w:pStyle w:val="ListParagraph"/>
        <w:numPr>
          <w:ilvl w:val="1"/>
          <w:numId w:val="3"/>
        </w:numPr>
        <w:tabs>
          <w:tab w:val="left" w:pos="1276"/>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t>Reconocimiento de ingresos</w:t>
      </w:r>
    </w:p>
    <w:p w14:paraId="67B08A38" w14:textId="77777777" w:rsidR="00354935" w:rsidRPr="0074154F" w:rsidRDefault="00354935" w:rsidP="00413455">
      <w:pPr>
        <w:spacing w:after="0" w:line="240" w:lineRule="auto"/>
        <w:ind w:left="1134"/>
        <w:jc w:val="both"/>
        <w:rPr>
          <w:rFonts w:ascii="Arial" w:hAnsi="Arial" w:cs="Arial"/>
          <w:sz w:val="20"/>
          <w:szCs w:val="20"/>
        </w:rPr>
      </w:pPr>
    </w:p>
    <w:p w14:paraId="7AB364FA" w14:textId="2213FD6C" w:rsidR="00354935" w:rsidRPr="0074154F" w:rsidRDefault="00354935" w:rsidP="00413455">
      <w:pPr>
        <w:spacing w:after="0" w:line="240" w:lineRule="auto"/>
        <w:ind w:left="1134"/>
        <w:jc w:val="both"/>
        <w:rPr>
          <w:rFonts w:ascii="Arial" w:hAnsi="Arial" w:cs="Arial"/>
          <w:sz w:val="20"/>
          <w:szCs w:val="20"/>
        </w:rPr>
      </w:pPr>
      <w:r w:rsidRPr="0074154F">
        <w:rPr>
          <w:rFonts w:ascii="Arial" w:hAnsi="Arial" w:cs="Arial"/>
          <w:sz w:val="20"/>
          <w:szCs w:val="20"/>
        </w:rPr>
        <w:t>Se calculan al valor razonable de la contraprestación cobrada o por cobrar, teniendo en cuenta el importe estimado de cualquier descuento, bonificación o rebaja comercial que la Compañía</w:t>
      </w:r>
      <w:r w:rsidR="007739F8">
        <w:rPr>
          <w:rFonts w:ascii="Arial" w:hAnsi="Arial" w:cs="Arial"/>
          <w:sz w:val="20"/>
          <w:szCs w:val="20"/>
        </w:rPr>
        <w:t xml:space="preserve"> y su relacionada</w:t>
      </w:r>
      <w:r w:rsidRPr="0074154F">
        <w:rPr>
          <w:rFonts w:ascii="Arial" w:hAnsi="Arial" w:cs="Arial"/>
          <w:sz w:val="20"/>
          <w:szCs w:val="20"/>
        </w:rPr>
        <w:t xml:space="preserve"> pueda otorgar.</w:t>
      </w:r>
    </w:p>
    <w:p w14:paraId="415FA3F8" w14:textId="45189BE1" w:rsidR="00CB2F8E" w:rsidRPr="0074154F" w:rsidRDefault="00CB2F8E" w:rsidP="00413455">
      <w:pPr>
        <w:spacing w:after="0" w:line="240" w:lineRule="auto"/>
        <w:ind w:left="1134"/>
        <w:jc w:val="both"/>
        <w:rPr>
          <w:rFonts w:ascii="Arial" w:hAnsi="Arial" w:cs="Arial"/>
          <w:sz w:val="20"/>
          <w:szCs w:val="20"/>
        </w:rPr>
      </w:pPr>
    </w:p>
    <w:p w14:paraId="5C20CFDE" w14:textId="36BDCEE9" w:rsidR="00CB2F8E" w:rsidRPr="0074154F" w:rsidRDefault="00CB2F8E" w:rsidP="00413455">
      <w:pPr>
        <w:spacing w:after="0" w:line="240" w:lineRule="auto"/>
        <w:ind w:left="1134"/>
        <w:jc w:val="both"/>
        <w:rPr>
          <w:rFonts w:ascii="Arial" w:hAnsi="Arial" w:cs="Arial"/>
          <w:sz w:val="20"/>
          <w:szCs w:val="20"/>
        </w:rPr>
      </w:pPr>
      <w:r w:rsidRPr="0074154F">
        <w:rPr>
          <w:rFonts w:ascii="Arial" w:hAnsi="Arial" w:cs="Arial"/>
          <w:sz w:val="20"/>
          <w:szCs w:val="20"/>
        </w:rPr>
        <w:t>Los ingresos se reconocen cuando</w:t>
      </w:r>
      <w:r w:rsidR="00EB6A39" w:rsidRPr="0074154F">
        <w:rPr>
          <w:rFonts w:ascii="Arial" w:hAnsi="Arial" w:cs="Arial"/>
          <w:sz w:val="20"/>
          <w:szCs w:val="20"/>
        </w:rPr>
        <w:t>: (a) se</w:t>
      </w:r>
      <w:r w:rsidRPr="0074154F">
        <w:rPr>
          <w:rFonts w:ascii="Arial" w:hAnsi="Arial" w:cs="Arial"/>
          <w:sz w:val="20"/>
          <w:szCs w:val="20"/>
        </w:rPr>
        <w:t xml:space="preserve"> transfiere</w:t>
      </w:r>
      <w:r w:rsidR="00EB6A39" w:rsidRPr="0074154F">
        <w:rPr>
          <w:rFonts w:ascii="Arial" w:hAnsi="Arial" w:cs="Arial"/>
          <w:sz w:val="20"/>
          <w:szCs w:val="20"/>
        </w:rPr>
        <w:t>n</w:t>
      </w:r>
      <w:r w:rsidRPr="0074154F">
        <w:rPr>
          <w:rFonts w:ascii="Arial" w:hAnsi="Arial" w:cs="Arial"/>
          <w:sz w:val="20"/>
          <w:szCs w:val="20"/>
        </w:rPr>
        <w:t xml:space="preserve"> los riesgos y beneficios</w:t>
      </w:r>
      <w:r w:rsidR="00EB6A39" w:rsidRPr="0074154F">
        <w:rPr>
          <w:rFonts w:ascii="Arial" w:hAnsi="Arial" w:cs="Arial"/>
          <w:sz w:val="20"/>
          <w:szCs w:val="20"/>
        </w:rPr>
        <w:t xml:space="preserve"> </w:t>
      </w:r>
      <w:r w:rsidRPr="0074154F">
        <w:rPr>
          <w:rFonts w:ascii="Arial" w:hAnsi="Arial" w:cs="Arial"/>
          <w:sz w:val="20"/>
          <w:szCs w:val="20"/>
        </w:rPr>
        <w:t>de tipo significativo</w:t>
      </w:r>
      <w:r w:rsidR="00EB6A39" w:rsidRPr="0074154F">
        <w:rPr>
          <w:rFonts w:ascii="Arial" w:hAnsi="Arial" w:cs="Arial"/>
          <w:sz w:val="20"/>
          <w:szCs w:val="20"/>
        </w:rPr>
        <w:t xml:space="preserve"> </w:t>
      </w:r>
      <w:r w:rsidRPr="0074154F">
        <w:rPr>
          <w:rFonts w:ascii="Arial" w:hAnsi="Arial" w:cs="Arial"/>
          <w:sz w:val="20"/>
          <w:szCs w:val="20"/>
        </w:rPr>
        <w:t xml:space="preserve">derivados de los servicios </w:t>
      </w:r>
      <w:r w:rsidR="00C700AF" w:rsidRPr="0074154F">
        <w:rPr>
          <w:rFonts w:ascii="Arial" w:hAnsi="Arial" w:cs="Arial"/>
          <w:sz w:val="20"/>
          <w:szCs w:val="20"/>
        </w:rPr>
        <w:t xml:space="preserve">de internet, servicios portadores y </w:t>
      </w:r>
      <w:r w:rsidR="00EB6A39" w:rsidRPr="0074154F">
        <w:rPr>
          <w:rFonts w:ascii="Arial" w:hAnsi="Arial" w:cs="Arial"/>
          <w:sz w:val="20"/>
          <w:szCs w:val="20"/>
        </w:rPr>
        <w:t>D</w:t>
      </w:r>
      <w:r w:rsidR="00C700AF" w:rsidRPr="0074154F">
        <w:rPr>
          <w:rFonts w:ascii="Arial" w:hAnsi="Arial" w:cs="Arial"/>
          <w:sz w:val="20"/>
          <w:szCs w:val="20"/>
        </w:rPr>
        <w:t xml:space="preserve">ata </w:t>
      </w:r>
      <w:proofErr w:type="gramStart"/>
      <w:r w:rsidR="00EB6A39" w:rsidRPr="0074154F">
        <w:rPr>
          <w:rFonts w:ascii="Arial" w:hAnsi="Arial" w:cs="Arial"/>
          <w:sz w:val="20"/>
          <w:szCs w:val="20"/>
        </w:rPr>
        <w:t>C</w:t>
      </w:r>
      <w:r w:rsidR="00C700AF" w:rsidRPr="0074154F">
        <w:rPr>
          <w:rFonts w:ascii="Arial" w:hAnsi="Arial" w:cs="Arial"/>
          <w:sz w:val="20"/>
          <w:szCs w:val="20"/>
        </w:rPr>
        <w:t>enter</w:t>
      </w:r>
      <w:r w:rsidRPr="0074154F">
        <w:rPr>
          <w:rFonts w:ascii="Arial" w:hAnsi="Arial" w:cs="Arial"/>
          <w:sz w:val="20"/>
          <w:szCs w:val="20"/>
        </w:rPr>
        <w:t xml:space="preserve">; </w:t>
      </w:r>
      <w:r w:rsidR="00EB6A39" w:rsidRPr="0074154F">
        <w:rPr>
          <w:rFonts w:ascii="Arial" w:hAnsi="Arial" w:cs="Arial"/>
          <w:sz w:val="20"/>
          <w:szCs w:val="20"/>
        </w:rPr>
        <w:t xml:space="preserve">  </w:t>
      </w:r>
      <w:proofErr w:type="gramEnd"/>
      <w:r w:rsidR="00EB6A39" w:rsidRPr="0074154F">
        <w:rPr>
          <w:rFonts w:ascii="Arial" w:hAnsi="Arial" w:cs="Arial"/>
          <w:sz w:val="20"/>
          <w:szCs w:val="20"/>
        </w:rPr>
        <w:t xml:space="preserve">      (b) </w:t>
      </w:r>
      <w:r w:rsidRPr="0074154F">
        <w:rPr>
          <w:rFonts w:ascii="Arial" w:hAnsi="Arial" w:cs="Arial"/>
          <w:sz w:val="20"/>
          <w:szCs w:val="20"/>
        </w:rPr>
        <w:t>el importe de los ingresos y los costos incurridos, o por incurrir, en relación con la transacción pueden ser medidos con fiabilidad</w:t>
      </w:r>
      <w:r w:rsidR="00EB6A39" w:rsidRPr="0074154F">
        <w:rPr>
          <w:rFonts w:ascii="Arial" w:hAnsi="Arial" w:cs="Arial"/>
          <w:sz w:val="20"/>
          <w:szCs w:val="20"/>
        </w:rPr>
        <w:t xml:space="preserve">; </w:t>
      </w:r>
      <w:r w:rsidRPr="0074154F">
        <w:rPr>
          <w:rFonts w:ascii="Arial" w:hAnsi="Arial" w:cs="Arial"/>
          <w:sz w:val="20"/>
          <w:szCs w:val="20"/>
        </w:rPr>
        <w:t xml:space="preserve">y </w:t>
      </w:r>
      <w:r w:rsidR="00EB6A39" w:rsidRPr="0074154F">
        <w:rPr>
          <w:rFonts w:ascii="Arial" w:hAnsi="Arial" w:cs="Arial"/>
          <w:sz w:val="20"/>
          <w:szCs w:val="20"/>
        </w:rPr>
        <w:t xml:space="preserve">(c) </w:t>
      </w:r>
      <w:r w:rsidRPr="0074154F">
        <w:rPr>
          <w:rFonts w:ascii="Arial" w:hAnsi="Arial" w:cs="Arial"/>
          <w:sz w:val="20"/>
          <w:szCs w:val="20"/>
        </w:rPr>
        <w:t xml:space="preserve">es probable que </w:t>
      </w:r>
      <w:r w:rsidR="00EB6A39" w:rsidRPr="0074154F">
        <w:rPr>
          <w:rFonts w:ascii="Arial" w:hAnsi="Arial" w:cs="Arial"/>
          <w:sz w:val="20"/>
          <w:szCs w:val="20"/>
        </w:rPr>
        <w:t xml:space="preserve">se </w:t>
      </w:r>
      <w:r w:rsidRPr="0074154F">
        <w:rPr>
          <w:rFonts w:ascii="Arial" w:hAnsi="Arial" w:cs="Arial"/>
          <w:sz w:val="20"/>
          <w:szCs w:val="20"/>
        </w:rPr>
        <w:t>reciba</w:t>
      </w:r>
      <w:r w:rsidR="00EB6A39" w:rsidRPr="0074154F">
        <w:rPr>
          <w:rFonts w:ascii="Arial" w:hAnsi="Arial" w:cs="Arial"/>
          <w:sz w:val="20"/>
          <w:szCs w:val="20"/>
        </w:rPr>
        <w:t>n</w:t>
      </w:r>
      <w:r w:rsidRPr="0074154F">
        <w:rPr>
          <w:rFonts w:ascii="Arial" w:hAnsi="Arial" w:cs="Arial"/>
          <w:sz w:val="20"/>
          <w:szCs w:val="20"/>
        </w:rPr>
        <w:t xml:space="preserve"> los beneficios económicos asociados con la transacción.</w:t>
      </w:r>
      <w:r w:rsidR="00EB6A39" w:rsidRPr="0074154F">
        <w:rPr>
          <w:rFonts w:ascii="Arial" w:hAnsi="Arial" w:cs="Arial"/>
          <w:sz w:val="20"/>
          <w:szCs w:val="20"/>
        </w:rPr>
        <w:t xml:space="preserve">  </w:t>
      </w:r>
    </w:p>
    <w:p w14:paraId="25341C58" w14:textId="5B3017D6" w:rsidR="00CB2F8E" w:rsidRPr="0074154F" w:rsidRDefault="00CB2F8E" w:rsidP="00413455">
      <w:pPr>
        <w:spacing w:after="0" w:line="240" w:lineRule="auto"/>
        <w:ind w:left="1134"/>
        <w:jc w:val="both"/>
        <w:rPr>
          <w:rFonts w:ascii="Arial" w:hAnsi="Arial" w:cs="Arial"/>
          <w:sz w:val="20"/>
          <w:szCs w:val="20"/>
        </w:rPr>
      </w:pPr>
    </w:p>
    <w:p w14:paraId="24AABCF2" w14:textId="19E15C54" w:rsidR="00F43B6F" w:rsidRPr="0074154F" w:rsidRDefault="00F43B6F" w:rsidP="00413455">
      <w:pPr>
        <w:spacing w:after="0" w:line="240" w:lineRule="auto"/>
        <w:ind w:left="1134"/>
        <w:jc w:val="both"/>
        <w:rPr>
          <w:rFonts w:ascii="Arial" w:hAnsi="Arial" w:cs="Arial"/>
          <w:sz w:val="20"/>
          <w:szCs w:val="20"/>
        </w:rPr>
      </w:pPr>
      <w:r w:rsidRPr="00C31DB6">
        <w:rPr>
          <w:rFonts w:ascii="Arial" w:hAnsi="Arial" w:cs="Arial"/>
          <w:sz w:val="20"/>
          <w:szCs w:val="20"/>
        </w:rPr>
        <w:t xml:space="preserve">Los ingresos corresponden </w:t>
      </w:r>
      <w:r w:rsidR="00AA5FAA">
        <w:rPr>
          <w:rFonts w:ascii="Arial" w:hAnsi="Arial" w:cs="Arial"/>
          <w:sz w:val="20"/>
          <w:szCs w:val="20"/>
        </w:rPr>
        <w:t>a prestaciones de</w:t>
      </w:r>
      <w:r w:rsidRPr="00C31DB6">
        <w:rPr>
          <w:rFonts w:ascii="Arial" w:hAnsi="Arial" w:cs="Arial"/>
          <w:sz w:val="20"/>
          <w:szCs w:val="20"/>
        </w:rPr>
        <w:t xml:space="preserve"> Servicios de </w:t>
      </w:r>
      <w:r w:rsidR="00AA5FAA">
        <w:rPr>
          <w:rFonts w:ascii="Arial" w:hAnsi="Arial" w:cs="Arial"/>
          <w:sz w:val="20"/>
          <w:szCs w:val="20"/>
        </w:rPr>
        <w:t>I</w:t>
      </w:r>
      <w:r w:rsidRPr="00C31DB6">
        <w:rPr>
          <w:rFonts w:ascii="Arial" w:hAnsi="Arial" w:cs="Arial"/>
          <w:sz w:val="20"/>
          <w:szCs w:val="20"/>
        </w:rPr>
        <w:t xml:space="preserve">nternet, Servicios </w:t>
      </w:r>
      <w:r w:rsidR="00AA5FAA">
        <w:rPr>
          <w:rFonts w:ascii="Arial" w:hAnsi="Arial" w:cs="Arial"/>
          <w:sz w:val="20"/>
          <w:szCs w:val="20"/>
        </w:rPr>
        <w:t>P</w:t>
      </w:r>
      <w:r w:rsidRPr="00C31DB6">
        <w:rPr>
          <w:rFonts w:ascii="Arial" w:hAnsi="Arial" w:cs="Arial"/>
          <w:sz w:val="20"/>
          <w:szCs w:val="20"/>
        </w:rPr>
        <w:t>ortadores y Data Center</w:t>
      </w:r>
      <w:r w:rsidR="0043319A" w:rsidRPr="00C31DB6">
        <w:rPr>
          <w:rFonts w:ascii="Arial" w:hAnsi="Arial" w:cs="Arial"/>
          <w:sz w:val="20"/>
          <w:szCs w:val="20"/>
        </w:rPr>
        <w:t xml:space="preserve"> y son reconocidos en la medida en que es probable que los beneficios fluyan hacia la Compañía y puedan ser medidos la prestación del servicio de acuerdo con las condiciones pactadas.</w:t>
      </w:r>
      <w:r w:rsidRPr="0074154F">
        <w:rPr>
          <w:rFonts w:ascii="Arial" w:hAnsi="Arial" w:cs="Arial"/>
          <w:sz w:val="20"/>
          <w:szCs w:val="20"/>
        </w:rPr>
        <w:t xml:space="preserve"> </w:t>
      </w:r>
    </w:p>
    <w:p w14:paraId="7AC38861" w14:textId="77777777" w:rsidR="0043319A" w:rsidRPr="0074154F" w:rsidRDefault="0043319A" w:rsidP="00413455">
      <w:pPr>
        <w:spacing w:after="0" w:line="240" w:lineRule="auto"/>
        <w:ind w:left="1134"/>
        <w:jc w:val="both"/>
        <w:rPr>
          <w:rFonts w:ascii="Arial" w:hAnsi="Arial" w:cs="Arial"/>
          <w:sz w:val="20"/>
          <w:szCs w:val="20"/>
        </w:rPr>
      </w:pPr>
    </w:p>
    <w:p w14:paraId="5F0F4B9A" w14:textId="3C5AE22F" w:rsidR="00CB2F8E" w:rsidRPr="0074154F" w:rsidRDefault="0043319A" w:rsidP="00413455">
      <w:pPr>
        <w:spacing w:after="0" w:line="240" w:lineRule="auto"/>
        <w:ind w:left="1134"/>
        <w:jc w:val="both"/>
        <w:rPr>
          <w:rFonts w:ascii="Arial" w:hAnsi="Arial" w:cs="Arial"/>
          <w:sz w:val="20"/>
          <w:szCs w:val="20"/>
        </w:rPr>
      </w:pPr>
      <w:r w:rsidRPr="0074154F">
        <w:rPr>
          <w:rFonts w:ascii="Arial" w:hAnsi="Arial" w:cs="Arial"/>
          <w:sz w:val="20"/>
          <w:szCs w:val="20"/>
        </w:rPr>
        <w:t>L</w:t>
      </w:r>
      <w:r w:rsidR="00C700AF" w:rsidRPr="0074154F">
        <w:rPr>
          <w:rFonts w:ascii="Arial" w:hAnsi="Arial" w:cs="Arial"/>
          <w:sz w:val="20"/>
          <w:szCs w:val="20"/>
        </w:rPr>
        <w:t xml:space="preserve">os ingresos por proyectos específicos de equipamiento y conectividad relacionados a los trabajos en procesos vinculados con </w:t>
      </w:r>
      <w:proofErr w:type="spellStart"/>
      <w:r w:rsidR="00C700AF" w:rsidRPr="0074154F">
        <w:rPr>
          <w:rFonts w:ascii="Arial" w:hAnsi="Arial" w:cs="Arial"/>
          <w:sz w:val="20"/>
          <w:szCs w:val="20"/>
        </w:rPr>
        <w:t>Otecel</w:t>
      </w:r>
      <w:proofErr w:type="spellEnd"/>
      <w:r w:rsidR="00C700AF" w:rsidRPr="0074154F">
        <w:rPr>
          <w:rFonts w:ascii="Arial" w:hAnsi="Arial" w:cs="Arial"/>
          <w:sz w:val="20"/>
          <w:szCs w:val="20"/>
        </w:rPr>
        <w:t xml:space="preserve"> S.A.</w:t>
      </w:r>
      <w:r w:rsidR="00550102" w:rsidRPr="0074154F">
        <w:rPr>
          <w:rFonts w:ascii="Arial" w:hAnsi="Arial" w:cs="Arial"/>
          <w:sz w:val="20"/>
          <w:szCs w:val="20"/>
        </w:rPr>
        <w:t xml:space="preserve"> </w:t>
      </w:r>
      <w:r w:rsidR="00C700AF" w:rsidRPr="0074154F">
        <w:rPr>
          <w:rFonts w:ascii="Arial" w:hAnsi="Arial" w:cs="Arial"/>
          <w:sz w:val="20"/>
          <w:szCs w:val="20"/>
        </w:rPr>
        <w:t xml:space="preserve">se reconocen a medida que los riesgos y beneficios son transferidos a los clientes y la recuperación de la cartera esta razonablemente asegurada. </w:t>
      </w:r>
      <w:r w:rsidR="00550102" w:rsidRPr="0074154F">
        <w:rPr>
          <w:rFonts w:ascii="Arial" w:hAnsi="Arial" w:cs="Arial"/>
          <w:sz w:val="20"/>
          <w:szCs w:val="20"/>
        </w:rPr>
        <w:t xml:space="preserve"> </w:t>
      </w:r>
    </w:p>
    <w:p w14:paraId="5ED6C4CF" w14:textId="70492C70" w:rsidR="008A2F9B" w:rsidRPr="0074154F" w:rsidRDefault="008A2F9B" w:rsidP="00413455">
      <w:pPr>
        <w:spacing w:after="0" w:line="240" w:lineRule="auto"/>
        <w:ind w:left="1134"/>
        <w:jc w:val="both"/>
        <w:rPr>
          <w:rFonts w:ascii="Arial" w:hAnsi="Arial" w:cs="Arial"/>
          <w:sz w:val="20"/>
          <w:szCs w:val="20"/>
        </w:rPr>
      </w:pPr>
    </w:p>
    <w:p w14:paraId="423AAC77" w14:textId="579535A7" w:rsidR="008A2F9B" w:rsidRPr="0074154F" w:rsidRDefault="008A2F9B" w:rsidP="00413455">
      <w:pPr>
        <w:spacing w:after="0" w:line="240" w:lineRule="auto"/>
        <w:ind w:left="1134"/>
        <w:jc w:val="both"/>
        <w:rPr>
          <w:rFonts w:ascii="Arial" w:hAnsi="Arial" w:cs="Arial"/>
          <w:sz w:val="20"/>
          <w:szCs w:val="20"/>
        </w:rPr>
      </w:pPr>
      <w:r w:rsidRPr="0074154F">
        <w:rPr>
          <w:rFonts w:ascii="Arial" w:hAnsi="Arial" w:cs="Arial"/>
          <w:b/>
          <w:bCs/>
          <w:sz w:val="20"/>
          <w:szCs w:val="20"/>
          <w:u w:val="single"/>
        </w:rPr>
        <w:t>Otros</w:t>
      </w:r>
      <w:r w:rsidR="005B01C6" w:rsidRPr="0074154F">
        <w:rPr>
          <w:rFonts w:ascii="Arial" w:hAnsi="Arial" w:cs="Arial"/>
          <w:b/>
          <w:bCs/>
          <w:sz w:val="20"/>
          <w:szCs w:val="20"/>
          <w:u w:val="single"/>
        </w:rPr>
        <w:t xml:space="preserve"> </w:t>
      </w:r>
      <w:proofErr w:type="gramStart"/>
      <w:r w:rsidRPr="0074154F">
        <w:rPr>
          <w:rFonts w:ascii="Arial" w:hAnsi="Arial" w:cs="Arial"/>
          <w:b/>
          <w:bCs/>
          <w:sz w:val="20"/>
          <w:szCs w:val="20"/>
          <w:u w:val="single"/>
        </w:rPr>
        <w:t>ingresos</w:t>
      </w:r>
      <w:r w:rsidR="002A5612" w:rsidRPr="0074154F">
        <w:rPr>
          <w:b/>
          <w:sz w:val="20"/>
          <w:szCs w:val="20"/>
          <w:lang w:val="es-MX"/>
        </w:rPr>
        <w:t>.-</w:t>
      </w:r>
      <w:proofErr w:type="gramEnd"/>
      <w:r w:rsidRPr="0074154F">
        <w:rPr>
          <w:rFonts w:ascii="Arial" w:hAnsi="Arial" w:cs="Arial"/>
          <w:b/>
          <w:bCs/>
          <w:sz w:val="20"/>
          <w:szCs w:val="20"/>
        </w:rPr>
        <w:t xml:space="preserve"> </w:t>
      </w:r>
      <w:r w:rsidRPr="0074154F">
        <w:rPr>
          <w:rFonts w:ascii="Arial" w:hAnsi="Arial" w:cs="Arial"/>
          <w:sz w:val="20"/>
          <w:szCs w:val="20"/>
        </w:rPr>
        <w:t>Corresponden a transacciones de venta de bienes y servicios relacionado con otras actividades distintas al giro del negocio principal y que no son significativos y/o recurrentes.</w:t>
      </w:r>
    </w:p>
    <w:p w14:paraId="0B49E6A0" w14:textId="77777777" w:rsidR="00703E77" w:rsidRPr="0074154F" w:rsidRDefault="00703E77" w:rsidP="00703E77">
      <w:pPr>
        <w:pStyle w:val="bodycopyindent"/>
        <w:tabs>
          <w:tab w:val="left" w:pos="1843"/>
        </w:tabs>
        <w:spacing w:before="0" w:line="240" w:lineRule="auto"/>
        <w:ind w:left="1843"/>
        <w:jc w:val="both"/>
        <w:rPr>
          <w:sz w:val="20"/>
          <w:szCs w:val="20"/>
          <w:lang w:val="es-EC"/>
        </w:rPr>
      </w:pPr>
    </w:p>
    <w:p w14:paraId="0EF82ADF" w14:textId="550A6823" w:rsidR="008A2F9B" w:rsidRPr="0074154F" w:rsidRDefault="008A2F9B" w:rsidP="00413455">
      <w:pPr>
        <w:pStyle w:val="bodycopyindent"/>
        <w:numPr>
          <w:ilvl w:val="2"/>
          <w:numId w:val="3"/>
        </w:numPr>
        <w:tabs>
          <w:tab w:val="left" w:pos="1843"/>
        </w:tabs>
        <w:spacing w:before="0" w:line="240" w:lineRule="auto"/>
        <w:ind w:left="1843" w:hanging="709"/>
        <w:jc w:val="both"/>
        <w:rPr>
          <w:sz w:val="20"/>
          <w:szCs w:val="20"/>
          <w:lang w:val="es-EC"/>
        </w:rPr>
      </w:pPr>
      <w:r w:rsidRPr="0074154F">
        <w:rPr>
          <w:b/>
          <w:sz w:val="20"/>
          <w:szCs w:val="20"/>
          <w:u w:val="single"/>
          <w:lang w:val="es-EC"/>
        </w:rPr>
        <w:t xml:space="preserve">Ingresos por dividendos e </w:t>
      </w:r>
      <w:proofErr w:type="gramStart"/>
      <w:r w:rsidRPr="0074154F">
        <w:rPr>
          <w:b/>
          <w:sz w:val="20"/>
          <w:szCs w:val="20"/>
          <w:u w:val="single"/>
          <w:lang w:val="es-EC"/>
        </w:rPr>
        <w:t>intereses</w:t>
      </w:r>
      <w:r w:rsidR="002A5612" w:rsidRPr="0074154F">
        <w:rPr>
          <w:b/>
          <w:sz w:val="20"/>
          <w:szCs w:val="20"/>
          <w:lang w:val="es-MX"/>
        </w:rPr>
        <w:t>.-</w:t>
      </w:r>
      <w:proofErr w:type="gramEnd"/>
      <w:r w:rsidRPr="0074154F">
        <w:rPr>
          <w:b/>
          <w:sz w:val="20"/>
          <w:szCs w:val="20"/>
          <w:lang w:val="es-EC"/>
        </w:rPr>
        <w:t xml:space="preserve"> </w:t>
      </w:r>
      <w:r w:rsidRPr="0074154F">
        <w:rPr>
          <w:bCs/>
          <w:sz w:val="20"/>
          <w:szCs w:val="20"/>
          <w:lang w:val="es-EC"/>
        </w:rPr>
        <w:t>El ingreso por dividendos de las inversiones en acciones es reconocido una vez que se han establecido los derechos de los accionistas para recibir este pago.</w:t>
      </w:r>
    </w:p>
    <w:p w14:paraId="65CDC774" w14:textId="22699179" w:rsidR="008A2F9B" w:rsidRPr="0074154F" w:rsidRDefault="008A2F9B" w:rsidP="00413455">
      <w:pPr>
        <w:pStyle w:val="bodycopyindent"/>
        <w:tabs>
          <w:tab w:val="left" w:pos="1843"/>
        </w:tabs>
        <w:spacing w:before="0" w:line="240" w:lineRule="auto"/>
        <w:ind w:left="1843"/>
        <w:jc w:val="both"/>
        <w:rPr>
          <w:b/>
          <w:sz w:val="20"/>
          <w:szCs w:val="20"/>
          <w:u w:val="single"/>
          <w:lang w:val="es-EC"/>
        </w:rPr>
      </w:pPr>
    </w:p>
    <w:p w14:paraId="46FE8AC0" w14:textId="73D4FDA9" w:rsidR="008A2F9B" w:rsidRPr="0074154F" w:rsidRDefault="008A2F9B" w:rsidP="00413455">
      <w:pPr>
        <w:pStyle w:val="bodycopyindent"/>
        <w:tabs>
          <w:tab w:val="left" w:pos="1843"/>
        </w:tabs>
        <w:spacing w:before="0" w:line="240" w:lineRule="auto"/>
        <w:ind w:left="1843"/>
        <w:jc w:val="both"/>
        <w:rPr>
          <w:bCs/>
          <w:sz w:val="20"/>
          <w:szCs w:val="20"/>
          <w:lang w:val="es-EC"/>
        </w:rPr>
      </w:pPr>
      <w:r w:rsidRPr="0074154F">
        <w:rPr>
          <w:bCs/>
          <w:sz w:val="20"/>
          <w:szCs w:val="20"/>
          <w:lang w:val="es-EC"/>
        </w:rPr>
        <w:t>Los ingresos por intereses de un activo financiero se reconocen cuando sea probable que la Compañía reciba los beneficios económicos asociados con la transacción y el importe de los ingresos pueda ser medido de forma fiable.</w:t>
      </w:r>
    </w:p>
    <w:p w14:paraId="4D1429A4" w14:textId="053BE124" w:rsidR="008A2F9B" w:rsidRDefault="008A2F9B" w:rsidP="00413455">
      <w:pPr>
        <w:pStyle w:val="bodycopyindent"/>
        <w:tabs>
          <w:tab w:val="left" w:pos="1843"/>
        </w:tabs>
        <w:spacing w:before="0" w:line="240" w:lineRule="auto"/>
        <w:ind w:left="1843"/>
        <w:jc w:val="both"/>
        <w:rPr>
          <w:bCs/>
          <w:sz w:val="20"/>
          <w:szCs w:val="20"/>
          <w:lang w:val="es-EC"/>
        </w:rPr>
      </w:pPr>
    </w:p>
    <w:p w14:paraId="6538C2E5" w14:textId="4D99BA76" w:rsidR="00E77A69" w:rsidRDefault="00E77A69" w:rsidP="00413455">
      <w:pPr>
        <w:pStyle w:val="bodycopyindent"/>
        <w:tabs>
          <w:tab w:val="left" w:pos="1843"/>
        </w:tabs>
        <w:spacing w:before="0" w:line="240" w:lineRule="auto"/>
        <w:ind w:left="1843"/>
        <w:jc w:val="both"/>
        <w:rPr>
          <w:bCs/>
          <w:sz w:val="20"/>
          <w:szCs w:val="20"/>
          <w:lang w:val="es-EC"/>
        </w:rPr>
      </w:pPr>
    </w:p>
    <w:p w14:paraId="1D931098" w14:textId="77777777" w:rsidR="00E77A69" w:rsidRPr="0074154F" w:rsidRDefault="00E77A69" w:rsidP="00413455">
      <w:pPr>
        <w:pStyle w:val="bodycopyindent"/>
        <w:tabs>
          <w:tab w:val="left" w:pos="1843"/>
        </w:tabs>
        <w:spacing w:before="0" w:line="240" w:lineRule="auto"/>
        <w:ind w:left="1843"/>
        <w:jc w:val="both"/>
        <w:rPr>
          <w:bCs/>
          <w:sz w:val="20"/>
          <w:szCs w:val="20"/>
          <w:lang w:val="es-EC"/>
        </w:rPr>
      </w:pPr>
    </w:p>
    <w:p w14:paraId="5FDB6C42" w14:textId="4F9ADC96" w:rsidR="00354935" w:rsidRPr="0074154F" w:rsidRDefault="00354935" w:rsidP="00413455">
      <w:pPr>
        <w:pStyle w:val="ListParagraph"/>
        <w:numPr>
          <w:ilvl w:val="1"/>
          <w:numId w:val="3"/>
        </w:numPr>
        <w:tabs>
          <w:tab w:val="left" w:pos="1276"/>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lastRenderedPageBreak/>
        <w:t>Costos y gastos</w:t>
      </w:r>
    </w:p>
    <w:p w14:paraId="7FD50D12" w14:textId="77777777" w:rsidR="00354935" w:rsidRPr="0074154F" w:rsidRDefault="00354935" w:rsidP="00413455">
      <w:pPr>
        <w:spacing w:after="0" w:line="240" w:lineRule="auto"/>
        <w:ind w:left="1134"/>
        <w:jc w:val="both"/>
        <w:rPr>
          <w:rFonts w:ascii="Arial" w:hAnsi="Arial" w:cs="Arial"/>
          <w:sz w:val="20"/>
          <w:szCs w:val="20"/>
        </w:rPr>
      </w:pPr>
    </w:p>
    <w:p w14:paraId="2B63575D" w14:textId="369BB9FF" w:rsidR="00354935" w:rsidRPr="0074154F" w:rsidRDefault="00354935" w:rsidP="00413455">
      <w:pPr>
        <w:spacing w:after="0" w:line="240" w:lineRule="auto"/>
        <w:ind w:left="1134"/>
        <w:jc w:val="both"/>
        <w:rPr>
          <w:rFonts w:ascii="Arial" w:hAnsi="Arial" w:cs="Arial"/>
          <w:sz w:val="20"/>
          <w:szCs w:val="20"/>
        </w:rPr>
      </w:pPr>
      <w:r w:rsidRPr="0074154F">
        <w:rPr>
          <w:rFonts w:ascii="Arial" w:hAnsi="Arial" w:cs="Arial"/>
          <w:sz w:val="20"/>
          <w:szCs w:val="20"/>
        </w:rPr>
        <w:t>Se registran al costo histórico y se reconocen a medida que son incurridos, independientemente de la fecha en que se haya realizado el pago, y se registran en el período más cercano en el que se conocen.</w:t>
      </w:r>
    </w:p>
    <w:p w14:paraId="0F3B2E1A" w14:textId="6C645357" w:rsidR="008F1F91" w:rsidRPr="0074154F" w:rsidRDefault="008F1F91" w:rsidP="00413455">
      <w:pPr>
        <w:spacing w:after="0" w:line="240" w:lineRule="auto"/>
        <w:ind w:left="1134"/>
        <w:jc w:val="both"/>
        <w:rPr>
          <w:rFonts w:ascii="Arial" w:hAnsi="Arial" w:cs="Arial"/>
          <w:sz w:val="20"/>
          <w:szCs w:val="20"/>
        </w:rPr>
      </w:pPr>
    </w:p>
    <w:p w14:paraId="672927CB" w14:textId="06A6E450" w:rsidR="008F1F91" w:rsidRPr="0074154F" w:rsidRDefault="008F1F91" w:rsidP="008F1F91">
      <w:pPr>
        <w:spacing w:after="0" w:line="240" w:lineRule="auto"/>
        <w:ind w:left="1134"/>
        <w:jc w:val="both"/>
        <w:rPr>
          <w:rFonts w:ascii="Arial" w:hAnsi="Arial" w:cs="Arial"/>
          <w:color w:val="000000" w:themeColor="text1"/>
          <w:sz w:val="20"/>
          <w:szCs w:val="20"/>
        </w:rPr>
      </w:pPr>
      <w:r w:rsidRPr="0074154F">
        <w:rPr>
          <w:rFonts w:ascii="Arial" w:hAnsi="Arial" w:cs="Arial"/>
          <w:color w:val="000000" w:themeColor="text1"/>
          <w:sz w:val="20"/>
          <w:szCs w:val="20"/>
        </w:rPr>
        <w:t>El costo de venta incluye principalmente todos aquellos costos</w:t>
      </w:r>
      <w:r w:rsidR="000D6515" w:rsidRPr="0074154F">
        <w:rPr>
          <w:rFonts w:ascii="Arial" w:hAnsi="Arial" w:cs="Arial"/>
          <w:color w:val="000000" w:themeColor="text1"/>
          <w:sz w:val="20"/>
          <w:szCs w:val="20"/>
        </w:rPr>
        <w:t xml:space="preserve"> incurridos</w:t>
      </w:r>
      <w:r w:rsidRPr="0074154F">
        <w:rPr>
          <w:rFonts w:ascii="Arial" w:hAnsi="Arial" w:cs="Arial"/>
          <w:color w:val="000000" w:themeColor="text1"/>
          <w:sz w:val="20"/>
          <w:szCs w:val="20"/>
        </w:rPr>
        <w:t xml:space="preserve"> </w:t>
      </w:r>
      <w:r w:rsidR="005B01C6" w:rsidRPr="0074154F">
        <w:rPr>
          <w:rFonts w:ascii="Arial" w:hAnsi="Arial" w:cs="Arial"/>
          <w:color w:val="000000" w:themeColor="text1"/>
          <w:sz w:val="20"/>
          <w:szCs w:val="20"/>
        </w:rPr>
        <w:t xml:space="preserve">por compra de servicio de respaldo de internet; remuneraciones del personal; compra de servicios portadores, materiales y repuestos; </w:t>
      </w:r>
      <w:r w:rsidR="00CF4E2E" w:rsidRPr="0074154F">
        <w:rPr>
          <w:rFonts w:ascii="Arial" w:hAnsi="Arial" w:cs="Arial"/>
          <w:color w:val="000000" w:themeColor="text1"/>
          <w:sz w:val="20"/>
          <w:szCs w:val="20"/>
        </w:rPr>
        <w:t>proyecto telefónico</w:t>
      </w:r>
      <w:r w:rsidR="005B01C6" w:rsidRPr="0074154F">
        <w:rPr>
          <w:rFonts w:ascii="Arial" w:hAnsi="Arial" w:cs="Arial"/>
          <w:color w:val="000000" w:themeColor="text1"/>
          <w:sz w:val="20"/>
          <w:szCs w:val="20"/>
        </w:rPr>
        <w:t>; depreciaciones y amortizaciones; instalaciones de materiales de clientes.</w:t>
      </w:r>
    </w:p>
    <w:p w14:paraId="30E8820B" w14:textId="77777777" w:rsidR="008F1F91" w:rsidRPr="0074154F" w:rsidRDefault="008F1F91" w:rsidP="008F1F91">
      <w:pPr>
        <w:spacing w:after="0" w:line="240" w:lineRule="auto"/>
        <w:ind w:left="1134"/>
        <w:jc w:val="both"/>
        <w:rPr>
          <w:rFonts w:ascii="Arial" w:hAnsi="Arial" w:cs="Arial"/>
          <w:sz w:val="20"/>
          <w:szCs w:val="20"/>
        </w:rPr>
      </w:pPr>
    </w:p>
    <w:p w14:paraId="62D1BE08" w14:textId="62D9274E" w:rsidR="008F1F91" w:rsidRPr="0074154F" w:rsidRDefault="008F1F91" w:rsidP="008F1F91">
      <w:pPr>
        <w:spacing w:after="0" w:line="240" w:lineRule="auto"/>
        <w:ind w:left="1134"/>
        <w:jc w:val="both"/>
        <w:rPr>
          <w:rFonts w:ascii="Arial" w:hAnsi="Arial" w:cs="Arial"/>
          <w:color w:val="000000" w:themeColor="text1"/>
          <w:sz w:val="20"/>
          <w:szCs w:val="20"/>
        </w:rPr>
      </w:pPr>
      <w:r w:rsidRPr="0074154F">
        <w:rPr>
          <w:rFonts w:ascii="Arial" w:hAnsi="Arial" w:cs="Arial"/>
          <w:color w:val="000000" w:themeColor="text1"/>
          <w:sz w:val="20"/>
          <w:szCs w:val="20"/>
        </w:rPr>
        <w:t>Los gastos de administración y ventas corresponden principalmente a las remuneraciones del personal, pago de servicios básicos</w:t>
      </w:r>
      <w:r w:rsidR="000D6515" w:rsidRPr="0074154F">
        <w:rPr>
          <w:rFonts w:ascii="Arial" w:hAnsi="Arial" w:cs="Arial"/>
          <w:color w:val="000000" w:themeColor="text1"/>
          <w:sz w:val="20"/>
          <w:szCs w:val="20"/>
        </w:rPr>
        <w:t xml:space="preserve">, </w:t>
      </w:r>
      <w:r w:rsidR="00CF4E2E" w:rsidRPr="0074154F">
        <w:rPr>
          <w:rFonts w:ascii="Arial" w:hAnsi="Arial" w:cs="Arial"/>
          <w:color w:val="000000" w:themeColor="text1"/>
          <w:sz w:val="20"/>
          <w:szCs w:val="20"/>
        </w:rPr>
        <w:t>h</w:t>
      </w:r>
      <w:r w:rsidR="000D6515" w:rsidRPr="0074154F">
        <w:rPr>
          <w:rFonts w:ascii="Arial" w:hAnsi="Arial" w:cs="Arial"/>
          <w:color w:val="000000" w:themeColor="text1"/>
          <w:sz w:val="20"/>
          <w:szCs w:val="20"/>
        </w:rPr>
        <w:t>onorarios y servicios profesionales, depreciaciones</w:t>
      </w:r>
      <w:r w:rsidR="005B01C6" w:rsidRPr="0074154F">
        <w:rPr>
          <w:rFonts w:ascii="Arial" w:hAnsi="Arial" w:cs="Arial"/>
          <w:color w:val="000000" w:themeColor="text1"/>
          <w:sz w:val="20"/>
          <w:szCs w:val="20"/>
        </w:rPr>
        <w:t xml:space="preserve"> y amortizaciones</w:t>
      </w:r>
      <w:r w:rsidR="000D6515" w:rsidRPr="0074154F">
        <w:rPr>
          <w:rFonts w:ascii="Arial" w:hAnsi="Arial" w:cs="Arial"/>
          <w:color w:val="000000" w:themeColor="text1"/>
          <w:sz w:val="20"/>
          <w:szCs w:val="20"/>
        </w:rPr>
        <w:t xml:space="preserve">, </w:t>
      </w:r>
      <w:r w:rsidR="005B01C6" w:rsidRPr="0074154F">
        <w:rPr>
          <w:rFonts w:ascii="Arial" w:hAnsi="Arial" w:cs="Arial"/>
          <w:color w:val="000000" w:themeColor="text1"/>
          <w:sz w:val="20"/>
          <w:szCs w:val="20"/>
        </w:rPr>
        <w:t>servicios de publicidad</w:t>
      </w:r>
      <w:r w:rsidRPr="0074154F">
        <w:rPr>
          <w:rFonts w:ascii="Arial" w:hAnsi="Arial" w:cs="Arial"/>
          <w:color w:val="000000" w:themeColor="text1"/>
          <w:sz w:val="20"/>
          <w:szCs w:val="20"/>
        </w:rPr>
        <w:t xml:space="preserve">; así como, de otros gastos generales asociados a la actividad administrativa </w:t>
      </w:r>
      <w:proofErr w:type="spellStart"/>
      <w:r w:rsidRPr="0074154F">
        <w:rPr>
          <w:rFonts w:ascii="Arial" w:hAnsi="Arial" w:cs="Arial"/>
          <w:color w:val="000000" w:themeColor="text1"/>
          <w:sz w:val="20"/>
          <w:szCs w:val="20"/>
        </w:rPr>
        <w:t>de</w:t>
      </w:r>
      <w:r w:rsidR="00BF7B13" w:rsidRPr="0074154F">
        <w:rPr>
          <w:rFonts w:ascii="Arial" w:hAnsi="Arial" w:cs="Arial"/>
          <w:color w:val="000000" w:themeColor="text1"/>
          <w:sz w:val="20"/>
          <w:szCs w:val="20"/>
        </w:rPr>
        <w:t>l</w:t>
      </w:r>
      <w:proofErr w:type="spellEnd"/>
      <w:r w:rsidR="00BF7B13" w:rsidRPr="0074154F">
        <w:rPr>
          <w:rFonts w:ascii="Arial" w:hAnsi="Arial" w:cs="Arial"/>
          <w:color w:val="000000" w:themeColor="text1"/>
          <w:sz w:val="20"/>
          <w:szCs w:val="20"/>
        </w:rPr>
        <w:t xml:space="preserve"> </w:t>
      </w:r>
      <w:r w:rsidR="00993BDD">
        <w:rPr>
          <w:rFonts w:ascii="Arial" w:hAnsi="Arial" w:cs="Arial"/>
          <w:color w:val="000000" w:themeColor="text1"/>
          <w:sz w:val="20"/>
          <w:szCs w:val="20"/>
        </w:rPr>
        <w:t>la Compañía y su relacionada</w:t>
      </w:r>
      <w:r w:rsidRPr="0074154F">
        <w:rPr>
          <w:rFonts w:ascii="Arial" w:hAnsi="Arial" w:cs="Arial"/>
          <w:color w:val="000000" w:themeColor="text1"/>
          <w:sz w:val="20"/>
          <w:szCs w:val="20"/>
        </w:rPr>
        <w:t xml:space="preserve">.  </w:t>
      </w:r>
    </w:p>
    <w:p w14:paraId="2374112D" w14:textId="77777777" w:rsidR="008F1F91" w:rsidRPr="0074154F" w:rsidRDefault="008F1F91" w:rsidP="008F1F91">
      <w:pPr>
        <w:spacing w:after="0" w:line="240" w:lineRule="auto"/>
        <w:ind w:left="1134"/>
        <w:jc w:val="both"/>
        <w:rPr>
          <w:rFonts w:ascii="Arial" w:hAnsi="Arial" w:cs="Arial"/>
          <w:sz w:val="20"/>
          <w:szCs w:val="20"/>
        </w:rPr>
      </w:pPr>
    </w:p>
    <w:p w14:paraId="58413D12" w14:textId="1B920A8C" w:rsidR="008F1F91" w:rsidRPr="0074154F" w:rsidRDefault="008F1F91" w:rsidP="008F1F91">
      <w:pPr>
        <w:spacing w:after="0" w:line="240" w:lineRule="auto"/>
        <w:ind w:left="1134"/>
        <w:jc w:val="both"/>
        <w:rPr>
          <w:rFonts w:ascii="Arial" w:hAnsi="Arial" w:cs="Arial"/>
          <w:color w:val="000000" w:themeColor="text1"/>
          <w:sz w:val="20"/>
          <w:szCs w:val="20"/>
        </w:rPr>
      </w:pPr>
      <w:r w:rsidRPr="0074154F">
        <w:rPr>
          <w:rFonts w:ascii="Arial" w:hAnsi="Arial" w:cs="Arial"/>
          <w:color w:val="000000" w:themeColor="text1"/>
          <w:sz w:val="20"/>
          <w:szCs w:val="20"/>
        </w:rPr>
        <w:t xml:space="preserve">Los gastos financieros provienen principalmente de los préstamos realizados a instituciones financiera locales para capital de trabajo, los cuales se contabilizan como gastos en el período incurrido. </w:t>
      </w:r>
    </w:p>
    <w:p w14:paraId="5FDE1DC6" w14:textId="77777777" w:rsidR="008F1F91" w:rsidRPr="0074154F" w:rsidRDefault="008F1F91" w:rsidP="00413455">
      <w:pPr>
        <w:spacing w:after="0" w:line="240" w:lineRule="auto"/>
        <w:ind w:left="1134"/>
        <w:jc w:val="both"/>
        <w:rPr>
          <w:rFonts w:ascii="Arial" w:hAnsi="Arial" w:cs="Arial"/>
          <w:sz w:val="20"/>
          <w:szCs w:val="20"/>
        </w:rPr>
      </w:pPr>
    </w:p>
    <w:p w14:paraId="6E895EA6" w14:textId="47F51F56" w:rsidR="007E72D2" w:rsidRPr="0074154F" w:rsidRDefault="007E72D2" w:rsidP="00413455">
      <w:pPr>
        <w:pStyle w:val="ListParagraph"/>
        <w:numPr>
          <w:ilvl w:val="1"/>
          <w:numId w:val="3"/>
        </w:numPr>
        <w:tabs>
          <w:tab w:val="left" w:pos="1276"/>
          <w:tab w:val="left" w:pos="6989"/>
        </w:tabs>
        <w:spacing w:after="0" w:line="240" w:lineRule="auto"/>
        <w:ind w:left="1134" w:hanging="567"/>
        <w:jc w:val="both"/>
        <w:rPr>
          <w:rFonts w:ascii="Arial" w:hAnsi="Arial" w:cs="Arial"/>
          <w:b/>
          <w:bCs/>
          <w:iCs/>
          <w:sz w:val="20"/>
          <w:szCs w:val="20"/>
          <w:u w:val="single"/>
        </w:rPr>
      </w:pPr>
      <w:r w:rsidRPr="0074154F">
        <w:rPr>
          <w:rFonts w:ascii="Arial" w:hAnsi="Arial" w:cs="Arial"/>
          <w:b/>
          <w:bCs/>
          <w:iCs/>
          <w:sz w:val="20"/>
          <w:szCs w:val="20"/>
          <w:u w:val="single"/>
        </w:rPr>
        <w:t>Compensación de saldos y transacciones</w:t>
      </w:r>
    </w:p>
    <w:p w14:paraId="270104B6" w14:textId="77777777" w:rsidR="007E72D2" w:rsidRPr="0074154F" w:rsidRDefault="007E72D2" w:rsidP="00413455">
      <w:pPr>
        <w:pStyle w:val="ListParagraph"/>
        <w:tabs>
          <w:tab w:val="left" w:pos="567"/>
        </w:tabs>
        <w:spacing w:after="0" w:line="240" w:lineRule="auto"/>
        <w:ind w:left="426"/>
        <w:jc w:val="both"/>
        <w:rPr>
          <w:rFonts w:ascii="Arial" w:hAnsi="Arial" w:cs="Arial"/>
          <w:bCs/>
          <w:iCs/>
          <w:sz w:val="20"/>
          <w:szCs w:val="20"/>
        </w:rPr>
      </w:pPr>
    </w:p>
    <w:p w14:paraId="6D1E7E13" w14:textId="68FFCA9D" w:rsidR="005E4245" w:rsidRPr="0074154F" w:rsidRDefault="005E4245" w:rsidP="00413455">
      <w:pPr>
        <w:spacing w:after="0" w:line="240" w:lineRule="auto"/>
        <w:ind w:left="1134"/>
        <w:jc w:val="both"/>
        <w:rPr>
          <w:rFonts w:ascii="Arial" w:hAnsi="Arial" w:cs="Arial"/>
          <w:sz w:val="20"/>
          <w:szCs w:val="20"/>
        </w:rPr>
      </w:pPr>
      <w:r w:rsidRPr="0074154F">
        <w:rPr>
          <w:rFonts w:ascii="Arial" w:hAnsi="Arial" w:cs="Arial"/>
          <w:sz w:val="20"/>
          <w:szCs w:val="20"/>
        </w:rPr>
        <w:t xml:space="preserve">Como norma general en los estados financieros </w:t>
      </w:r>
      <w:r w:rsidR="00977265">
        <w:rPr>
          <w:rFonts w:ascii="Arial" w:hAnsi="Arial" w:cs="Arial"/>
          <w:sz w:val="20"/>
          <w:szCs w:val="20"/>
        </w:rPr>
        <w:t>la Compañía y su relacionada</w:t>
      </w:r>
      <w:r w:rsidR="00EB6A39" w:rsidRPr="0074154F">
        <w:rPr>
          <w:rFonts w:ascii="Arial" w:hAnsi="Arial" w:cs="Arial"/>
          <w:sz w:val="20"/>
          <w:szCs w:val="20"/>
        </w:rPr>
        <w:t xml:space="preserve"> </w:t>
      </w:r>
      <w:r w:rsidRPr="0074154F">
        <w:rPr>
          <w:rFonts w:ascii="Arial" w:hAnsi="Arial" w:cs="Arial"/>
          <w:sz w:val="20"/>
          <w:szCs w:val="20"/>
        </w:rPr>
        <w:t>no se compensan los activos ni pasivos, tampoco los ingresos y gastos, salvo aquellos casos en que la compensación sea requerida o permitida por alguna norma y esta presentación sea el reflejo de</w:t>
      </w:r>
      <w:r w:rsidR="00092ADF" w:rsidRPr="0074154F">
        <w:rPr>
          <w:rFonts w:ascii="Arial" w:hAnsi="Arial" w:cs="Arial"/>
          <w:sz w:val="20"/>
          <w:szCs w:val="20"/>
        </w:rPr>
        <w:t xml:space="preserve"> la esencia de la transacción. </w:t>
      </w:r>
      <w:r w:rsidRPr="0074154F">
        <w:rPr>
          <w:rFonts w:ascii="Arial" w:hAnsi="Arial" w:cs="Arial"/>
          <w:sz w:val="20"/>
          <w:szCs w:val="20"/>
        </w:rPr>
        <w:t xml:space="preserve">Sólo se compensan entre sí y, consecuentemente, se presentan en los </w:t>
      </w:r>
      <w:r w:rsidR="00477714" w:rsidRPr="0074154F">
        <w:rPr>
          <w:rFonts w:ascii="Arial" w:hAnsi="Arial" w:cs="Arial"/>
          <w:sz w:val="20"/>
          <w:szCs w:val="20"/>
        </w:rPr>
        <w:t>e</w:t>
      </w:r>
      <w:r w:rsidRPr="0074154F">
        <w:rPr>
          <w:rFonts w:ascii="Arial" w:hAnsi="Arial" w:cs="Arial"/>
          <w:sz w:val="20"/>
          <w:szCs w:val="20"/>
        </w:rPr>
        <w:t xml:space="preserve">stados </w:t>
      </w:r>
      <w:r w:rsidR="00477714" w:rsidRPr="0074154F">
        <w:rPr>
          <w:rFonts w:ascii="Arial" w:hAnsi="Arial" w:cs="Arial"/>
          <w:sz w:val="20"/>
          <w:szCs w:val="20"/>
        </w:rPr>
        <w:t>f</w:t>
      </w:r>
      <w:r w:rsidRPr="0074154F">
        <w:rPr>
          <w:rFonts w:ascii="Arial" w:hAnsi="Arial" w:cs="Arial"/>
          <w:sz w:val="20"/>
          <w:szCs w:val="20"/>
        </w:rPr>
        <w:t xml:space="preserve">inancieros </w:t>
      </w:r>
      <w:r w:rsidR="00977265">
        <w:rPr>
          <w:rFonts w:ascii="Arial" w:hAnsi="Arial" w:cs="Arial"/>
          <w:sz w:val="20"/>
          <w:szCs w:val="20"/>
        </w:rPr>
        <w:t>de la Compañía y su relacionada</w:t>
      </w:r>
      <w:r w:rsidR="00477714" w:rsidRPr="0074154F">
        <w:rPr>
          <w:rFonts w:ascii="Arial" w:hAnsi="Arial" w:cs="Arial"/>
          <w:sz w:val="20"/>
          <w:szCs w:val="20"/>
        </w:rPr>
        <w:t xml:space="preserve"> </w:t>
      </w:r>
      <w:r w:rsidRPr="0074154F">
        <w:rPr>
          <w:rFonts w:ascii="Arial" w:hAnsi="Arial" w:cs="Arial"/>
          <w:sz w:val="20"/>
          <w:szCs w:val="20"/>
        </w:rPr>
        <w:t>por su importe neto, los saldos deudores y acreedores con origen en transacciones que, contractualmente o por exigencia de una norma, contempla la posibilidad de compensación.</w:t>
      </w:r>
    </w:p>
    <w:p w14:paraId="45D79570" w14:textId="77777777" w:rsidR="005E4245" w:rsidRPr="0074154F" w:rsidRDefault="005E4245" w:rsidP="00413455">
      <w:pPr>
        <w:spacing w:after="0" w:line="240" w:lineRule="auto"/>
        <w:jc w:val="both"/>
        <w:rPr>
          <w:rFonts w:ascii="Arial" w:hAnsi="Arial" w:cs="Arial"/>
          <w:sz w:val="20"/>
          <w:szCs w:val="20"/>
        </w:rPr>
      </w:pPr>
    </w:p>
    <w:p w14:paraId="7A8CD14F" w14:textId="75947F08" w:rsidR="005E4245" w:rsidRPr="0074154F" w:rsidRDefault="005E4245" w:rsidP="00413455">
      <w:pPr>
        <w:spacing w:after="0" w:line="240" w:lineRule="auto"/>
        <w:ind w:left="1134"/>
        <w:jc w:val="both"/>
        <w:rPr>
          <w:rFonts w:ascii="Arial" w:hAnsi="Arial" w:cs="Arial"/>
          <w:sz w:val="20"/>
          <w:szCs w:val="20"/>
        </w:rPr>
      </w:pPr>
      <w:r w:rsidRPr="0074154F">
        <w:rPr>
          <w:rFonts w:ascii="Arial" w:hAnsi="Arial" w:cs="Arial"/>
          <w:sz w:val="20"/>
          <w:szCs w:val="20"/>
        </w:rPr>
        <w:t xml:space="preserve">Los ingresos y gastos con origen en transacciones que, contractualmente o por una norma legal contemplan la probabilidad de compensación y </w:t>
      </w:r>
      <w:r w:rsidR="00A62C32">
        <w:rPr>
          <w:rFonts w:ascii="Arial" w:hAnsi="Arial" w:cs="Arial"/>
          <w:sz w:val="20"/>
          <w:szCs w:val="20"/>
        </w:rPr>
        <w:t>la Compañía y su relacionada</w:t>
      </w:r>
      <w:r w:rsidRPr="0074154F">
        <w:rPr>
          <w:rFonts w:ascii="Arial" w:hAnsi="Arial" w:cs="Arial"/>
          <w:sz w:val="20"/>
          <w:szCs w:val="20"/>
        </w:rPr>
        <w:t xml:space="preserve"> tiene la intención de liquidar por su importe neto o de realizar el activo y proceder al pago del pasivo de forma simultánea se presentan netos en resultados.</w:t>
      </w:r>
    </w:p>
    <w:p w14:paraId="0746CBEC" w14:textId="77777777" w:rsidR="007E72D2" w:rsidRPr="0074154F" w:rsidRDefault="007E72D2" w:rsidP="00413455">
      <w:pPr>
        <w:tabs>
          <w:tab w:val="left" w:pos="1276"/>
        </w:tabs>
        <w:spacing w:after="0" w:line="240" w:lineRule="auto"/>
        <w:ind w:left="993"/>
        <w:jc w:val="both"/>
        <w:rPr>
          <w:rFonts w:ascii="Arial" w:hAnsi="Arial" w:cs="Arial"/>
          <w:sz w:val="20"/>
          <w:szCs w:val="20"/>
        </w:rPr>
      </w:pPr>
    </w:p>
    <w:p w14:paraId="709B62A9" w14:textId="77777777" w:rsidR="00354935" w:rsidRPr="0074154F" w:rsidRDefault="00354935" w:rsidP="00413455">
      <w:pPr>
        <w:pStyle w:val="ListParagraph"/>
        <w:numPr>
          <w:ilvl w:val="1"/>
          <w:numId w:val="3"/>
        </w:numPr>
        <w:tabs>
          <w:tab w:val="left" w:pos="1276"/>
          <w:tab w:val="left" w:pos="6989"/>
        </w:tabs>
        <w:spacing w:after="0" w:line="240" w:lineRule="auto"/>
        <w:ind w:left="1134" w:hanging="567"/>
        <w:jc w:val="both"/>
        <w:rPr>
          <w:rFonts w:ascii="Arial" w:hAnsi="Arial" w:cs="Arial"/>
          <w:b/>
          <w:bCs/>
          <w:sz w:val="20"/>
          <w:szCs w:val="20"/>
          <w:u w:val="single"/>
        </w:rPr>
      </w:pPr>
      <w:r w:rsidRPr="0074154F">
        <w:rPr>
          <w:rFonts w:ascii="Arial" w:hAnsi="Arial" w:cs="Arial"/>
          <w:b/>
          <w:bCs/>
          <w:sz w:val="20"/>
          <w:szCs w:val="20"/>
          <w:u w:val="single"/>
        </w:rPr>
        <w:t>Instrumentos financieros</w:t>
      </w:r>
    </w:p>
    <w:p w14:paraId="1424EC07" w14:textId="77777777" w:rsidR="00354935" w:rsidRPr="0074154F" w:rsidRDefault="00354935" w:rsidP="00413455">
      <w:pPr>
        <w:pStyle w:val="ListParagraph"/>
        <w:spacing w:after="0" w:line="240" w:lineRule="auto"/>
        <w:ind w:left="1701"/>
        <w:jc w:val="both"/>
        <w:rPr>
          <w:rFonts w:ascii="Arial" w:hAnsi="Arial" w:cs="Arial"/>
          <w:sz w:val="20"/>
          <w:szCs w:val="20"/>
        </w:rPr>
      </w:pPr>
    </w:p>
    <w:p w14:paraId="677F7B1E" w14:textId="5757895E" w:rsidR="00354935" w:rsidRPr="0074154F" w:rsidRDefault="00354935" w:rsidP="00413455">
      <w:pPr>
        <w:spacing w:after="0" w:line="240" w:lineRule="auto"/>
        <w:ind w:left="1134"/>
        <w:jc w:val="both"/>
        <w:rPr>
          <w:rFonts w:ascii="Arial" w:hAnsi="Arial" w:cs="Arial"/>
          <w:sz w:val="20"/>
          <w:szCs w:val="20"/>
        </w:rPr>
      </w:pPr>
      <w:r w:rsidRPr="0074154F">
        <w:rPr>
          <w:rFonts w:ascii="Arial" w:hAnsi="Arial" w:cs="Arial"/>
          <w:sz w:val="20"/>
          <w:szCs w:val="20"/>
        </w:rPr>
        <w:t xml:space="preserve">Los activos y pasivos financieros se reconocen cuando </w:t>
      </w:r>
      <w:r w:rsidR="001B5E61">
        <w:rPr>
          <w:rFonts w:ascii="Arial" w:hAnsi="Arial" w:cs="Arial"/>
          <w:sz w:val="20"/>
          <w:szCs w:val="20"/>
        </w:rPr>
        <w:t>la Compañía y su relacionada</w:t>
      </w:r>
      <w:r w:rsidRPr="0074154F">
        <w:rPr>
          <w:rFonts w:ascii="Arial" w:hAnsi="Arial" w:cs="Arial"/>
          <w:sz w:val="20"/>
          <w:szCs w:val="20"/>
        </w:rPr>
        <w:t xml:space="preserve"> pasa a formar parte de las disposiciones contractuales del instrumento.</w:t>
      </w:r>
    </w:p>
    <w:p w14:paraId="4685E00A" w14:textId="77777777" w:rsidR="00E36468" w:rsidRPr="0074154F" w:rsidRDefault="00E36468" w:rsidP="00413455">
      <w:pPr>
        <w:spacing w:after="0" w:line="240" w:lineRule="auto"/>
        <w:ind w:left="1134"/>
        <w:rPr>
          <w:rFonts w:ascii="Arial" w:hAnsi="Arial" w:cs="Arial"/>
          <w:sz w:val="20"/>
          <w:szCs w:val="20"/>
        </w:rPr>
      </w:pPr>
    </w:p>
    <w:p w14:paraId="2CEAA71D" w14:textId="77777777" w:rsidR="00354935" w:rsidRPr="0074154F" w:rsidRDefault="00354935" w:rsidP="00413455">
      <w:pPr>
        <w:spacing w:after="0" w:line="240" w:lineRule="auto"/>
        <w:ind w:left="1134"/>
        <w:jc w:val="both"/>
        <w:rPr>
          <w:rFonts w:ascii="Arial" w:hAnsi="Arial" w:cs="Arial"/>
          <w:sz w:val="20"/>
          <w:szCs w:val="20"/>
        </w:rPr>
      </w:pPr>
      <w:r w:rsidRPr="0074154F">
        <w:rPr>
          <w:rFonts w:ascii="Arial" w:hAnsi="Arial" w:cs="Arial"/>
          <w:sz w:val="20"/>
          <w:szCs w:val="20"/>
        </w:rPr>
        <w:t>Los activos y pasivos financieros se miden inicialmente al valor razonable. Los costos de transacción que son directamente atribuibles a la adquisición o emisión de activos y pasivos financieros se agregan o deducen del valor razonable de los activos o pasivos financieros, cuando sea apropiado, al momento del reconocimiento inicial.</w:t>
      </w:r>
    </w:p>
    <w:p w14:paraId="34C22F21" w14:textId="77777777" w:rsidR="005A2449" w:rsidRPr="0074154F" w:rsidRDefault="005A2449" w:rsidP="00413455">
      <w:pPr>
        <w:pStyle w:val="ListParagraph"/>
        <w:spacing w:after="0" w:line="240" w:lineRule="auto"/>
        <w:ind w:left="1701"/>
        <w:jc w:val="both"/>
        <w:rPr>
          <w:rFonts w:ascii="Arial" w:eastAsiaTheme="minorHAnsi" w:hAnsi="Arial" w:cs="Arial"/>
          <w:sz w:val="20"/>
          <w:szCs w:val="20"/>
          <w:lang w:eastAsia="en-US"/>
        </w:rPr>
      </w:pPr>
    </w:p>
    <w:p w14:paraId="15E4795B" w14:textId="5308FA46" w:rsidR="00354935" w:rsidRPr="0074154F" w:rsidRDefault="00354935" w:rsidP="00413455">
      <w:pPr>
        <w:pStyle w:val="bodycopyindent"/>
        <w:numPr>
          <w:ilvl w:val="2"/>
          <w:numId w:val="3"/>
        </w:numPr>
        <w:tabs>
          <w:tab w:val="left" w:pos="1843"/>
        </w:tabs>
        <w:spacing w:before="0" w:line="240" w:lineRule="auto"/>
        <w:ind w:left="1843" w:hanging="709"/>
        <w:jc w:val="both"/>
        <w:rPr>
          <w:sz w:val="20"/>
          <w:szCs w:val="20"/>
          <w:lang w:val="es-EC"/>
        </w:rPr>
      </w:pPr>
      <w:r w:rsidRPr="0074154F">
        <w:rPr>
          <w:b/>
          <w:sz w:val="20"/>
          <w:szCs w:val="20"/>
          <w:u w:val="single"/>
          <w:lang w:val="es-EC"/>
        </w:rPr>
        <w:t xml:space="preserve">Activos </w:t>
      </w:r>
      <w:proofErr w:type="gramStart"/>
      <w:r w:rsidRPr="0074154F">
        <w:rPr>
          <w:b/>
          <w:sz w:val="20"/>
          <w:szCs w:val="20"/>
          <w:u w:val="single"/>
          <w:lang w:val="es-EC"/>
        </w:rPr>
        <w:t>financieros</w:t>
      </w:r>
      <w:r w:rsidR="002A5612" w:rsidRPr="0074154F">
        <w:rPr>
          <w:b/>
          <w:sz w:val="20"/>
          <w:szCs w:val="20"/>
          <w:lang w:val="es-MX"/>
        </w:rPr>
        <w:t>.-</w:t>
      </w:r>
      <w:proofErr w:type="gramEnd"/>
      <w:r w:rsidRPr="0074154F">
        <w:rPr>
          <w:b/>
          <w:sz w:val="20"/>
          <w:szCs w:val="20"/>
          <w:lang w:val="es-EC"/>
        </w:rPr>
        <w:t xml:space="preserve"> </w:t>
      </w:r>
      <w:r w:rsidRPr="0074154F">
        <w:rPr>
          <w:sz w:val="20"/>
          <w:szCs w:val="20"/>
          <w:lang w:val="es-EC"/>
        </w:rPr>
        <w:t>Se clasifican dentro de las siguientes categorías: efectivo y sus equivalentes</w:t>
      </w:r>
      <w:r w:rsidR="00B243BC" w:rsidRPr="0074154F">
        <w:rPr>
          <w:sz w:val="20"/>
          <w:szCs w:val="20"/>
          <w:lang w:val="es-EC"/>
        </w:rPr>
        <w:t xml:space="preserve">, </w:t>
      </w:r>
      <w:r w:rsidR="009E6E7D" w:rsidRPr="0074154F">
        <w:rPr>
          <w:sz w:val="20"/>
          <w:szCs w:val="20"/>
          <w:lang w:val="es-EC"/>
        </w:rPr>
        <w:t xml:space="preserve">documentas y </w:t>
      </w:r>
      <w:r w:rsidRPr="0074154F">
        <w:rPr>
          <w:sz w:val="20"/>
          <w:szCs w:val="20"/>
          <w:lang w:val="es-EC"/>
        </w:rPr>
        <w:t xml:space="preserve">cuentas por cobrar, </w:t>
      </w:r>
      <w:r w:rsidR="000D6515" w:rsidRPr="0074154F">
        <w:rPr>
          <w:sz w:val="20"/>
          <w:szCs w:val="20"/>
          <w:lang w:val="es-EC"/>
        </w:rPr>
        <w:t>inversiones temporales</w:t>
      </w:r>
      <w:r w:rsidR="0043319A" w:rsidRPr="0074154F">
        <w:rPr>
          <w:sz w:val="20"/>
          <w:szCs w:val="20"/>
          <w:lang w:val="es-EC"/>
        </w:rPr>
        <w:t>, inversiones en subsidiarias y asociadas</w:t>
      </w:r>
      <w:r w:rsidR="000D6515" w:rsidRPr="0074154F">
        <w:rPr>
          <w:sz w:val="20"/>
          <w:szCs w:val="20"/>
          <w:lang w:val="es-EC"/>
        </w:rPr>
        <w:t xml:space="preserve"> </w:t>
      </w:r>
      <w:r w:rsidRPr="0074154F">
        <w:rPr>
          <w:sz w:val="20"/>
          <w:szCs w:val="20"/>
          <w:lang w:val="es-EC"/>
        </w:rPr>
        <w:t>las cuales se miden al costo amortizado utilizando el método de la tasa de interés efectiva. La clasificación depende de la naturaleza y propósito de los activos financieros y se determina al momento del reconocimiento inicial.</w:t>
      </w:r>
    </w:p>
    <w:p w14:paraId="7621AC15" w14:textId="2D214EC9" w:rsidR="00B60E43" w:rsidRPr="0074154F" w:rsidRDefault="00B60E43" w:rsidP="00413455">
      <w:pPr>
        <w:spacing w:after="0" w:line="240" w:lineRule="auto"/>
        <w:ind w:left="1843"/>
        <w:jc w:val="both"/>
        <w:rPr>
          <w:rFonts w:ascii="Arial" w:eastAsia="Times New Roman" w:hAnsi="Arial" w:cs="Arial"/>
          <w:sz w:val="20"/>
          <w:szCs w:val="20"/>
          <w:lang w:eastAsia="es-EC"/>
        </w:rPr>
      </w:pPr>
    </w:p>
    <w:p w14:paraId="01AA32E2" w14:textId="55A6CABE" w:rsidR="00354935" w:rsidRPr="0074154F" w:rsidRDefault="00354935" w:rsidP="00413455">
      <w:pPr>
        <w:spacing w:after="0" w:line="240" w:lineRule="auto"/>
        <w:ind w:left="1843"/>
        <w:jc w:val="both"/>
        <w:rPr>
          <w:rFonts w:ascii="Arial" w:eastAsia="Times New Roman" w:hAnsi="Arial" w:cs="Arial"/>
          <w:sz w:val="20"/>
          <w:szCs w:val="20"/>
          <w:lang w:eastAsia="es-EC"/>
        </w:rPr>
      </w:pPr>
      <w:r w:rsidRPr="0074154F">
        <w:rPr>
          <w:rFonts w:ascii="Arial" w:eastAsia="Times New Roman" w:hAnsi="Arial" w:cs="Arial"/>
          <w:sz w:val="20"/>
          <w:szCs w:val="20"/>
          <w:lang w:eastAsia="es-EC"/>
        </w:rPr>
        <w:t>Todas las compras o ventas regulares de activos financieros son reconocidas y dadas de baja a la fecha de la transacción.  Las compras o ventas regulares son todas aquellas compras o ventas de activos financieros que requieran la entrega de activos dentro del marco de tiempo establecido por una regulación o acuerdo en el mercado.</w:t>
      </w:r>
    </w:p>
    <w:p w14:paraId="6D377079" w14:textId="2DF054E3" w:rsidR="005A2449" w:rsidRDefault="005A2449" w:rsidP="00413455">
      <w:pPr>
        <w:spacing w:after="0" w:line="240" w:lineRule="auto"/>
        <w:ind w:left="1843"/>
        <w:jc w:val="both"/>
        <w:rPr>
          <w:rFonts w:ascii="Arial" w:eastAsia="Arial Unicode MS" w:hAnsi="Arial" w:cs="Arial"/>
          <w:b/>
          <w:i/>
          <w:sz w:val="20"/>
          <w:szCs w:val="20"/>
        </w:rPr>
      </w:pPr>
    </w:p>
    <w:p w14:paraId="77F54EBF" w14:textId="77777777" w:rsidR="00E77A69" w:rsidRPr="0074154F" w:rsidRDefault="00E77A69" w:rsidP="00413455">
      <w:pPr>
        <w:spacing w:after="0" w:line="240" w:lineRule="auto"/>
        <w:ind w:left="1843"/>
        <w:jc w:val="both"/>
        <w:rPr>
          <w:rFonts w:ascii="Arial" w:eastAsia="Arial Unicode MS" w:hAnsi="Arial" w:cs="Arial"/>
          <w:b/>
          <w:i/>
          <w:sz w:val="20"/>
          <w:szCs w:val="20"/>
        </w:rPr>
      </w:pPr>
    </w:p>
    <w:p w14:paraId="64BB4ED4" w14:textId="77777777" w:rsidR="00915128" w:rsidRPr="0074154F" w:rsidRDefault="00354935" w:rsidP="00413455">
      <w:pPr>
        <w:spacing w:after="0" w:line="240" w:lineRule="auto"/>
        <w:ind w:left="1843"/>
        <w:jc w:val="both"/>
        <w:rPr>
          <w:rFonts w:ascii="Arial" w:eastAsia="Arial Unicode MS" w:hAnsi="Arial" w:cs="Arial"/>
          <w:sz w:val="20"/>
          <w:szCs w:val="20"/>
        </w:rPr>
      </w:pPr>
      <w:r w:rsidRPr="0074154F">
        <w:rPr>
          <w:rFonts w:ascii="Arial" w:eastAsia="Arial Unicode MS" w:hAnsi="Arial" w:cs="Arial"/>
          <w:b/>
          <w:i/>
          <w:sz w:val="20"/>
          <w:szCs w:val="20"/>
        </w:rPr>
        <w:lastRenderedPageBreak/>
        <w:t>Método de la tasa de interés efectiva</w:t>
      </w:r>
      <w:r w:rsidR="001F2B09" w:rsidRPr="0074154F">
        <w:rPr>
          <w:rFonts w:ascii="Arial" w:eastAsia="Arial Unicode MS" w:hAnsi="Arial" w:cs="Arial"/>
          <w:b/>
          <w:i/>
          <w:sz w:val="20"/>
          <w:szCs w:val="20"/>
        </w:rPr>
        <w:t xml:space="preserve"> (activos financieros</w:t>
      </w:r>
      <w:proofErr w:type="gramStart"/>
      <w:r w:rsidR="001F2B09" w:rsidRPr="0074154F">
        <w:rPr>
          <w:rFonts w:ascii="Arial" w:eastAsia="Arial Unicode MS" w:hAnsi="Arial" w:cs="Arial"/>
          <w:b/>
          <w:i/>
          <w:sz w:val="20"/>
          <w:szCs w:val="20"/>
        </w:rPr>
        <w:t>)</w:t>
      </w:r>
      <w:r w:rsidR="002A5612" w:rsidRPr="0074154F">
        <w:rPr>
          <w:b/>
          <w:sz w:val="20"/>
          <w:szCs w:val="20"/>
          <w:lang w:val="es-MX"/>
        </w:rPr>
        <w:t>.-</w:t>
      </w:r>
      <w:proofErr w:type="gramEnd"/>
      <w:r w:rsidRPr="0074154F">
        <w:rPr>
          <w:rFonts w:ascii="Arial" w:eastAsia="Arial Unicode MS" w:hAnsi="Arial" w:cs="Arial"/>
          <w:b/>
          <w:sz w:val="20"/>
          <w:szCs w:val="20"/>
        </w:rPr>
        <w:t xml:space="preserve"> </w:t>
      </w:r>
      <w:r w:rsidRPr="0074154F">
        <w:rPr>
          <w:rFonts w:ascii="Arial" w:hAnsi="Arial" w:cs="Arial"/>
          <w:sz w:val="20"/>
          <w:szCs w:val="20"/>
        </w:rPr>
        <w:t xml:space="preserve">El método </w:t>
      </w:r>
      <w:r w:rsidRPr="0074154F">
        <w:rPr>
          <w:rFonts w:ascii="Arial" w:eastAsia="Arial Unicode MS" w:hAnsi="Arial" w:cs="Arial"/>
          <w:sz w:val="20"/>
          <w:szCs w:val="20"/>
        </w:rPr>
        <w:t xml:space="preserve">de la tasa de interés efectiva es un método de cálculo del costo amortizado de un instrumento financiero y de imputación del ingreso financiero a lo largo del período relevante. </w:t>
      </w:r>
    </w:p>
    <w:p w14:paraId="311A8692" w14:textId="77777777" w:rsidR="00915128" w:rsidRPr="0074154F" w:rsidRDefault="00915128" w:rsidP="00413455">
      <w:pPr>
        <w:spacing w:after="0" w:line="240" w:lineRule="auto"/>
        <w:ind w:left="1843"/>
        <w:jc w:val="both"/>
        <w:rPr>
          <w:rFonts w:ascii="Arial" w:eastAsia="Arial Unicode MS" w:hAnsi="Arial" w:cs="Arial"/>
          <w:sz w:val="20"/>
          <w:szCs w:val="20"/>
        </w:rPr>
      </w:pPr>
    </w:p>
    <w:p w14:paraId="2A4115DE" w14:textId="00CC1A53" w:rsidR="00354935" w:rsidRPr="0074154F" w:rsidRDefault="00354935" w:rsidP="00413455">
      <w:pPr>
        <w:spacing w:after="0" w:line="240" w:lineRule="auto"/>
        <w:ind w:left="1843"/>
        <w:jc w:val="both"/>
        <w:rPr>
          <w:rFonts w:ascii="Arial" w:eastAsia="Times New Roman" w:hAnsi="Arial" w:cs="Arial"/>
          <w:sz w:val="20"/>
          <w:szCs w:val="20"/>
          <w:lang w:eastAsia="es-EC"/>
        </w:rPr>
      </w:pPr>
      <w:r w:rsidRPr="0074154F">
        <w:rPr>
          <w:rFonts w:ascii="Arial" w:eastAsia="Arial Unicode MS" w:hAnsi="Arial" w:cs="Arial"/>
          <w:sz w:val="20"/>
          <w:szCs w:val="20"/>
        </w:rPr>
        <w:t>La tasa de interés efectiva es la tasa de descuento que iguala exactamente los flujos de efectivo por cobrar o por pagar estimados (incluyendo comisión, puntos básicos de intereses pagados o recibidos, costos de transacción y otras primas o descuentos que estén incluidos en el cálculo de la tasa de interés efectiva) a lo largo de la vida esperada del instrumento financiero o, cuando sea adecuado, en un período más corto, con el importe neto en libros en el reconocimiento inicial.</w:t>
      </w:r>
    </w:p>
    <w:p w14:paraId="651EE0CE" w14:textId="77777777" w:rsidR="001F2B09" w:rsidRPr="0074154F" w:rsidRDefault="001F2B09" w:rsidP="00413455">
      <w:pPr>
        <w:spacing w:after="0" w:line="240" w:lineRule="auto"/>
        <w:ind w:left="1843"/>
        <w:jc w:val="both"/>
        <w:rPr>
          <w:rFonts w:ascii="Arial" w:eastAsia="Times New Roman" w:hAnsi="Arial" w:cs="Arial"/>
          <w:b/>
          <w:i/>
          <w:iCs/>
          <w:sz w:val="20"/>
          <w:szCs w:val="20"/>
          <w:u w:val="single"/>
          <w:lang w:eastAsia="es-EC"/>
        </w:rPr>
      </w:pPr>
    </w:p>
    <w:p w14:paraId="373CB81A" w14:textId="6C0DB67E" w:rsidR="00354935" w:rsidRPr="0074154F" w:rsidRDefault="00354935" w:rsidP="00413455">
      <w:pPr>
        <w:spacing w:after="0" w:line="240" w:lineRule="auto"/>
        <w:ind w:left="1843"/>
        <w:jc w:val="both"/>
        <w:rPr>
          <w:rFonts w:ascii="Arial" w:hAnsi="Arial" w:cs="Arial"/>
          <w:sz w:val="20"/>
          <w:szCs w:val="20"/>
        </w:rPr>
      </w:pPr>
      <w:r w:rsidRPr="0074154F">
        <w:rPr>
          <w:rFonts w:ascii="Arial" w:eastAsia="Times New Roman" w:hAnsi="Arial" w:cs="Arial"/>
          <w:b/>
          <w:i/>
          <w:iCs/>
          <w:sz w:val="20"/>
          <w:szCs w:val="20"/>
          <w:u w:val="single"/>
          <w:lang w:eastAsia="es-EC"/>
        </w:rPr>
        <w:t xml:space="preserve">Efectivo y equivalente de </w:t>
      </w:r>
      <w:proofErr w:type="gramStart"/>
      <w:r w:rsidRPr="0074154F">
        <w:rPr>
          <w:rFonts w:ascii="Arial" w:eastAsia="Times New Roman" w:hAnsi="Arial" w:cs="Arial"/>
          <w:b/>
          <w:i/>
          <w:iCs/>
          <w:sz w:val="20"/>
          <w:szCs w:val="20"/>
          <w:u w:val="single"/>
          <w:lang w:eastAsia="es-EC"/>
        </w:rPr>
        <w:t>efectivo</w:t>
      </w:r>
      <w:r w:rsidR="002A5612" w:rsidRPr="0074154F">
        <w:rPr>
          <w:b/>
          <w:sz w:val="20"/>
          <w:szCs w:val="20"/>
          <w:lang w:val="es-MX"/>
        </w:rPr>
        <w:t>.-</w:t>
      </w:r>
      <w:proofErr w:type="gramEnd"/>
      <w:r w:rsidRPr="0074154F">
        <w:rPr>
          <w:rFonts w:ascii="Arial" w:hAnsi="Arial" w:cs="Arial"/>
          <w:b/>
          <w:sz w:val="20"/>
          <w:szCs w:val="20"/>
        </w:rPr>
        <w:t xml:space="preserve"> </w:t>
      </w:r>
      <w:r w:rsidRPr="0074154F">
        <w:rPr>
          <w:rFonts w:ascii="Arial" w:hAnsi="Arial" w:cs="Arial"/>
          <w:sz w:val="20"/>
          <w:szCs w:val="20"/>
        </w:rPr>
        <w:t>Incluye aquellos activos financieros líquidos, depósitos o inversiones financieras líquidas, que se pueden transformar rápidamente en efectivo en un plazo inferior a tres meses.</w:t>
      </w:r>
    </w:p>
    <w:p w14:paraId="2F6F89CC" w14:textId="61A94D27" w:rsidR="00354935" w:rsidRPr="0074154F" w:rsidRDefault="00354935" w:rsidP="00413455">
      <w:pPr>
        <w:pStyle w:val="Default"/>
        <w:ind w:left="2694" w:right="-1"/>
        <w:jc w:val="both"/>
        <w:rPr>
          <w:rFonts w:ascii="Arial" w:eastAsiaTheme="minorHAnsi" w:hAnsi="Arial" w:cs="Arial"/>
          <w:color w:val="auto"/>
          <w:sz w:val="20"/>
          <w:szCs w:val="20"/>
          <w:lang w:val="es-EC"/>
        </w:rPr>
      </w:pPr>
    </w:p>
    <w:p w14:paraId="65063478" w14:textId="5CE6D12C" w:rsidR="00354935" w:rsidRPr="0074154F" w:rsidRDefault="006D3909" w:rsidP="00413455">
      <w:pPr>
        <w:spacing w:after="0" w:line="240" w:lineRule="auto"/>
        <w:ind w:left="1843"/>
        <w:jc w:val="both"/>
        <w:rPr>
          <w:rFonts w:ascii="Arial" w:eastAsia="Times New Roman" w:hAnsi="Arial" w:cs="Arial"/>
          <w:b/>
          <w:sz w:val="20"/>
          <w:szCs w:val="20"/>
          <w:lang w:eastAsia="es-EC"/>
        </w:rPr>
      </w:pPr>
      <w:r w:rsidRPr="0074154F">
        <w:rPr>
          <w:rFonts w:ascii="Arial" w:eastAsia="Times New Roman" w:hAnsi="Arial" w:cs="Arial"/>
          <w:b/>
          <w:i/>
          <w:iCs/>
          <w:sz w:val="20"/>
          <w:szCs w:val="20"/>
          <w:u w:val="single"/>
          <w:lang w:eastAsia="es-EC"/>
        </w:rPr>
        <w:t>Documentos y c</w:t>
      </w:r>
      <w:r w:rsidR="00354935" w:rsidRPr="0074154F">
        <w:rPr>
          <w:rFonts w:ascii="Arial" w:eastAsia="Times New Roman" w:hAnsi="Arial" w:cs="Arial"/>
          <w:b/>
          <w:i/>
          <w:iCs/>
          <w:sz w:val="20"/>
          <w:szCs w:val="20"/>
          <w:u w:val="single"/>
          <w:lang w:eastAsia="es-EC"/>
        </w:rPr>
        <w:t xml:space="preserve">uentas por </w:t>
      </w:r>
      <w:proofErr w:type="gramStart"/>
      <w:r w:rsidR="00354935" w:rsidRPr="0074154F">
        <w:rPr>
          <w:rFonts w:ascii="Arial" w:eastAsia="Times New Roman" w:hAnsi="Arial" w:cs="Arial"/>
          <w:b/>
          <w:i/>
          <w:iCs/>
          <w:sz w:val="20"/>
          <w:szCs w:val="20"/>
          <w:u w:val="single"/>
          <w:lang w:eastAsia="es-EC"/>
        </w:rPr>
        <w:t>cobrar</w:t>
      </w:r>
      <w:r w:rsidR="002A5612" w:rsidRPr="0074154F">
        <w:rPr>
          <w:b/>
          <w:i/>
          <w:iCs/>
          <w:sz w:val="20"/>
          <w:szCs w:val="20"/>
          <w:lang w:val="es-MX"/>
        </w:rPr>
        <w:t>.</w:t>
      </w:r>
      <w:r w:rsidR="002A5612" w:rsidRPr="0074154F">
        <w:rPr>
          <w:b/>
          <w:sz w:val="20"/>
          <w:szCs w:val="20"/>
          <w:lang w:val="es-MX"/>
        </w:rPr>
        <w:t>-</w:t>
      </w:r>
      <w:proofErr w:type="gramEnd"/>
      <w:r w:rsidR="00354935" w:rsidRPr="0074154F">
        <w:rPr>
          <w:rFonts w:ascii="Arial" w:hAnsi="Arial" w:cs="Arial"/>
          <w:b/>
          <w:sz w:val="20"/>
          <w:szCs w:val="20"/>
        </w:rPr>
        <w:t xml:space="preserve"> </w:t>
      </w:r>
      <w:r w:rsidR="00354935" w:rsidRPr="0074154F">
        <w:rPr>
          <w:rFonts w:ascii="Arial" w:hAnsi="Arial" w:cs="Arial"/>
          <w:sz w:val="20"/>
          <w:szCs w:val="20"/>
        </w:rPr>
        <w:t xml:space="preserve">Son activos financieros no derivados con pagos fijos o determinables, que no cotizan en un mercado activo e incluyen cuentas por cobrar, anticipo a proveedores, trabajadores y otras cuentas por cobrar, las cuales son registradas a su valor razonable y se clasifican en activos corrientes.  El periodo de crédito promedio que otorga la Compañía a sus clientes es de </w:t>
      </w:r>
      <w:r w:rsidR="001D16A9" w:rsidRPr="0074154F">
        <w:rPr>
          <w:rFonts w:ascii="Arial" w:hAnsi="Arial" w:cs="Arial"/>
          <w:sz w:val="20"/>
          <w:szCs w:val="20"/>
        </w:rPr>
        <w:t>60</w:t>
      </w:r>
      <w:r w:rsidR="00354935" w:rsidRPr="0074154F">
        <w:rPr>
          <w:rFonts w:ascii="Arial" w:hAnsi="Arial" w:cs="Arial"/>
          <w:sz w:val="20"/>
          <w:szCs w:val="20"/>
        </w:rPr>
        <w:t xml:space="preserve"> días promedio.</w:t>
      </w:r>
    </w:p>
    <w:p w14:paraId="3A17C5DF" w14:textId="77777777" w:rsidR="00354935" w:rsidRPr="0074154F" w:rsidRDefault="00354935" w:rsidP="00413455">
      <w:pPr>
        <w:spacing w:after="0" w:line="240" w:lineRule="auto"/>
        <w:ind w:left="2835"/>
        <w:jc w:val="both"/>
        <w:rPr>
          <w:rFonts w:ascii="Arial" w:hAnsi="Arial" w:cs="Arial"/>
          <w:sz w:val="20"/>
          <w:szCs w:val="20"/>
        </w:rPr>
      </w:pPr>
    </w:p>
    <w:p w14:paraId="3D0ED387" w14:textId="0A82CDBF" w:rsidR="00354935" w:rsidRPr="0074154F" w:rsidRDefault="00354935" w:rsidP="00413455">
      <w:pPr>
        <w:spacing w:after="0" w:line="240" w:lineRule="auto"/>
        <w:ind w:left="1843"/>
        <w:jc w:val="both"/>
        <w:rPr>
          <w:rFonts w:ascii="Arial" w:hAnsi="Arial" w:cs="Arial"/>
          <w:sz w:val="20"/>
          <w:szCs w:val="20"/>
        </w:rPr>
      </w:pPr>
      <w:r w:rsidRPr="0074154F">
        <w:rPr>
          <w:rFonts w:ascii="Arial" w:hAnsi="Arial" w:cs="Arial"/>
          <w:sz w:val="20"/>
          <w:szCs w:val="20"/>
        </w:rPr>
        <w:t xml:space="preserve">Después del reconocimiento inicial, a valor razonable, se miden al costo amortizado utilizando el método de la tasa de interés efectiva, menos cualquier deterioro. </w:t>
      </w:r>
    </w:p>
    <w:p w14:paraId="571BDEE5" w14:textId="77777777" w:rsidR="002A5612" w:rsidRPr="0074154F" w:rsidRDefault="002A5612" w:rsidP="00413455">
      <w:pPr>
        <w:spacing w:after="0" w:line="240" w:lineRule="auto"/>
        <w:ind w:left="1843"/>
        <w:jc w:val="both"/>
        <w:rPr>
          <w:rFonts w:ascii="Arial" w:hAnsi="Arial" w:cs="Arial"/>
          <w:sz w:val="20"/>
          <w:szCs w:val="20"/>
        </w:rPr>
      </w:pPr>
    </w:p>
    <w:p w14:paraId="2F7B946E" w14:textId="319C170F" w:rsidR="00354935" w:rsidRPr="0074154F" w:rsidRDefault="00354935" w:rsidP="00413455">
      <w:pPr>
        <w:spacing w:after="0" w:line="240" w:lineRule="auto"/>
        <w:ind w:left="1843"/>
        <w:jc w:val="both"/>
        <w:rPr>
          <w:rFonts w:ascii="Arial" w:hAnsi="Arial" w:cs="Arial"/>
          <w:sz w:val="20"/>
          <w:szCs w:val="20"/>
        </w:rPr>
      </w:pPr>
      <w:r w:rsidRPr="0074154F">
        <w:rPr>
          <w:rFonts w:ascii="Arial" w:hAnsi="Arial" w:cs="Arial"/>
          <w:sz w:val="20"/>
          <w:szCs w:val="20"/>
        </w:rPr>
        <w:t>La Administración de</w:t>
      </w:r>
      <w:r w:rsidR="001B5E61">
        <w:rPr>
          <w:rFonts w:ascii="Arial" w:hAnsi="Arial" w:cs="Arial"/>
          <w:sz w:val="20"/>
          <w:szCs w:val="20"/>
        </w:rPr>
        <w:t xml:space="preserve"> la Compañía y su relacionada</w:t>
      </w:r>
      <w:r w:rsidRPr="0074154F">
        <w:rPr>
          <w:rFonts w:ascii="Arial" w:hAnsi="Arial" w:cs="Arial"/>
          <w:sz w:val="20"/>
          <w:szCs w:val="20"/>
        </w:rPr>
        <w:t xml:space="preserve"> realiza periódicamente un análisis con el objetivo de constituir una provisión por incobrabilidad para reducir el saldo de cuentas por cobrar a su valor de probable realización. La referida provisión se constituye en función de la probabilidad de recuperación de todos los rubros que componen las cuentas por cobrar, iniciando el reconocimiento de provisión por incobrabilidad para aquellos importes vencidos </w:t>
      </w:r>
      <w:r w:rsidRPr="0074154F">
        <w:rPr>
          <w:rFonts w:ascii="Arial" w:hAnsi="Arial" w:cs="Arial"/>
          <w:color w:val="000000" w:themeColor="text1"/>
          <w:sz w:val="20"/>
          <w:szCs w:val="20"/>
        </w:rPr>
        <w:t>mayores a 120 días en adelante,</w:t>
      </w:r>
      <w:r w:rsidRPr="0074154F">
        <w:rPr>
          <w:rFonts w:ascii="Arial" w:hAnsi="Arial" w:cs="Arial"/>
          <w:sz w:val="20"/>
          <w:szCs w:val="20"/>
        </w:rPr>
        <w:t xml:space="preserve"> sobre la base de porcentajes y rangos establecidos por </w:t>
      </w:r>
      <w:r w:rsidR="001B5E61">
        <w:rPr>
          <w:rFonts w:ascii="Arial" w:hAnsi="Arial" w:cs="Arial"/>
          <w:sz w:val="20"/>
          <w:szCs w:val="20"/>
        </w:rPr>
        <w:t>la Compañía y su relacionada</w:t>
      </w:r>
      <w:r w:rsidRPr="0074154F">
        <w:rPr>
          <w:rFonts w:ascii="Arial" w:hAnsi="Arial" w:cs="Arial"/>
          <w:sz w:val="20"/>
          <w:szCs w:val="20"/>
        </w:rPr>
        <w:t>.</w:t>
      </w:r>
    </w:p>
    <w:p w14:paraId="32FA02B9" w14:textId="77777777" w:rsidR="00354935" w:rsidRPr="0074154F" w:rsidRDefault="00354935" w:rsidP="00413455">
      <w:pPr>
        <w:spacing w:after="0" w:line="240" w:lineRule="auto"/>
        <w:ind w:left="2835"/>
        <w:jc w:val="both"/>
        <w:rPr>
          <w:rFonts w:ascii="Arial" w:hAnsi="Arial" w:cs="Arial"/>
          <w:sz w:val="20"/>
          <w:szCs w:val="20"/>
        </w:rPr>
      </w:pPr>
    </w:p>
    <w:p w14:paraId="29318206" w14:textId="58DFBA3A" w:rsidR="00785FAC" w:rsidRPr="0074154F" w:rsidRDefault="00785FAC" w:rsidP="00413455">
      <w:pPr>
        <w:spacing w:after="0" w:line="240" w:lineRule="auto"/>
        <w:ind w:left="1843"/>
        <w:jc w:val="both"/>
        <w:rPr>
          <w:rFonts w:ascii="Arial" w:eastAsia="Times New Roman" w:hAnsi="Arial" w:cs="Arial"/>
          <w:bCs/>
          <w:sz w:val="20"/>
          <w:szCs w:val="20"/>
          <w:lang w:eastAsia="es-EC"/>
        </w:rPr>
      </w:pPr>
      <w:r w:rsidRPr="0074154F">
        <w:rPr>
          <w:rFonts w:ascii="Arial" w:eastAsia="Times New Roman" w:hAnsi="Arial" w:cs="Arial"/>
          <w:b/>
          <w:i/>
          <w:iCs/>
          <w:sz w:val="20"/>
          <w:szCs w:val="20"/>
          <w:u w:val="single"/>
          <w:lang w:eastAsia="es-EC"/>
        </w:rPr>
        <w:t xml:space="preserve">Inversiones </w:t>
      </w:r>
      <w:proofErr w:type="gramStart"/>
      <w:r w:rsidRPr="0074154F">
        <w:rPr>
          <w:rFonts w:ascii="Arial" w:eastAsia="Times New Roman" w:hAnsi="Arial" w:cs="Arial"/>
          <w:b/>
          <w:i/>
          <w:iCs/>
          <w:sz w:val="20"/>
          <w:szCs w:val="20"/>
          <w:u w:val="single"/>
          <w:lang w:eastAsia="es-EC"/>
        </w:rPr>
        <w:t>temporales</w:t>
      </w:r>
      <w:r w:rsidR="002A5612" w:rsidRPr="0074154F">
        <w:rPr>
          <w:b/>
          <w:sz w:val="20"/>
          <w:szCs w:val="20"/>
          <w:lang w:val="es-MX"/>
        </w:rPr>
        <w:t>.-</w:t>
      </w:r>
      <w:proofErr w:type="gramEnd"/>
      <w:r w:rsidRPr="0074154F">
        <w:rPr>
          <w:rFonts w:ascii="Arial" w:eastAsia="Times New Roman" w:hAnsi="Arial" w:cs="Arial"/>
          <w:b/>
          <w:sz w:val="20"/>
          <w:szCs w:val="20"/>
          <w:lang w:eastAsia="es-EC"/>
        </w:rPr>
        <w:t xml:space="preserve"> </w:t>
      </w:r>
      <w:r w:rsidRPr="0074154F">
        <w:rPr>
          <w:rFonts w:ascii="Arial" w:eastAsia="Times New Roman" w:hAnsi="Arial" w:cs="Arial"/>
          <w:bCs/>
          <w:sz w:val="20"/>
          <w:szCs w:val="20"/>
          <w:lang w:eastAsia="es-EC"/>
        </w:rPr>
        <w:t xml:space="preserve">Son </w:t>
      </w:r>
      <w:r w:rsidR="000707EC" w:rsidRPr="0074154F">
        <w:rPr>
          <w:rFonts w:ascii="Arial" w:eastAsia="Times New Roman" w:hAnsi="Arial" w:cs="Arial"/>
          <w:bCs/>
          <w:sz w:val="20"/>
          <w:szCs w:val="20"/>
          <w:lang w:eastAsia="es-EC"/>
        </w:rPr>
        <w:t xml:space="preserve">activos financieros no derivados con pagos fijos o determinables con plazos de maduración mayor a 90 días hasta un año. </w:t>
      </w:r>
      <w:r w:rsidR="001B5E61">
        <w:rPr>
          <w:rFonts w:ascii="Arial" w:eastAsia="Times New Roman" w:hAnsi="Arial" w:cs="Arial"/>
          <w:bCs/>
          <w:sz w:val="20"/>
          <w:szCs w:val="20"/>
          <w:lang w:eastAsia="es-EC"/>
        </w:rPr>
        <w:t>La</w:t>
      </w:r>
      <w:r w:rsidR="00D84ED1" w:rsidRPr="0074154F">
        <w:rPr>
          <w:rFonts w:ascii="Arial" w:eastAsia="Times New Roman" w:hAnsi="Arial" w:cs="Arial"/>
          <w:bCs/>
          <w:sz w:val="20"/>
          <w:szCs w:val="20"/>
          <w:lang w:eastAsia="es-EC"/>
        </w:rPr>
        <w:t xml:space="preserve"> </w:t>
      </w:r>
      <w:r w:rsidR="001B5E61">
        <w:rPr>
          <w:rFonts w:ascii="Arial" w:eastAsia="Times New Roman" w:hAnsi="Arial" w:cs="Arial"/>
          <w:bCs/>
          <w:sz w:val="20"/>
          <w:szCs w:val="20"/>
          <w:lang w:eastAsia="es-EC"/>
        </w:rPr>
        <w:t>Compañía y su relacionada</w:t>
      </w:r>
      <w:r w:rsidR="000707EC" w:rsidRPr="0074154F">
        <w:rPr>
          <w:rFonts w:ascii="Arial" w:eastAsia="Times New Roman" w:hAnsi="Arial" w:cs="Arial"/>
          <w:bCs/>
          <w:sz w:val="20"/>
          <w:szCs w:val="20"/>
          <w:lang w:eastAsia="es-EC"/>
        </w:rPr>
        <w:t xml:space="preserve"> incluye en esta cuenta títulos valores que permanecen en los libros </w:t>
      </w:r>
      <w:r w:rsidRPr="0074154F">
        <w:rPr>
          <w:rFonts w:ascii="Arial" w:eastAsia="Times New Roman" w:hAnsi="Arial" w:cs="Arial"/>
          <w:bCs/>
          <w:sz w:val="20"/>
          <w:szCs w:val="20"/>
          <w:lang w:eastAsia="es-EC"/>
        </w:rPr>
        <w:t xml:space="preserve">hasta </w:t>
      </w:r>
      <w:r w:rsidR="000707EC" w:rsidRPr="0074154F">
        <w:rPr>
          <w:rFonts w:ascii="Arial" w:eastAsia="Times New Roman" w:hAnsi="Arial" w:cs="Arial"/>
          <w:bCs/>
          <w:sz w:val="20"/>
          <w:szCs w:val="20"/>
          <w:lang w:eastAsia="es-EC"/>
        </w:rPr>
        <w:t>su</w:t>
      </w:r>
      <w:r w:rsidRPr="0074154F">
        <w:rPr>
          <w:rFonts w:ascii="Arial" w:eastAsia="Times New Roman" w:hAnsi="Arial" w:cs="Arial"/>
          <w:bCs/>
          <w:sz w:val="20"/>
          <w:szCs w:val="20"/>
          <w:lang w:eastAsia="es-EC"/>
        </w:rPr>
        <w:t xml:space="preserve"> vencimiento. Luego del reconocimiento inicial, las inversiones temporales que </w:t>
      </w:r>
      <w:r w:rsidR="000707EC" w:rsidRPr="0074154F">
        <w:rPr>
          <w:rFonts w:ascii="Arial" w:eastAsia="Times New Roman" w:hAnsi="Arial" w:cs="Arial"/>
          <w:bCs/>
          <w:sz w:val="20"/>
          <w:szCs w:val="20"/>
          <w:lang w:eastAsia="es-EC"/>
        </w:rPr>
        <w:t xml:space="preserve">permanecen en los libros </w:t>
      </w:r>
      <w:r w:rsidRPr="0074154F">
        <w:rPr>
          <w:rFonts w:ascii="Arial" w:eastAsia="Times New Roman" w:hAnsi="Arial" w:cs="Arial"/>
          <w:bCs/>
          <w:sz w:val="20"/>
          <w:szCs w:val="20"/>
          <w:lang w:eastAsia="es-EC"/>
        </w:rPr>
        <w:t>hasta el vencimiento se miden al costo amortizado usando el método de la tasa de interés efectiva menos cualquier deterioro.</w:t>
      </w:r>
      <w:r w:rsidR="00C3234D" w:rsidRPr="0074154F">
        <w:rPr>
          <w:rFonts w:ascii="Arial" w:eastAsia="Times New Roman" w:hAnsi="Arial" w:cs="Arial"/>
          <w:bCs/>
          <w:sz w:val="20"/>
          <w:szCs w:val="20"/>
          <w:lang w:eastAsia="es-EC"/>
        </w:rPr>
        <w:t xml:space="preserve"> </w:t>
      </w:r>
    </w:p>
    <w:p w14:paraId="718ACF71" w14:textId="77777777" w:rsidR="00785FAC" w:rsidRPr="0074154F" w:rsidRDefault="00785FAC" w:rsidP="00413455">
      <w:pPr>
        <w:spacing w:after="0" w:line="240" w:lineRule="auto"/>
        <w:ind w:left="1843"/>
        <w:jc w:val="both"/>
        <w:rPr>
          <w:rFonts w:ascii="Arial" w:eastAsia="Times New Roman" w:hAnsi="Arial" w:cs="Arial"/>
          <w:bCs/>
          <w:sz w:val="20"/>
          <w:szCs w:val="20"/>
          <w:lang w:eastAsia="es-EC"/>
        </w:rPr>
      </w:pPr>
    </w:p>
    <w:p w14:paraId="230E81E9" w14:textId="65EA832F" w:rsidR="00354935" w:rsidRPr="0074154F" w:rsidRDefault="00354935" w:rsidP="00413455">
      <w:pPr>
        <w:spacing w:after="0" w:line="240" w:lineRule="auto"/>
        <w:ind w:left="1843"/>
        <w:jc w:val="both"/>
        <w:rPr>
          <w:rFonts w:ascii="Arial" w:hAnsi="Arial" w:cs="Arial"/>
          <w:sz w:val="20"/>
          <w:szCs w:val="20"/>
        </w:rPr>
      </w:pPr>
      <w:r w:rsidRPr="0074154F">
        <w:rPr>
          <w:rFonts w:ascii="Arial" w:eastAsia="Times New Roman" w:hAnsi="Arial" w:cs="Arial"/>
          <w:b/>
          <w:i/>
          <w:iCs/>
          <w:sz w:val="20"/>
          <w:szCs w:val="20"/>
          <w:u w:val="single"/>
          <w:lang w:eastAsia="es-EC"/>
        </w:rPr>
        <w:t xml:space="preserve">Deterioro de activos financieros al costo </w:t>
      </w:r>
      <w:proofErr w:type="gramStart"/>
      <w:r w:rsidRPr="0074154F">
        <w:rPr>
          <w:rFonts w:ascii="Arial" w:eastAsia="Times New Roman" w:hAnsi="Arial" w:cs="Arial"/>
          <w:b/>
          <w:i/>
          <w:iCs/>
          <w:sz w:val="20"/>
          <w:szCs w:val="20"/>
          <w:u w:val="single"/>
          <w:lang w:eastAsia="es-EC"/>
        </w:rPr>
        <w:t>amortizado</w:t>
      </w:r>
      <w:r w:rsidR="002A5612" w:rsidRPr="0074154F">
        <w:rPr>
          <w:b/>
          <w:sz w:val="20"/>
          <w:szCs w:val="20"/>
          <w:lang w:val="es-MX"/>
        </w:rPr>
        <w:t>.-</w:t>
      </w:r>
      <w:proofErr w:type="gramEnd"/>
      <w:r w:rsidRPr="0074154F">
        <w:rPr>
          <w:rFonts w:ascii="Arial" w:hAnsi="Arial" w:cs="Arial"/>
          <w:b/>
          <w:sz w:val="20"/>
          <w:szCs w:val="20"/>
        </w:rPr>
        <w:t xml:space="preserve"> </w:t>
      </w:r>
      <w:r w:rsidRPr="0074154F">
        <w:rPr>
          <w:rFonts w:ascii="Arial" w:hAnsi="Arial" w:cs="Arial"/>
          <w:sz w:val="20"/>
          <w:szCs w:val="20"/>
        </w:rPr>
        <w:t>Un activo financiero estará deteriorado cuando exista evidencia objetiva del deterioro como consecuencia de uno o más eventos que hayan ocurrido después del reconocimiento inicial del activo y los flujos de efectivo futuros estimados del activo financiero se han visto afectados.</w:t>
      </w:r>
    </w:p>
    <w:p w14:paraId="4F5546B8" w14:textId="19F829F3" w:rsidR="005A2449" w:rsidRDefault="005A2449" w:rsidP="006616BD">
      <w:pPr>
        <w:spacing w:after="0" w:line="240" w:lineRule="auto"/>
        <w:jc w:val="both"/>
        <w:rPr>
          <w:rFonts w:ascii="Arial" w:hAnsi="Arial" w:cs="Arial"/>
          <w:sz w:val="20"/>
          <w:szCs w:val="20"/>
        </w:rPr>
      </w:pPr>
    </w:p>
    <w:p w14:paraId="07ABA35A" w14:textId="02E2BC0F" w:rsidR="00354935" w:rsidRPr="0074154F" w:rsidRDefault="00354935" w:rsidP="00413455">
      <w:pPr>
        <w:spacing w:after="0" w:line="240" w:lineRule="auto"/>
        <w:ind w:left="1843"/>
        <w:jc w:val="both"/>
        <w:rPr>
          <w:rFonts w:ascii="Arial" w:hAnsi="Arial" w:cs="Arial"/>
          <w:sz w:val="20"/>
          <w:szCs w:val="20"/>
        </w:rPr>
      </w:pPr>
      <w:r w:rsidRPr="0074154F">
        <w:rPr>
          <w:rFonts w:ascii="Arial" w:hAnsi="Arial" w:cs="Arial"/>
          <w:sz w:val="20"/>
          <w:szCs w:val="20"/>
        </w:rPr>
        <w:t>Entre la evidencia objetiva de que una cartera de cuentas por cobrar podría estar deteriorada se podría incluir la experiencia pasada de la Compañía con respecto al cobro de los pagos, un incremento en el número de pagos atrasados en la cartera que superen el período de días de vencimiento promedio, así como cambios observables en las condiciones económicas locales y nacionales que se relacionen con el incumplimiento en los pagos.</w:t>
      </w:r>
    </w:p>
    <w:p w14:paraId="5EA6612D" w14:textId="77777777" w:rsidR="00354935" w:rsidRPr="0074154F" w:rsidRDefault="00354935" w:rsidP="00413455">
      <w:pPr>
        <w:pStyle w:val="Default"/>
        <w:ind w:left="2835" w:right="-1"/>
        <w:jc w:val="both"/>
        <w:rPr>
          <w:rFonts w:ascii="Arial" w:hAnsi="Arial" w:cs="Arial"/>
          <w:color w:val="auto"/>
          <w:sz w:val="20"/>
          <w:szCs w:val="20"/>
          <w:lang w:val="es-EC"/>
        </w:rPr>
      </w:pPr>
    </w:p>
    <w:p w14:paraId="1F7A5CBB" w14:textId="77777777" w:rsidR="00E77A69" w:rsidRDefault="00E77A69" w:rsidP="00413455">
      <w:pPr>
        <w:spacing w:after="0" w:line="240" w:lineRule="auto"/>
        <w:ind w:left="1843"/>
        <w:jc w:val="both"/>
        <w:rPr>
          <w:rFonts w:ascii="Arial" w:eastAsia="Arial" w:hAnsi="Arial" w:cs="Arial"/>
          <w:sz w:val="20"/>
          <w:szCs w:val="20"/>
        </w:rPr>
      </w:pPr>
    </w:p>
    <w:p w14:paraId="3741C8F6" w14:textId="77777777" w:rsidR="00E77A69" w:rsidRDefault="00E77A69" w:rsidP="00413455">
      <w:pPr>
        <w:spacing w:after="0" w:line="240" w:lineRule="auto"/>
        <w:ind w:left="1843"/>
        <w:jc w:val="both"/>
        <w:rPr>
          <w:rFonts w:ascii="Arial" w:eastAsia="Arial" w:hAnsi="Arial" w:cs="Arial"/>
          <w:sz w:val="20"/>
          <w:szCs w:val="20"/>
        </w:rPr>
      </w:pPr>
    </w:p>
    <w:p w14:paraId="119FB350" w14:textId="34443213" w:rsidR="002A5612" w:rsidRPr="0074154F" w:rsidRDefault="00354935" w:rsidP="00413455">
      <w:pPr>
        <w:spacing w:after="0" w:line="240" w:lineRule="auto"/>
        <w:ind w:left="1843"/>
        <w:jc w:val="both"/>
        <w:rPr>
          <w:rFonts w:ascii="Arial" w:eastAsia="Arial" w:hAnsi="Arial" w:cs="Arial"/>
          <w:sz w:val="20"/>
          <w:szCs w:val="20"/>
        </w:rPr>
      </w:pPr>
      <w:r w:rsidRPr="0074154F">
        <w:rPr>
          <w:rFonts w:ascii="Arial" w:eastAsia="Arial" w:hAnsi="Arial" w:cs="Arial"/>
          <w:sz w:val="20"/>
          <w:szCs w:val="20"/>
        </w:rPr>
        <w:lastRenderedPageBreak/>
        <w:t xml:space="preserve">Para los activos financieros registrados al costo amortizado, el importe de la pérdida por deterioro de valor es la diferencia entre el importe en libros y el valor presente de los flujos futuros estimados del activo, descontados a la tasa de interés efectiva original del activo financiero.  </w:t>
      </w:r>
    </w:p>
    <w:p w14:paraId="513317CC" w14:textId="72C1E269" w:rsidR="002A5612" w:rsidRPr="0074154F" w:rsidRDefault="002A5612" w:rsidP="00413455">
      <w:pPr>
        <w:spacing w:after="0" w:line="240" w:lineRule="auto"/>
        <w:ind w:left="1843"/>
        <w:jc w:val="both"/>
        <w:rPr>
          <w:rFonts w:ascii="Arial" w:eastAsia="Arial" w:hAnsi="Arial" w:cs="Arial"/>
          <w:sz w:val="20"/>
          <w:szCs w:val="20"/>
        </w:rPr>
      </w:pPr>
    </w:p>
    <w:p w14:paraId="2FEADF01" w14:textId="47D5411D" w:rsidR="00354935" w:rsidRPr="0074154F" w:rsidRDefault="00354935" w:rsidP="00413455">
      <w:pPr>
        <w:spacing w:after="0" w:line="240" w:lineRule="auto"/>
        <w:ind w:left="1843"/>
        <w:jc w:val="both"/>
        <w:rPr>
          <w:rFonts w:ascii="Arial" w:eastAsia="Arial" w:hAnsi="Arial" w:cs="Arial"/>
          <w:sz w:val="20"/>
          <w:szCs w:val="20"/>
        </w:rPr>
      </w:pPr>
      <w:r w:rsidRPr="0074154F">
        <w:rPr>
          <w:rFonts w:ascii="Arial" w:eastAsia="Arial" w:hAnsi="Arial" w:cs="Arial"/>
          <w:sz w:val="20"/>
          <w:szCs w:val="20"/>
        </w:rPr>
        <w:t>El importe en libros de las cuentas por cobrar se reduce por la pérdida por deterioro a través de una cuenta de provisión. Cuando se considera que una cuenta por cobrar es incobrable, se elimina contra la cuenta de provisión. La recuperación posterior de los montos previamente eliminados se convierte en créditos contra la cuenta de provisión.  Los cambios en el importe en libros de la cuenta de provisión se reconocen en el estado del resultado del período.</w:t>
      </w:r>
    </w:p>
    <w:p w14:paraId="6079F32A" w14:textId="77777777" w:rsidR="00354935" w:rsidRPr="0074154F" w:rsidRDefault="00354935" w:rsidP="00413455">
      <w:pPr>
        <w:spacing w:after="0" w:line="240" w:lineRule="auto"/>
        <w:ind w:left="2835"/>
        <w:jc w:val="both"/>
        <w:rPr>
          <w:rFonts w:ascii="Arial" w:hAnsi="Arial" w:cs="Arial"/>
          <w:sz w:val="20"/>
          <w:szCs w:val="20"/>
        </w:rPr>
      </w:pPr>
    </w:p>
    <w:p w14:paraId="41728F3D" w14:textId="05F9E401" w:rsidR="00354935" w:rsidRPr="0074154F" w:rsidRDefault="00354935" w:rsidP="00413455">
      <w:pPr>
        <w:spacing w:after="0" w:line="240" w:lineRule="auto"/>
        <w:ind w:left="1843"/>
        <w:jc w:val="both"/>
        <w:rPr>
          <w:rFonts w:ascii="Arial" w:hAnsi="Arial" w:cs="Arial"/>
          <w:sz w:val="20"/>
          <w:szCs w:val="20"/>
        </w:rPr>
      </w:pPr>
      <w:r w:rsidRPr="0074154F">
        <w:rPr>
          <w:rFonts w:ascii="Arial" w:eastAsia="Times New Roman" w:hAnsi="Arial" w:cs="Arial"/>
          <w:b/>
          <w:i/>
          <w:iCs/>
          <w:sz w:val="20"/>
          <w:szCs w:val="20"/>
          <w:u w:val="single"/>
          <w:lang w:eastAsia="es-EC"/>
        </w:rPr>
        <w:t xml:space="preserve">Baja de un activo </w:t>
      </w:r>
      <w:proofErr w:type="gramStart"/>
      <w:r w:rsidRPr="0074154F">
        <w:rPr>
          <w:rFonts w:ascii="Arial" w:eastAsia="Times New Roman" w:hAnsi="Arial" w:cs="Arial"/>
          <w:b/>
          <w:i/>
          <w:iCs/>
          <w:sz w:val="20"/>
          <w:szCs w:val="20"/>
          <w:u w:val="single"/>
          <w:lang w:eastAsia="es-EC"/>
        </w:rPr>
        <w:t>financiero</w:t>
      </w:r>
      <w:r w:rsidR="002A5612" w:rsidRPr="0074154F">
        <w:rPr>
          <w:b/>
          <w:sz w:val="20"/>
          <w:szCs w:val="20"/>
          <w:lang w:val="es-MX"/>
        </w:rPr>
        <w:t>.-</w:t>
      </w:r>
      <w:proofErr w:type="gramEnd"/>
      <w:r w:rsidRPr="0074154F">
        <w:rPr>
          <w:rFonts w:ascii="Arial" w:hAnsi="Arial" w:cs="Arial"/>
          <w:b/>
          <w:sz w:val="20"/>
          <w:szCs w:val="20"/>
        </w:rPr>
        <w:t xml:space="preserve"> </w:t>
      </w:r>
      <w:r w:rsidR="001B5E61">
        <w:rPr>
          <w:rFonts w:ascii="Arial" w:hAnsi="Arial" w:cs="Arial"/>
          <w:sz w:val="20"/>
          <w:szCs w:val="20"/>
        </w:rPr>
        <w:t>La Compañía y su relacionada</w:t>
      </w:r>
      <w:r w:rsidRPr="0074154F">
        <w:rPr>
          <w:rFonts w:ascii="Arial" w:hAnsi="Arial" w:cs="Arial"/>
          <w:sz w:val="20"/>
          <w:szCs w:val="20"/>
        </w:rPr>
        <w:t xml:space="preserve"> da de baja un activo financiero únicamente cuando expiran los derechos contractuales sobre los flujos de efectivo del activo financiero, y transfiere de manera sustancial los riesgos y beneficios inherentes a la propiedad del activo financiero.</w:t>
      </w:r>
    </w:p>
    <w:p w14:paraId="794E94F7" w14:textId="77777777" w:rsidR="001F2B09" w:rsidRPr="0074154F" w:rsidRDefault="001F2B09" w:rsidP="00413455">
      <w:pPr>
        <w:spacing w:after="0" w:line="240" w:lineRule="auto"/>
        <w:ind w:left="1843"/>
        <w:jc w:val="both"/>
        <w:rPr>
          <w:rFonts w:ascii="Arial" w:hAnsi="Arial" w:cs="Arial"/>
          <w:sz w:val="20"/>
          <w:szCs w:val="20"/>
        </w:rPr>
      </w:pPr>
    </w:p>
    <w:p w14:paraId="5D20E039" w14:textId="4CA3BACC" w:rsidR="00354935" w:rsidRPr="0074154F" w:rsidRDefault="00354935" w:rsidP="00413455">
      <w:pPr>
        <w:pStyle w:val="ListParagraph"/>
        <w:numPr>
          <w:ilvl w:val="2"/>
          <w:numId w:val="3"/>
        </w:numPr>
        <w:spacing w:after="0" w:line="240" w:lineRule="auto"/>
        <w:ind w:left="1843" w:hanging="709"/>
        <w:jc w:val="both"/>
        <w:rPr>
          <w:rFonts w:ascii="Arial" w:hAnsi="Arial" w:cs="Arial"/>
          <w:sz w:val="20"/>
          <w:szCs w:val="20"/>
        </w:rPr>
      </w:pPr>
      <w:r w:rsidRPr="0074154F">
        <w:rPr>
          <w:rFonts w:ascii="Arial" w:hAnsi="Arial" w:cs="Arial"/>
          <w:b/>
          <w:sz w:val="20"/>
          <w:szCs w:val="20"/>
          <w:u w:val="single"/>
        </w:rPr>
        <w:t xml:space="preserve">Pasivos </w:t>
      </w:r>
      <w:proofErr w:type="gramStart"/>
      <w:r w:rsidRPr="0074154F">
        <w:rPr>
          <w:rFonts w:ascii="Arial" w:hAnsi="Arial" w:cs="Arial"/>
          <w:b/>
          <w:sz w:val="20"/>
          <w:szCs w:val="20"/>
          <w:u w:val="single"/>
        </w:rPr>
        <w:t>financieros</w:t>
      </w:r>
      <w:r w:rsidR="002A5612" w:rsidRPr="0074154F">
        <w:rPr>
          <w:b/>
          <w:sz w:val="20"/>
          <w:szCs w:val="20"/>
          <w:lang w:val="es-MX"/>
        </w:rPr>
        <w:t>.-</w:t>
      </w:r>
      <w:proofErr w:type="gramEnd"/>
      <w:r w:rsidRPr="0074154F">
        <w:rPr>
          <w:rFonts w:ascii="Arial" w:hAnsi="Arial" w:cs="Arial"/>
          <w:b/>
          <w:sz w:val="20"/>
          <w:szCs w:val="20"/>
        </w:rPr>
        <w:t xml:space="preserve"> </w:t>
      </w:r>
      <w:r w:rsidRPr="0074154F">
        <w:rPr>
          <w:rFonts w:ascii="Arial" w:hAnsi="Arial" w:cs="Arial"/>
          <w:sz w:val="20"/>
          <w:szCs w:val="20"/>
        </w:rPr>
        <w:t xml:space="preserve">Los instrumentos de deuda son clasificados como </w:t>
      </w:r>
      <w:r w:rsidR="004D2C36" w:rsidRPr="0074154F">
        <w:rPr>
          <w:rFonts w:ascii="Arial" w:hAnsi="Arial" w:cs="Arial"/>
          <w:sz w:val="20"/>
          <w:szCs w:val="20"/>
        </w:rPr>
        <w:t>documentos y</w:t>
      </w:r>
      <w:r w:rsidR="0043319A" w:rsidRPr="0074154F">
        <w:rPr>
          <w:rFonts w:ascii="Arial" w:hAnsi="Arial" w:cs="Arial"/>
          <w:sz w:val="20"/>
          <w:szCs w:val="20"/>
        </w:rPr>
        <w:t xml:space="preserve"> cuentas por pagar, préstamos y otros </w:t>
      </w:r>
      <w:r w:rsidRPr="0074154F">
        <w:rPr>
          <w:rFonts w:ascii="Arial" w:hAnsi="Arial" w:cs="Arial"/>
          <w:sz w:val="20"/>
          <w:szCs w:val="20"/>
        </w:rPr>
        <w:t>pasivos financieros de conformidad con la sustancia del acuerdo contractual.</w:t>
      </w:r>
    </w:p>
    <w:p w14:paraId="5146CF2F" w14:textId="77777777" w:rsidR="00354935" w:rsidRPr="0074154F" w:rsidRDefault="00354935" w:rsidP="00413455">
      <w:pPr>
        <w:spacing w:after="0" w:line="240" w:lineRule="auto"/>
        <w:ind w:left="1843"/>
        <w:jc w:val="both"/>
        <w:rPr>
          <w:rFonts w:ascii="Arial" w:hAnsi="Arial" w:cs="Arial"/>
          <w:sz w:val="20"/>
          <w:szCs w:val="20"/>
        </w:rPr>
      </w:pPr>
    </w:p>
    <w:p w14:paraId="24872E2B" w14:textId="30E6B971" w:rsidR="00354935" w:rsidRPr="0074154F" w:rsidRDefault="00354935" w:rsidP="00413455">
      <w:pPr>
        <w:spacing w:after="0" w:line="240" w:lineRule="auto"/>
        <w:ind w:left="1843"/>
        <w:jc w:val="both"/>
        <w:rPr>
          <w:rFonts w:ascii="Arial" w:hAnsi="Arial" w:cs="Arial"/>
          <w:sz w:val="20"/>
          <w:szCs w:val="20"/>
        </w:rPr>
      </w:pPr>
      <w:r w:rsidRPr="0074154F">
        <w:rPr>
          <w:rFonts w:ascii="Arial" w:hAnsi="Arial" w:cs="Arial"/>
          <w:sz w:val="20"/>
          <w:szCs w:val="20"/>
        </w:rPr>
        <w:t>Los pasivos financieros se clasifican como pasivo corriente a menos que la Compañía tenga derecho incondicional de diferir el pago de la obligación por lo menos 12 meses después de la fecha del estado de situación financiera.</w:t>
      </w:r>
      <w:r w:rsidR="001F2B09" w:rsidRPr="0074154F">
        <w:rPr>
          <w:rFonts w:ascii="Arial" w:hAnsi="Arial" w:cs="Arial"/>
          <w:sz w:val="20"/>
          <w:szCs w:val="20"/>
        </w:rPr>
        <w:t xml:space="preserve"> </w:t>
      </w:r>
    </w:p>
    <w:p w14:paraId="7102F744" w14:textId="77777777" w:rsidR="00354935" w:rsidRPr="0074154F" w:rsidRDefault="00354935" w:rsidP="00413455">
      <w:pPr>
        <w:spacing w:after="0" w:line="240" w:lineRule="auto"/>
        <w:ind w:left="1843"/>
        <w:jc w:val="both"/>
        <w:rPr>
          <w:rFonts w:ascii="Arial" w:eastAsia="Times New Roman" w:hAnsi="Arial" w:cs="Arial"/>
          <w:b/>
          <w:sz w:val="20"/>
          <w:szCs w:val="20"/>
          <w:lang w:eastAsia="es-EC"/>
        </w:rPr>
      </w:pPr>
    </w:p>
    <w:p w14:paraId="7A7689A6" w14:textId="589025DD" w:rsidR="006F4A78" w:rsidRPr="0074154F" w:rsidRDefault="00354935" w:rsidP="00413455">
      <w:pPr>
        <w:spacing w:after="0" w:line="240" w:lineRule="auto"/>
        <w:ind w:left="1843"/>
        <w:jc w:val="both"/>
        <w:rPr>
          <w:rFonts w:ascii="Arial" w:eastAsia="Times New Roman" w:hAnsi="Arial" w:cs="Arial"/>
          <w:sz w:val="20"/>
          <w:szCs w:val="20"/>
          <w:lang w:eastAsia="es-EC"/>
        </w:rPr>
      </w:pPr>
      <w:r w:rsidRPr="0074154F">
        <w:rPr>
          <w:rFonts w:ascii="Arial" w:eastAsia="Times New Roman" w:hAnsi="Arial" w:cs="Arial"/>
          <w:b/>
          <w:i/>
          <w:sz w:val="20"/>
          <w:szCs w:val="20"/>
          <w:lang w:eastAsia="es-EC"/>
        </w:rPr>
        <w:t>Método de la tasa de interés efectiva</w:t>
      </w:r>
      <w:r w:rsidR="00804E9C" w:rsidRPr="0074154F">
        <w:rPr>
          <w:rFonts w:ascii="Arial" w:eastAsia="Times New Roman" w:hAnsi="Arial" w:cs="Arial"/>
          <w:b/>
          <w:i/>
          <w:sz w:val="20"/>
          <w:szCs w:val="20"/>
          <w:lang w:eastAsia="es-EC"/>
        </w:rPr>
        <w:t xml:space="preserve"> (pasivo</w:t>
      </w:r>
      <w:r w:rsidR="001F2B09" w:rsidRPr="0074154F">
        <w:rPr>
          <w:rFonts w:ascii="Arial" w:eastAsia="Times New Roman" w:hAnsi="Arial" w:cs="Arial"/>
          <w:b/>
          <w:i/>
          <w:sz w:val="20"/>
          <w:szCs w:val="20"/>
          <w:lang w:eastAsia="es-EC"/>
        </w:rPr>
        <w:t>s</w:t>
      </w:r>
      <w:r w:rsidR="00804E9C" w:rsidRPr="0074154F">
        <w:rPr>
          <w:rFonts w:ascii="Arial" w:eastAsia="Times New Roman" w:hAnsi="Arial" w:cs="Arial"/>
          <w:b/>
          <w:i/>
          <w:sz w:val="20"/>
          <w:szCs w:val="20"/>
          <w:lang w:eastAsia="es-EC"/>
        </w:rPr>
        <w:t xml:space="preserve"> financiero</w:t>
      </w:r>
      <w:r w:rsidR="001F2B09" w:rsidRPr="0074154F">
        <w:rPr>
          <w:rFonts w:ascii="Arial" w:eastAsia="Times New Roman" w:hAnsi="Arial" w:cs="Arial"/>
          <w:b/>
          <w:i/>
          <w:sz w:val="20"/>
          <w:szCs w:val="20"/>
          <w:lang w:eastAsia="es-EC"/>
        </w:rPr>
        <w:t>s</w:t>
      </w:r>
      <w:proofErr w:type="gramStart"/>
      <w:r w:rsidR="00804E9C" w:rsidRPr="0074154F">
        <w:rPr>
          <w:rFonts w:ascii="Arial" w:eastAsia="Times New Roman" w:hAnsi="Arial" w:cs="Arial"/>
          <w:b/>
          <w:i/>
          <w:sz w:val="20"/>
          <w:szCs w:val="20"/>
          <w:lang w:eastAsia="es-EC"/>
        </w:rPr>
        <w:t>)</w:t>
      </w:r>
      <w:r w:rsidR="002A5612" w:rsidRPr="0074154F">
        <w:rPr>
          <w:b/>
          <w:sz w:val="20"/>
          <w:szCs w:val="20"/>
          <w:lang w:val="es-MX"/>
        </w:rPr>
        <w:t>.-</w:t>
      </w:r>
      <w:proofErr w:type="gramEnd"/>
      <w:r w:rsidRPr="0074154F">
        <w:rPr>
          <w:rFonts w:ascii="Arial" w:hAnsi="Arial" w:cs="Arial"/>
          <w:b/>
          <w:sz w:val="20"/>
          <w:szCs w:val="20"/>
        </w:rPr>
        <w:t xml:space="preserve"> </w:t>
      </w:r>
      <w:r w:rsidRPr="0074154F">
        <w:rPr>
          <w:rFonts w:ascii="Arial" w:eastAsia="Times New Roman" w:hAnsi="Arial" w:cs="Arial"/>
          <w:sz w:val="20"/>
          <w:szCs w:val="20"/>
          <w:lang w:eastAsia="es-EC"/>
        </w:rPr>
        <w:t xml:space="preserve">Es un método de cálculo del costo amortizado de un pasivo financiero y de imputación del gasto financiero a lo largo del periodo relevante. </w:t>
      </w:r>
    </w:p>
    <w:p w14:paraId="2D097DF5" w14:textId="77777777" w:rsidR="00915128" w:rsidRPr="0074154F" w:rsidRDefault="00915128" w:rsidP="00413455">
      <w:pPr>
        <w:spacing w:after="0" w:line="240" w:lineRule="auto"/>
        <w:ind w:left="1843"/>
        <w:jc w:val="both"/>
        <w:rPr>
          <w:rFonts w:ascii="Arial" w:eastAsia="Times New Roman" w:hAnsi="Arial" w:cs="Arial"/>
          <w:sz w:val="20"/>
          <w:szCs w:val="20"/>
          <w:lang w:eastAsia="es-EC"/>
        </w:rPr>
      </w:pPr>
    </w:p>
    <w:p w14:paraId="19D4EF21" w14:textId="308B8BF5" w:rsidR="00354935" w:rsidRPr="0074154F" w:rsidRDefault="00354935" w:rsidP="00413455">
      <w:pPr>
        <w:spacing w:after="0" w:line="240" w:lineRule="auto"/>
        <w:ind w:left="1843"/>
        <w:jc w:val="both"/>
        <w:rPr>
          <w:rFonts w:ascii="Arial" w:eastAsia="Times New Roman" w:hAnsi="Arial" w:cs="Arial"/>
          <w:sz w:val="20"/>
          <w:szCs w:val="20"/>
          <w:lang w:eastAsia="es-EC"/>
        </w:rPr>
      </w:pPr>
      <w:r w:rsidRPr="0074154F">
        <w:rPr>
          <w:rFonts w:ascii="Arial" w:eastAsia="Times New Roman" w:hAnsi="Arial" w:cs="Arial"/>
          <w:sz w:val="20"/>
          <w:szCs w:val="20"/>
          <w:lang w:eastAsia="es-EC"/>
        </w:rPr>
        <w:t>La tasa de interés efectiva es la tasa de descuento que iguala exactamente los flujos de efectivo por cobrar o por pagar (incluyendo todos los honorarios y puntos pagados o recibidos que forman parte de la tasa de interés efectiva, los costos de transacción y otras primas o descuentos) estimados a lo largo de la vida esperada del pasivo financiero (o, cuando sea adecuado), en un periodo más corto con el importe neto en libros en el momento de reconocimiento inicial.</w:t>
      </w:r>
    </w:p>
    <w:p w14:paraId="18E68F8B" w14:textId="77777777" w:rsidR="00354935" w:rsidRPr="0074154F" w:rsidRDefault="00354935" w:rsidP="00413455">
      <w:pPr>
        <w:spacing w:after="0" w:line="240" w:lineRule="auto"/>
        <w:ind w:left="1843"/>
        <w:jc w:val="both"/>
        <w:rPr>
          <w:rFonts w:ascii="Arial" w:eastAsia="Times New Roman" w:hAnsi="Arial" w:cs="Arial"/>
          <w:sz w:val="20"/>
          <w:szCs w:val="20"/>
          <w:lang w:eastAsia="es-EC"/>
        </w:rPr>
      </w:pPr>
    </w:p>
    <w:p w14:paraId="601D9711" w14:textId="68F5CFBB" w:rsidR="00354935" w:rsidRPr="0074154F" w:rsidRDefault="00354935" w:rsidP="00413455">
      <w:pPr>
        <w:spacing w:after="0" w:line="240" w:lineRule="auto"/>
        <w:ind w:left="1843"/>
        <w:jc w:val="both"/>
        <w:rPr>
          <w:rFonts w:ascii="Arial" w:eastAsia="Times New Roman" w:hAnsi="Arial" w:cs="Arial"/>
          <w:sz w:val="20"/>
          <w:szCs w:val="20"/>
          <w:lang w:eastAsia="es-EC"/>
        </w:rPr>
      </w:pPr>
      <w:r w:rsidRPr="0074154F">
        <w:rPr>
          <w:rFonts w:ascii="Arial" w:eastAsia="Times New Roman" w:hAnsi="Arial" w:cs="Arial"/>
          <w:sz w:val="20"/>
          <w:szCs w:val="20"/>
          <w:lang w:eastAsia="es-EC"/>
        </w:rPr>
        <w:t>La determinación de la tasa de interés efectiva se realizará para aquellas cuentas por pagar con vencimiento mayor a 365 días, siempre que su efecto sea material.</w:t>
      </w:r>
    </w:p>
    <w:p w14:paraId="4E3DE5DF" w14:textId="77777777" w:rsidR="00307CBB" w:rsidRPr="0074154F" w:rsidRDefault="00307CBB" w:rsidP="00413455">
      <w:pPr>
        <w:pStyle w:val="Default"/>
        <w:ind w:left="2835" w:right="-1"/>
        <w:jc w:val="both"/>
        <w:rPr>
          <w:rFonts w:ascii="Arial" w:eastAsia="Times New Roman" w:hAnsi="Arial" w:cs="Arial"/>
          <w:b/>
          <w:color w:val="auto"/>
          <w:sz w:val="20"/>
          <w:szCs w:val="20"/>
          <w:lang w:val="es-EC" w:eastAsia="es-EC"/>
        </w:rPr>
      </w:pPr>
    </w:p>
    <w:p w14:paraId="1B966240" w14:textId="7B041867" w:rsidR="00BE4357" w:rsidRPr="0074154F" w:rsidRDefault="00307CBB" w:rsidP="00413455">
      <w:pPr>
        <w:pStyle w:val="ListParagraph"/>
        <w:spacing w:after="0" w:line="240" w:lineRule="auto"/>
        <w:ind w:left="1843"/>
        <w:jc w:val="both"/>
        <w:rPr>
          <w:rFonts w:ascii="Arial" w:hAnsi="Arial" w:cs="Arial"/>
          <w:sz w:val="20"/>
          <w:szCs w:val="20"/>
        </w:rPr>
      </w:pPr>
      <w:proofErr w:type="gramStart"/>
      <w:r w:rsidRPr="0074154F">
        <w:rPr>
          <w:rFonts w:ascii="Arial" w:hAnsi="Arial" w:cs="Arial"/>
          <w:b/>
          <w:i/>
          <w:iCs/>
          <w:sz w:val="20"/>
          <w:szCs w:val="20"/>
          <w:u w:val="single"/>
        </w:rPr>
        <w:t>Préstamo</w:t>
      </w:r>
      <w:r w:rsidR="007D1452" w:rsidRPr="0074154F">
        <w:rPr>
          <w:rFonts w:ascii="Arial" w:hAnsi="Arial" w:cs="Arial"/>
          <w:b/>
          <w:i/>
          <w:iCs/>
          <w:sz w:val="20"/>
          <w:szCs w:val="20"/>
          <w:u w:val="single"/>
        </w:rPr>
        <w:t>s</w:t>
      </w:r>
      <w:r w:rsidR="002A5612" w:rsidRPr="0074154F">
        <w:rPr>
          <w:b/>
          <w:sz w:val="20"/>
          <w:szCs w:val="20"/>
          <w:lang w:val="es-MX"/>
        </w:rPr>
        <w:t>.-</w:t>
      </w:r>
      <w:proofErr w:type="gramEnd"/>
      <w:r w:rsidRPr="0074154F">
        <w:rPr>
          <w:rFonts w:ascii="Arial" w:hAnsi="Arial" w:cs="Arial"/>
          <w:b/>
          <w:sz w:val="20"/>
          <w:szCs w:val="20"/>
        </w:rPr>
        <w:t xml:space="preserve"> </w:t>
      </w:r>
      <w:r w:rsidRPr="0074154F">
        <w:rPr>
          <w:rFonts w:ascii="Arial" w:hAnsi="Arial" w:cs="Arial"/>
          <w:sz w:val="20"/>
          <w:szCs w:val="20"/>
        </w:rPr>
        <w:t xml:space="preserve">Representan pasivos financieros con institución </w:t>
      </w:r>
      <w:r w:rsidR="000707EC" w:rsidRPr="0074154F">
        <w:rPr>
          <w:rFonts w:ascii="Arial" w:hAnsi="Arial" w:cs="Arial"/>
          <w:sz w:val="20"/>
          <w:szCs w:val="20"/>
        </w:rPr>
        <w:t xml:space="preserve">bancaria </w:t>
      </w:r>
      <w:r w:rsidR="00B820D6" w:rsidRPr="0074154F">
        <w:rPr>
          <w:rFonts w:ascii="Arial" w:hAnsi="Arial" w:cs="Arial"/>
          <w:sz w:val="20"/>
          <w:szCs w:val="20"/>
        </w:rPr>
        <w:t xml:space="preserve">local </w:t>
      </w:r>
      <w:r w:rsidRPr="0074154F">
        <w:rPr>
          <w:rFonts w:ascii="Arial" w:hAnsi="Arial" w:cs="Arial"/>
          <w:sz w:val="20"/>
          <w:szCs w:val="20"/>
        </w:rPr>
        <w:t>que se reconocen inicialmente al costo, neto de los costos de la transacción incurridos.</w:t>
      </w:r>
      <w:r w:rsidR="00BE4357" w:rsidRPr="0074154F">
        <w:rPr>
          <w:rFonts w:ascii="Arial" w:hAnsi="Arial" w:cs="Arial"/>
          <w:sz w:val="20"/>
          <w:szCs w:val="20"/>
        </w:rPr>
        <w:t xml:space="preserve"> </w:t>
      </w:r>
    </w:p>
    <w:p w14:paraId="2786C6D0" w14:textId="77777777" w:rsidR="00BE4357" w:rsidRPr="0074154F" w:rsidRDefault="00BE4357" w:rsidP="00413455">
      <w:pPr>
        <w:pStyle w:val="ListParagraph"/>
        <w:spacing w:after="0" w:line="240" w:lineRule="auto"/>
        <w:ind w:left="1843"/>
        <w:jc w:val="both"/>
        <w:rPr>
          <w:rFonts w:ascii="Arial" w:hAnsi="Arial" w:cs="Arial"/>
          <w:sz w:val="20"/>
          <w:szCs w:val="20"/>
        </w:rPr>
      </w:pPr>
    </w:p>
    <w:p w14:paraId="60658B47" w14:textId="2ED186B8" w:rsidR="00307CBB" w:rsidRDefault="00307CBB" w:rsidP="00413455">
      <w:pPr>
        <w:pStyle w:val="ListParagraph"/>
        <w:spacing w:after="0" w:line="240" w:lineRule="auto"/>
        <w:ind w:left="1843"/>
        <w:jc w:val="both"/>
        <w:rPr>
          <w:rFonts w:ascii="Arial" w:hAnsi="Arial" w:cs="Arial"/>
          <w:sz w:val="20"/>
          <w:szCs w:val="20"/>
        </w:rPr>
      </w:pPr>
      <w:r w:rsidRPr="0074154F">
        <w:rPr>
          <w:rFonts w:ascii="Arial" w:hAnsi="Arial" w:cs="Arial"/>
          <w:sz w:val="20"/>
          <w:szCs w:val="20"/>
        </w:rPr>
        <w:t>Est</w:t>
      </w:r>
      <w:r w:rsidR="00C3234D" w:rsidRPr="0074154F">
        <w:rPr>
          <w:rFonts w:ascii="Arial" w:hAnsi="Arial" w:cs="Arial"/>
          <w:sz w:val="20"/>
          <w:szCs w:val="20"/>
        </w:rPr>
        <w:t>e</w:t>
      </w:r>
      <w:r w:rsidRPr="0074154F">
        <w:rPr>
          <w:rFonts w:ascii="Arial" w:hAnsi="Arial" w:cs="Arial"/>
          <w:sz w:val="20"/>
          <w:szCs w:val="20"/>
        </w:rPr>
        <w:t xml:space="preserve"> préstamo</w:t>
      </w:r>
      <w:r w:rsidR="007C0DD8" w:rsidRPr="0074154F">
        <w:rPr>
          <w:rFonts w:ascii="Arial" w:hAnsi="Arial" w:cs="Arial"/>
          <w:b/>
          <w:bCs/>
          <w:color w:val="FF0000"/>
          <w:sz w:val="20"/>
          <w:szCs w:val="20"/>
        </w:rPr>
        <w:t xml:space="preserve"> </w:t>
      </w:r>
      <w:r w:rsidRPr="0074154F">
        <w:rPr>
          <w:rFonts w:ascii="Arial" w:hAnsi="Arial" w:cs="Arial"/>
          <w:sz w:val="20"/>
          <w:szCs w:val="20"/>
        </w:rPr>
        <w:t xml:space="preserve">está medido y se registra subsecuentemente en su totalidad </w:t>
      </w:r>
      <w:r w:rsidR="000707EC" w:rsidRPr="0074154F">
        <w:rPr>
          <w:rFonts w:ascii="Arial" w:hAnsi="Arial" w:cs="Arial"/>
          <w:sz w:val="20"/>
          <w:szCs w:val="20"/>
        </w:rPr>
        <w:t xml:space="preserve">                </w:t>
      </w:r>
      <w:r w:rsidRPr="0074154F">
        <w:rPr>
          <w:rFonts w:ascii="Arial" w:hAnsi="Arial" w:cs="Arial"/>
          <w:sz w:val="20"/>
          <w:szCs w:val="20"/>
        </w:rPr>
        <w:t xml:space="preserve">a su costo amortizado, y se clasifican como pasivo corriente a menos que </w:t>
      </w:r>
      <w:r w:rsidR="000707EC" w:rsidRPr="0074154F">
        <w:rPr>
          <w:rFonts w:ascii="Arial" w:hAnsi="Arial" w:cs="Arial"/>
          <w:sz w:val="20"/>
          <w:szCs w:val="20"/>
        </w:rPr>
        <w:t xml:space="preserve">                </w:t>
      </w:r>
      <w:r w:rsidR="001B5E61">
        <w:rPr>
          <w:rFonts w:ascii="Arial" w:hAnsi="Arial" w:cs="Arial"/>
          <w:sz w:val="20"/>
          <w:szCs w:val="20"/>
        </w:rPr>
        <w:t>la Compañía y su relacionada</w:t>
      </w:r>
      <w:r w:rsidRPr="0074154F">
        <w:rPr>
          <w:rFonts w:ascii="Arial" w:hAnsi="Arial" w:cs="Arial"/>
          <w:sz w:val="20"/>
          <w:szCs w:val="20"/>
        </w:rPr>
        <w:t xml:space="preserve"> tenga derecho incondicional de diferir el pago de la obligación</w:t>
      </w:r>
      <w:r w:rsidR="000707EC" w:rsidRPr="0074154F">
        <w:rPr>
          <w:rFonts w:ascii="Arial" w:hAnsi="Arial" w:cs="Arial"/>
          <w:sz w:val="20"/>
          <w:szCs w:val="20"/>
        </w:rPr>
        <w:t xml:space="preserve"> </w:t>
      </w:r>
      <w:r w:rsidRPr="0074154F">
        <w:rPr>
          <w:rFonts w:ascii="Arial" w:hAnsi="Arial" w:cs="Arial"/>
          <w:sz w:val="20"/>
          <w:szCs w:val="20"/>
        </w:rPr>
        <w:t>por lo menos 12 meses después de la fecha del estado de situación financiera, y que se clasifica como pasivo no corriente.</w:t>
      </w:r>
    </w:p>
    <w:p w14:paraId="372A1D02" w14:textId="77777777" w:rsidR="001B5E61" w:rsidRPr="0074154F" w:rsidRDefault="001B5E61" w:rsidP="00413455">
      <w:pPr>
        <w:pStyle w:val="ListParagraph"/>
        <w:spacing w:after="0" w:line="240" w:lineRule="auto"/>
        <w:ind w:left="1843"/>
        <w:jc w:val="both"/>
        <w:rPr>
          <w:rFonts w:ascii="Arial" w:hAnsi="Arial" w:cs="Arial"/>
          <w:sz w:val="20"/>
          <w:szCs w:val="20"/>
        </w:rPr>
      </w:pPr>
    </w:p>
    <w:p w14:paraId="49016963" w14:textId="5EF6950B" w:rsidR="001D16A9" w:rsidRPr="0074154F" w:rsidRDefault="007D1452" w:rsidP="00413455">
      <w:pPr>
        <w:pStyle w:val="ListParagraph"/>
        <w:spacing w:after="0" w:line="240" w:lineRule="auto"/>
        <w:ind w:left="1843"/>
        <w:jc w:val="both"/>
        <w:rPr>
          <w:rFonts w:ascii="Arial" w:hAnsi="Arial" w:cs="Arial"/>
          <w:sz w:val="20"/>
          <w:szCs w:val="20"/>
        </w:rPr>
      </w:pPr>
      <w:r w:rsidRPr="0074154F">
        <w:rPr>
          <w:rFonts w:ascii="Arial" w:hAnsi="Arial" w:cs="Arial"/>
          <w:b/>
          <w:bCs/>
          <w:i/>
          <w:iCs/>
          <w:sz w:val="20"/>
          <w:szCs w:val="20"/>
          <w:u w:val="single"/>
        </w:rPr>
        <w:t xml:space="preserve">Otros pasivos </w:t>
      </w:r>
      <w:proofErr w:type="gramStart"/>
      <w:r w:rsidRPr="0074154F">
        <w:rPr>
          <w:rFonts w:ascii="Arial" w:hAnsi="Arial" w:cs="Arial"/>
          <w:b/>
          <w:bCs/>
          <w:i/>
          <w:iCs/>
          <w:sz w:val="20"/>
          <w:szCs w:val="20"/>
          <w:u w:val="single"/>
        </w:rPr>
        <w:t>financieros</w:t>
      </w:r>
      <w:r w:rsidR="001D16A9" w:rsidRPr="0074154F">
        <w:rPr>
          <w:rFonts w:ascii="Arial" w:hAnsi="Arial" w:cs="Arial"/>
          <w:sz w:val="20"/>
          <w:szCs w:val="20"/>
        </w:rPr>
        <w:t>.-</w:t>
      </w:r>
      <w:proofErr w:type="gramEnd"/>
      <w:r w:rsidR="001D16A9" w:rsidRPr="0074154F">
        <w:rPr>
          <w:rFonts w:ascii="Arial" w:hAnsi="Arial" w:cs="Arial"/>
          <w:sz w:val="20"/>
          <w:szCs w:val="20"/>
        </w:rPr>
        <w:t xml:space="preserve"> Comprenden los títulos valores emitidos por </w:t>
      </w:r>
      <w:r w:rsidR="001B5E61">
        <w:rPr>
          <w:rFonts w:ascii="Arial" w:hAnsi="Arial" w:cs="Arial"/>
          <w:sz w:val="20"/>
          <w:szCs w:val="20"/>
        </w:rPr>
        <w:t>la Compañía y su relacionada</w:t>
      </w:r>
      <w:r w:rsidR="001D16A9" w:rsidRPr="0074154F">
        <w:rPr>
          <w:rFonts w:ascii="Arial" w:hAnsi="Arial" w:cs="Arial"/>
          <w:sz w:val="20"/>
          <w:szCs w:val="20"/>
        </w:rPr>
        <w:t xml:space="preserve"> con la finalidad de captar recursos a largo plazo para la </w:t>
      </w:r>
      <w:r w:rsidR="00062915" w:rsidRPr="0074154F">
        <w:rPr>
          <w:rFonts w:ascii="Arial" w:hAnsi="Arial" w:cs="Arial"/>
          <w:sz w:val="20"/>
          <w:szCs w:val="20"/>
        </w:rPr>
        <w:t xml:space="preserve">reestructuración de pasivos y capital de trabajo. Fueron colocados mediante oferta pública en el mercado bursátil a través de las bolsas de valores legalmente establecidas en el país. Las obligaciones por pagar se reconocen inicialmente a su costo, neto de los costos que se hayan incurrido en la transacción, posteriormente se miden a su costo amortizado y cualquier diferencia entre los fondos obtenidos. </w:t>
      </w:r>
    </w:p>
    <w:p w14:paraId="392F232F" w14:textId="77777777" w:rsidR="00307CBB" w:rsidRPr="0074154F" w:rsidRDefault="00307CBB" w:rsidP="00413455">
      <w:pPr>
        <w:spacing w:after="0" w:line="240" w:lineRule="auto"/>
        <w:ind w:left="1843"/>
        <w:jc w:val="both"/>
        <w:rPr>
          <w:rFonts w:ascii="Arial" w:hAnsi="Arial" w:cs="Arial"/>
          <w:sz w:val="20"/>
          <w:szCs w:val="20"/>
        </w:rPr>
      </w:pPr>
    </w:p>
    <w:p w14:paraId="07A7F0EC" w14:textId="77777777" w:rsidR="00E77A69" w:rsidRDefault="00E77A69" w:rsidP="00413455">
      <w:pPr>
        <w:pStyle w:val="ListParagraph"/>
        <w:spacing w:after="0" w:line="240" w:lineRule="auto"/>
        <w:ind w:left="1843"/>
        <w:jc w:val="both"/>
        <w:rPr>
          <w:rFonts w:ascii="Arial" w:hAnsi="Arial" w:cs="Arial"/>
          <w:b/>
          <w:i/>
          <w:iCs/>
          <w:sz w:val="20"/>
          <w:szCs w:val="20"/>
          <w:u w:val="single"/>
        </w:rPr>
      </w:pPr>
    </w:p>
    <w:p w14:paraId="2DCEBE46" w14:textId="77777777" w:rsidR="00E77A69" w:rsidRDefault="00E77A69" w:rsidP="00413455">
      <w:pPr>
        <w:pStyle w:val="ListParagraph"/>
        <w:spacing w:after="0" w:line="240" w:lineRule="auto"/>
        <w:ind w:left="1843"/>
        <w:jc w:val="both"/>
        <w:rPr>
          <w:rFonts w:ascii="Arial" w:hAnsi="Arial" w:cs="Arial"/>
          <w:b/>
          <w:i/>
          <w:iCs/>
          <w:sz w:val="20"/>
          <w:szCs w:val="20"/>
          <w:u w:val="single"/>
        </w:rPr>
      </w:pPr>
    </w:p>
    <w:p w14:paraId="5E1B5E5B" w14:textId="50D245DB" w:rsidR="00354935" w:rsidRPr="0074154F" w:rsidRDefault="006D3909" w:rsidP="00413455">
      <w:pPr>
        <w:pStyle w:val="ListParagraph"/>
        <w:spacing w:after="0" w:line="240" w:lineRule="auto"/>
        <w:ind w:left="1843"/>
        <w:jc w:val="both"/>
        <w:rPr>
          <w:rFonts w:ascii="Arial" w:hAnsi="Arial" w:cs="Arial"/>
          <w:b/>
          <w:bCs/>
          <w:color w:val="FF0000"/>
          <w:sz w:val="20"/>
          <w:szCs w:val="20"/>
        </w:rPr>
      </w:pPr>
      <w:r w:rsidRPr="0074154F">
        <w:rPr>
          <w:rFonts w:ascii="Arial" w:hAnsi="Arial" w:cs="Arial"/>
          <w:b/>
          <w:i/>
          <w:iCs/>
          <w:sz w:val="20"/>
          <w:szCs w:val="20"/>
          <w:u w:val="single"/>
        </w:rPr>
        <w:lastRenderedPageBreak/>
        <w:t>Documentos y c</w:t>
      </w:r>
      <w:r w:rsidR="00354935" w:rsidRPr="0074154F">
        <w:rPr>
          <w:rFonts w:ascii="Arial" w:hAnsi="Arial" w:cs="Arial"/>
          <w:b/>
          <w:i/>
          <w:iCs/>
          <w:sz w:val="20"/>
          <w:szCs w:val="20"/>
          <w:u w:val="single"/>
        </w:rPr>
        <w:t xml:space="preserve">uentas por </w:t>
      </w:r>
      <w:proofErr w:type="gramStart"/>
      <w:r w:rsidR="00354935" w:rsidRPr="0074154F">
        <w:rPr>
          <w:rFonts w:ascii="Arial" w:hAnsi="Arial" w:cs="Arial"/>
          <w:b/>
          <w:i/>
          <w:iCs/>
          <w:sz w:val="20"/>
          <w:szCs w:val="20"/>
          <w:u w:val="single"/>
        </w:rPr>
        <w:t>pagar</w:t>
      </w:r>
      <w:r w:rsidR="002A5612" w:rsidRPr="0074154F">
        <w:rPr>
          <w:b/>
          <w:sz w:val="20"/>
          <w:szCs w:val="20"/>
          <w:lang w:val="es-MX"/>
        </w:rPr>
        <w:t>.-</w:t>
      </w:r>
      <w:proofErr w:type="gramEnd"/>
      <w:r w:rsidR="00354935" w:rsidRPr="0074154F">
        <w:rPr>
          <w:rFonts w:ascii="Arial" w:hAnsi="Arial" w:cs="Arial"/>
          <w:b/>
          <w:sz w:val="20"/>
          <w:szCs w:val="20"/>
        </w:rPr>
        <w:t xml:space="preserve"> </w:t>
      </w:r>
      <w:r w:rsidR="00354935" w:rsidRPr="0074154F">
        <w:rPr>
          <w:rFonts w:ascii="Arial" w:hAnsi="Arial" w:cs="Arial"/>
          <w:sz w:val="20"/>
          <w:szCs w:val="20"/>
        </w:rPr>
        <w:t>Son pasivos financieros, no derivados con pagos fijos o determinables, que no cotizan en un mercado activo.  Se clasifican como pasivos corrientes</w:t>
      </w:r>
      <w:r w:rsidR="007C0DD8" w:rsidRPr="0074154F">
        <w:rPr>
          <w:rFonts w:ascii="Arial" w:hAnsi="Arial" w:cs="Arial"/>
          <w:sz w:val="20"/>
          <w:szCs w:val="20"/>
        </w:rPr>
        <w:t xml:space="preserve">; proveedores, </w:t>
      </w:r>
      <w:r w:rsidR="00214331" w:rsidRPr="0074154F">
        <w:rPr>
          <w:rFonts w:ascii="Arial" w:hAnsi="Arial" w:cs="Arial"/>
          <w:sz w:val="20"/>
          <w:szCs w:val="20"/>
        </w:rPr>
        <w:t xml:space="preserve">cuentas por pagar </w:t>
      </w:r>
      <w:r w:rsidR="007C0DD8" w:rsidRPr="0074154F">
        <w:rPr>
          <w:rFonts w:ascii="Arial" w:hAnsi="Arial" w:cs="Arial"/>
          <w:sz w:val="20"/>
          <w:szCs w:val="20"/>
        </w:rPr>
        <w:t>relacionadas, anticipos de clientes y otras cuentas por pagar</w:t>
      </w:r>
      <w:r w:rsidR="00186315" w:rsidRPr="0074154F">
        <w:rPr>
          <w:rFonts w:ascii="Arial" w:hAnsi="Arial" w:cs="Arial"/>
          <w:sz w:val="20"/>
          <w:szCs w:val="20"/>
        </w:rPr>
        <w:t xml:space="preserve"> con vencimientos hasta 90 d</w:t>
      </w:r>
      <w:r w:rsidR="000707EC" w:rsidRPr="0074154F">
        <w:rPr>
          <w:rFonts w:ascii="Arial" w:hAnsi="Arial" w:cs="Arial"/>
          <w:sz w:val="20"/>
          <w:szCs w:val="20"/>
        </w:rPr>
        <w:t>í</w:t>
      </w:r>
      <w:r w:rsidR="00186315" w:rsidRPr="0074154F">
        <w:rPr>
          <w:rFonts w:ascii="Arial" w:hAnsi="Arial" w:cs="Arial"/>
          <w:sz w:val="20"/>
          <w:szCs w:val="20"/>
        </w:rPr>
        <w:t>as</w:t>
      </w:r>
      <w:r w:rsidR="00354935" w:rsidRPr="0074154F">
        <w:rPr>
          <w:rFonts w:ascii="Arial" w:hAnsi="Arial" w:cs="Arial"/>
          <w:sz w:val="20"/>
          <w:szCs w:val="20"/>
        </w:rPr>
        <w:t>.</w:t>
      </w:r>
      <w:r w:rsidR="000707EC" w:rsidRPr="0074154F">
        <w:rPr>
          <w:rFonts w:ascii="Arial" w:hAnsi="Arial" w:cs="Arial"/>
          <w:sz w:val="20"/>
          <w:szCs w:val="20"/>
        </w:rPr>
        <w:t xml:space="preserve"> </w:t>
      </w:r>
      <w:r w:rsidR="00354935" w:rsidRPr="0074154F">
        <w:rPr>
          <w:rFonts w:ascii="Arial" w:hAnsi="Arial" w:cs="Arial"/>
          <w:sz w:val="20"/>
          <w:szCs w:val="20"/>
        </w:rPr>
        <w:t>Después del reconocimiento inicial, a valor razonable, se miden al costo amortizado</w:t>
      </w:r>
      <w:r w:rsidR="00C3234D" w:rsidRPr="0074154F">
        <w:rPr>
          <w:rFonts w:ascii="Arial" w:hAnsi="Arial" w:cs="Arial"/>
          <w:sz w:val="20"/>
          <w:szCs w:val="20"/>
        </w:rPr>
        <w:t xml:space="preserve"> utilizando el método de la tasa de interés efectiva. </w:t>
      </w:r>
    </w:p>
    <w:p w14:paraId="35F027AA" w14:textId="419045AC" w:rsidR="00205E8C" w:rsidRPr="0074154F" w:rsidRDefault="00205E8C" w:rsidP="00413455">
      <w:pPr>
        <w:pStyle w:val="ListParagraph"/>
        <w:spacing w:after="0" w:line="240" w:lineRule="auto"/>
        <w:ind w:left="1843"/>
        <w:jc w:val="both"/>
        <w:rPr>
          <w:rFonts w:ascii="Arial" w:hAnsi="Arial" w:cs="Arial"/>
          <w:sz w:val="20"/>
          <w:szCs w:val="20"/>
        </w:rPr>
      </w:pPr>
    </w:p>
    <w:p w14:paraId="383BF60E" w14:textId="77777777" w:rsidR="00205E8C" w:rsidRPr="0074154F" w:rsidRDefault="00205E8C" w:rsidP="00205E8C">
      <w:pPr>
        <w:pStyle w:val="Default"/>
        <w:ind w:left="1843" w:right="-1"/>
        <w:jc w:val="both"/>
        <w:rPr>
          <w:rFonts w:ascii="Arial" w:hAnsi="Arial" w:cs="Arial"/>
          <w:color w:val="auto"/>
          <w:sz w:val="20"/>
          <w:szCs w:val="20"/>
          <w:lang w:val="es-EC"/>
        </w:rPr>
      </w:pPr>
      <w:r w:rsidRPr="0074154F">
        <w:rPr>
          <w:rFonts w:ascii="Arial" w:hAnsi="Arial" w:cs="Arial"/>
          <w:color w:val="auto"/>
          <w:sz w:val="20"/>
          <w:szCs w:val="20"/>
          <w:lang w:val="es-EC"/>
        </w:rPr>
        <w:t xml:space="preserve">Los gastos por intereses (incluyendo los intereses implícitos) se reconocerán como costos financieros y se calculan utilizando la tasa de interés efectiva, excepto para las cuentas por pagar de corto plazo cuando el reconocimiento del interés resulte inmaterial. </w:t>
      </w:r>
    </w:p>
    <w:p w14:paraId="7E1A8C83" w14:textId="77777777" w:rsidR="00703E77" w:rsidRPr="0074154F" w:rsidRDefault="00703E77" w:rsidP="00413455">
      <w:pPr>
        <w:spacing w:after="0" w:line="240" w:lineRule="auto"/>
        <w:ind w:left="2694"/>
        <w:jc w:val="both"/>
        <w:rPr>
          <w:rFonts w:ascii="Arial" w:hAnsi="Arial" w:cs="Arial"/>
          <w:sz w:val="20"/>
          <w:szCs w:val="20"/>
        </w:rPr>
      </w:pPr>
    </w:p>
    <w:p w14:paraId="268D9BB5" w14:textId="20B5F40E" w:rsidR="007E72D2" w:rsidRPr="0074154F" w:rsidRDefault="00354935" w:rsidP="00413455">
      <w:pPr>
        <w:pStyle w:val="ListParagraph"/>
        <w:spacing w:after="0" w:line="240" w:lineRule="auto"/>
        <w:ind w:left="1843"/>
        <w:jc w:val="both"/>
        <w:rPr>
          <w:rFonts w:ascii="Arial" w:hAnsi="Arial" w:cs="Arial"/>
          <w:sz w:val="20"/>
          <w:szCs w:val="20"/>
        </w:rPr>
      </w:pPr>
      <w:r w:rsidRPr="0074154F">
        <w:rPr>
          <w:rFonts w:ascii="Arial" w:hAnsi="Arial" w:cs="Arial"/>
          <w:b/>
          <w:i/>
          <w:iCs/>
          <w:sz w:val="20"/>
          <w:szCs w:val="20"/>
          <w:u w:val="single"/>
        </w:rPr>
        <w:t xml:space="preserve">Baja de un pasivo </w:t>
      </w:r>
      <w:proofErr w:type="gramStart"/>
      <w:r w:rsidRPr="0074154F">
        <w:rPr>
          <w:rFonts w:ascii="Arial" w:hAnsi="Arial" w:cs="Arial"/>
          <w:b/>
          <w:i/>
          <w:iCs/>
          <w:sz w:val="20"/>
          <w:szCs w:val="20"/>
          <w:u w:val="single"/>
        </w:rPr>
        <w:t>financiero</w:t>
      </w:r>
      <w:r w:rsidR="002A5612" w:rsidRPr="0074154F">
        <w:rPr>
          <w:b/>
          <w:sz w:val="20"/>
          <w:szCs w:val="20"/>
          <w:lang w:val="es-MX"/>
        </w:rPr>
        <w:t>.-</w:t>
      </w:r>
      <w:proofErr w:type="gramEnd"/>
      <w:r w:rsidRPr="0074154F">
        <w:rPr>
          <w:rFonts w:ascii="Arial" w:hAnsi="Arial" w:cs="Arial"/>
          <w:b/>
          <w:sz w:val="20"/>
          <w:szCs w:val="20"/>
        </w:rPr>
        <w:t xml:space="preserve"> </w:t>
      </w:r>
      <w:r w:rsidR="00BC1A33">
        <w:rPr>
          <w:rFonts w:ascii="Arial" w:hAnsi="Arial" w:cs="Arial"/>
          <w:sz w:val="20"/>
          <w:szCs w:val="20"/>
        </w:rPr>
        <w:t>La Compañía y su relacionada</w:t>
      </w:r>
      <w:r w:rsidRPr="0074154F">
        <w:rPr>
          <w:rFonts w:ascii="Arial" w:hAnsi="Arial" w:cs="Arial"/>
          <w:sz w:val="20"/>
          <w:szCs w:val="20"/>
        </w:rPr>
        <w:t xml:space="preserve"> dará de baja en cuentas un pasivo financiero si, y solo sí, expiran, cancelan o cumplen sus obligaciones. La diferencia entre el importe en libros del pasivo financiero dado de baja y la contraprestación pagada y por pagar se reconoce en el resultado del período.</w:t>
      </w:r>
    </w:p>
    <w:p w14:paraId="219B3916" w14:textId="12AA0729" w:rsidR="00FF0758" w:rsidRPr="0074154F" w:rsidRDefault="00FF0758" w:rsidP="00413455">
      <w:pPr>
        <w:pStyle w:val="ListParagraph"/>
        <w:tabs>
          <w:tab w:val="left" w:pos="1276"/>
          <w:tab w:val="left" w:pos="6989"/>
        </w:tabs>
        <w:spacing w:after="0" w:line="240" w:lineRule="auto"/>
        <w:ind w:left="1134"/>
        <w:jc w:val="both"/>
        <w:rPr>
          <w:rFonts w:ascii="Arial" w:hAnsi="Arial" w:cs="Arial"/>
          <w:b/>
          <w:sz w:val="20"/>
          <w:szCs w:val="20"/>
          <w:u w:val="single"/>
        </w:rPr>
      </w:pPr>
    </w:p>
    <w:p w14:paraId="5AE9BBA9" w14:textId="56940AE5" w:rsidR="007E72D2" w:rsidRPr="0074154F" w:rsidRDefault="007E72D2" w:rsidP="00413455">
      <w:pPr>
        <w:pStyle w:val="ListParagraph"/>
        <w:numPr>
          <w:ilvl w:val="1"/>
          <w:numId w:val="3"/>
        </w:numPr>
        <w:tabs>
          <w:tab w:val="left" w:pos="1276"/>
          <w:tab w:val="left" w:pos="6989"/>
        </w:tabs>
        <w:spacing w:after="0" w:line="240" w:lineRule="auto"/>
        <w:ind w:left="1134" w:hanging="567"/>
        <w:jc w:val="both"/>
        <w:rPr>
          <w:rFonts w:ascii="Arial" w:hAnsi="Arial" w:cs="Arial"/>
          <w:b/>
          <w:sz w:val="20"/>
          <w:szCs w:val="20"/>
          <w:u w:val="single"/>
        </w:rPr>
      </w:pPr>
      <w:r w:rsidRPr="0074154F">
        <w:rPr>
          <w:rFonts w:ascii="Arial" w:hAnsi="Arial" w:cs="Arial"/>
          <w:b/>
          <w:sz w:val="20"/>
          <w:szCs w:val="20"/>
          <w:u w:val="single"/>
        </w:rPr>
        <w:t>Estimaciones contables</w:t>
      </w:r>
    </w:p>
    <w:p w14:paraId="53D124D9" w14:textId="77777777" w:rsidR="007E72D2" w:rsidRPr="0074154F" w:rsidRDefault="007E72D2" w:rsidP="00413455">
      <w:pPr>
        <w:autoSpaceDE w:val="0"/>
        <w:autoSpaceDN w:val="0"/>
        <w:adjustRightInd w:val="0"/>
        <w:spacing w:after="0" w:line="240" w:lineRule="auto"/>
        <w:ind w:left="1134"/>
        <w:jc w:val="both"/>
        <w:rPr>
          <w:rFonts w:ascii="Arial" w:hAnsi="Arial" w:cs="Arial"/>
          <w:sz w:val="20"/>
          <w:szCs w:val="20"/>
        </w:rPr>
      </w:pPr>
    </w:p>
    <w:p w14:paraId="742BB49A" w14:textId="53303D26" w:rsidR="00915128" w:rsidRPr="0074154F" w:rsidRDefault="007E72D2" w:rsidP="00B60E43">
      <w:pPr>
        <w:autoSpaceDE w:val="0"/>
        <w:autoSpaceDN w:val="0"/>
        <w:adjustRightInd w:val="0"/>
        <w:spacing w:after="0" w:line="240" w:lineRule="auto"/>
        <w:ind w:left="1134"/>
        <w:jc w:val="both"/>
        <w:rPr>
          <w:rFonts w:ascii="Arial" w:hAnsi="Arial" w:cs="Arial"/>
          <w:sz w:val="20"/>
          <w:szCs w:val="20"/>
        </w:rPr>
      </w:pPr>
      <w:r w:rsidRPr="0074154F">
        <w:rPr>
          <w:rFonts w:ascii="Arial" w:hAnsi="Arial" w:cs="Arial"/>
          <w:sz w:val="20"/>
          <w:szCs w:val="20"/>
        </w:rPr>
        <w:t xml:space="preserve">La preparación de los presentes estados </w:t>
      </w:r>
      <w:r w:rsidR="00AE2759" w:rsidRPr="0074154F">
        <w:rPr>
          <w:rFonts w:ascii="Arial" w:hAnsi="Arial" w:cs="Arial"/>
          <w:sz w:val="20"/>
          <w:szCs w:val="20"/>
        </w:rPr>
        <w:t xml:space="preserve">financieros </w:t>
      </w:r>
      <w:r w:rsidR="00FE5412" w:rsidRPr="0074154F">
        <w:rPr>
          <w:rFonts w:ascii="Arial" w:hAnsi="Arial" w:cs="Arial"/>
          <w:sz w:val="20"/>
          <w:szCs w:val="20"/>
        </w:rPr>
        <w:t>consolidados</w:t>
      </w:r>
      <w:r w:rsidR="00F94C27" w:rsidRPr="0074154F">
        <w:rPr>
          <w:rFonts w:ascii="Arial" w:hAnsi="Arial" w:cs="Arial"/>
          <w:sz w:val="20"/>
          <w:szCs w:val="20"/>
        </w:rPr>
        <w:t xml:space="preserve"> </w:t>
      </w:r>
      <w:r w:rsidRPr="0074154F">
        <w:rPr>
          <w:rFonts w:ascii="Arial" w:hAnsi="Arial" w:cs="Arial"/>
          <w:sz w:val="20"/>
          <w:szCs w:val="20"/>
        </w:rPr>
        <w:t xml:space="preserve">en conformidad con </w:t>
      </w:r>
      <w:r w:rsidR="00B523AA" w:rsidRPr="0074154F">
        <w:rPr>
          <w:rFonts w:ascii="Arial" w:hAnsi="Arial" w:cs="Arial"/>
          <w:sz w:val="20"/>
          <w:szCs w:val="20"/>
        </w:rPr>
        <w:t>Normas Internacionales de Información Financiera (</w:t>
      </w:r>
      <w:r w:rsidRPr="0074154F">
        <w:rPr>
          <w:rFonts w:ascii="Arial" w:hAnsi="Arial" w:cs="Arial"/>
          <w:sz w:val="20"/>
          <w:szCs w:val="20"/>
        </w:rPr>
        <w:t>NIIF</w:t>
      </w:r>
      <w:r w:rsidR="00B523AA" w:rsidRPr="0074154F">
        <w:rPr>
          <w:rFonts w:ascii="Arial" w:hAnsi="Arial" w:cs="Arial"/>
          <w:sz w:val="20"/>
          <w:szCs w:val="20"/>
        </w:rPr>
        <w:t>)</w:t>
      </w:r>
      <w:r w:rsidR="00CD3F20" w:rsidRPr="0074154F">
        <w:rPr>
          <w:rFonts w:ascii="Arial" w:hAnsi="Arial" w:cs="Arial"/>
          <w:sz w:val="20"/>
          <w:szCs w:val="20"/>
        </w:rPr>
        <w:t xml:space="preserve"> </w:t>
      </w:r>
      <w:r w:rsidRPr="0074154F">
        <w:rPr>
          <w:rFonts w:ascii="Arial" w:hAnsi="Arial" w:cs="Arial"/>
          <w:sz w:val="20"/>
          <w:szCs w:val="20"/>
        </w:rPr>
        <w:t>requiere que la Administración realice ciertas estimaciones y establezca algunos supuestos inherentes a la actividad económica de la entidad, con el propósito de determinar la valuación y presentación de algunas partidas que forman pa</w:t>
      </w:r>
      <w:r w:rsidR="00EA1D6D" w:rsidRPr="0074154F">
        <w:rPr>
          <w:rFonts w:ascii="Arial" w:hAnsi="Arial" w:cs="Arial"/>
          <w:sz w:val="20"/>
          <w:szCs w:val="20"/>
        </w:rPr>
        <w:t>rte de los estados financieros</w:t>
      </w:r>
      <w:r w:rsidR="00F94C27" w:rsidRPr="0074154F">
        <w:rPr>
          <w:rFonts w:ascii="Arial" w:hAnsi="Arial" w:cs="Arial"/>
          <w:sz w:val="20"/>
          <w:szCs w:val="20"/>
        </w:rPr>
        <w:t xml:space="preserve"> </w:t>
      </w:r>
      <w:r w:rsidR="0070026E" w:rsidRPr="0074154F">
        <w:rPr>
          <w:rFonts w:ascii="Arial" w:hAnsi="Arial" w:cs="Arial"/>
          <w:sz w:val="20"/>
          <w:szCs w:val="20"/>
        </w:rPr>
        <w:t>consolidados</w:t>
      </w:r>
      <w:r w:rsidR="00EA1D6D" w:rsidRPr="0074154F">
        <w:rPr>
          <w:rFonts w:ascii="Arial" w:hAnsi="Arial" w:cs="Arial"/>
          <w:sz w:val="20"/>
          <w:szCs w:val="20"/>
        </w:rPr>
        <w:t xml:space="preserve">. </w:t>
      </w:r>
    </w:p>
    <w:p w14:paraId="5EE36456" w14:textId="77777777" w:rsidR="00A82968" w:rsidRPr="0074154F" w:rsidRDefault="00A82968" w:rsidP="00B60E43">
      <w:pPr>
        <w:autoSpaceDE w:val="0"/>
        <w:autoSpaceDN w:val="0"/>
        <w:adjustRightInd w:val="0"/>
        <w:spacing w:after="0" w:line="240" w:lineRule="auto"/>
        <w:ind w:left="1134"/>
        <w:jc w:val="both"/>
        <w:rPr>
          <w:rFonts w:ascii="Arial" w:hAnsi="Arial" w:cs="Arial"/>
          <w:sz w:val="20"/>
          <w:szCs w:val="20"/>
        </w:rPr>
      </w:pPr>
    </w:p>
    <w:p w14:paraId="3347EC83" w14:textId="6031DE58" w:rsidR="00703E77" w:rsidRPr="0074154F" w:rsidRDefault="00842A47" w:rsidP="00B60E43">
      <w:pPr>
        <w:autoSpaceDE w:val="0"/>
        <w:autoSpaceDN w:val="0"/>
        <w:adjustRightInd w:val="0"/>
        <w:spacing w:after="0" w:line="240" w:lineRule="auto"/>
        <w:ind w:left="1134"/>
        <w:jc w:val="both"/>
        <w:rPr>
          <w:rFonts w:ascii="Arial" w:hAnsi="Arial" w:cs="Arial"/>
          <w:sz w:val="18"/>
          <w:szCs w:val="18"/>
        </w:rPr>
      </w:pPr>
      <w:r w:rsidRPr="0074154F">
        <w:rPr>
          <w:rFonts w:ascii="Arial" w:hAnsi="Arial" w:cs="Arial"/>
          <w:sz w:val="20"/>
          <w:szCs w:val="20"/>
        </w:rPr>
        <w:t>En opinión de la Administración, tales estimaciones y supuestos estuvieron basados en la mejor utilización de la información disponible al momento, los cuales podrían llegar a diferir de sus efectos finales.</w:t>
      </w:r>
    </w:p>
    <w:p w14:paraId="393F245E" w14:textId="77777777" w:rsidR="00703E77" w:rsidRPr="0074154F" w:rsidRDefault="00703E77" w:rsidP="00B60E43">
      <w:pPr>
        <w:autoSpaceDE w:val="0"/>
        <w:autoSpaceDN w:val="0"/>
        <w:adjustRightInd w:val="0"/>
        <w:spacing w:after="0" w:line="240" w:lineRule="auto"/>
        <w:ind w:left="1134"/>
        <w:jc w:val="both"/>
        <w:rPr>
          <w:rFonts w:ascii="Arial" w:hAnsi="Arial" w:cs="Arial"/>
          <w:sz w:val="20"/>
          <w:szCs w:val="20"/>
        </w:rPr>
      </w:pPr>
    </w:p>
    <w:p w14:paraId="470C21ED" w14:textId="27F7C558" w:rsidR="004766C7" w:rsidRPr="0074154F" w:rsidRDefault="007E72D2" w:rsidP="00B60E43">
      <w:pPr>
        <w:autoSpaceDE w:val="0"/>
        <w:autoSpaceDN w:val="0"/>
        <w:adjustRightInd w:val="0"/>
        <w:spacing w:after="0" w:line="240" w:lineRule="auto"/>
        <w:ind w:left="1134"/>
        <w:jc w:val="both"/>
        <w:rPr>
          <w:rFonts w:ascii="Arial" w:hAnsi="Arial" w:cs="Arial"/>
          <w:sz w:val="20"/>
          <w:szCs w:val="20"/>
        </w:rPr>
      </w:pPr>
      <w:r w:rsidRPr="0074154F">
        <w:rPr>
          <w:rFonts w:ascii="Arial" w:hAnsi="Arial" w:cs="Arial"/>
          <w:sz w:val="20"/>
          <w:szCs w:val="20"/>
        </w:rPr>
        <w:t>Las estimaciones y juicios subyacentes se revisan sobre una base regular.</w:t>
      </w:r>
      <w:r w:rsidR="00CD3F20" w:rsidRPr="0074154F">
        <w:rPr>
          <w:rFonts w:ascii="Arial" w:hAnsi="Arial" w:cs="Arial"/>
          <w:sz w:val="20"/>
          <w:szCs w:val="20"/>
        </w:rPr>
        <w:t xml:space="preserve"> </w:t>
      </w:r>
      <w:r w:rsidRPr="0074154F">
        <w:rPr>
          <w:rFonts w:ascii="Arial" w:hAnsi="Arial" w:cs="Arial"/>
          <w:sz w:val="20"/>
          <w:szCs w:val="20"/>
        </w:rPr>
        <w:t>Los efectos de los cambios en estimaciones contables surgidos de estas revisiones se reconocen en el periodo de la revisión y periodos futuros si el cambio afecta tanto al periodo actual como a periodos subsecuentes.</w:t>
      </w:r>
    </w:p>
    <w:p w14:paraId="1D168FA3" w14:textId="77777777" w:rsidR="00531E7A" w:rsidRPr="0074154F" w:rsidRDefault="00531E7A" w:rsidP="00413455">
      <w:pPr>
        <w:autoSpaceDE w:val="0"/>
        <w:autoSpaceDN w:val="0"/>
        <w:adjustRightInd w:val="0"/>
        <w:spacing w:after="0" w:line="240" w:lineRule="auto"/>
        <w:ind w:left="1134"/>
        <w:jc w:val="both"/>
        <w:rPr>
          <w:rFonts w:ascii="Arial" w:hAnsi="Arial" w:cs="Arial"/>
          <w:sz w:val="20"/>
          <w:szCs w:val="20"/>
        </w:rPr>
      </w:pPr>
    </w:p>
    <w:p w14:paraId="44F88185" w14:textId="77777777" w:rsidR="002668FE" w:rsidRPr="0074154F" w:rsidRDefault="002668FE" w:rsidP="0083020C">
      <w:pPr>
        <w:pStyle w:val="ListParagraph"/>
        <w:numPr>
          <w:ilvl w:val="1"/>
          <w:numId w:val="3"/>
        </w:numPr>
        <w:tabs>
          <w:tab w:val="left" w:pos="1276"/>
          <w:tab w:val="left" w:pos="6989"/>
        </w:tabs>
        <w:spacing w:after="0" w:line="240" w:lineRule="auto"/>
        <w:ind w:left="1134" w:hanging="567"/>
        <w:jc w:val="both"/>
        <w:rPr>
          <w:rFonts w:ascii="Arial" w:hAnsi="Arial" w:cs="Arial"/>
          <w:b/>
          <w:bCs/>
          <w:sz w:val="20"/>
          <w:u w:val="single"/>
        </w:rPr>
      </w:pPr>
      <w:r w:rsidRPr="0074154F">
        <w:rPr>
          <w:rFonts w:ascii="Arial" w:hAnsi="Arial" w:cs="Arial"/>
          <w:b/>
          <w:bCs/>
          <w:sz w:val="20"/>
          <w:u w:val="single"/>
        </w:rPr>
        <w:t xml:space="preserve">Adopción de normas nuevas y revisadas </w:t>
      </w:r>
    </w:p>
    <w:p w14:paraId="0C8D9DF7" w14:textId="77777777" w:rsidR="002668FE" w:rsidRPr="0074154F" w:rsidRDefault="002668FE" w:rsidP="002668FE">
      <w:pPr>
        <w:tabs>
          <w:tab w:val="left" w:pos="7655"/>
        </w:tabs>
        <w:spacing w:after="0" w:line="240" w:lineRule="auto"/>
        <w:ind w:left="1134"/>
        <w:jc w:val="both"/>
        <w:rPr>
          <w:rFonts w:ascii="Arial" w:hAnsi="Arial" w:cs="Arial"/>
          <w:sz w:val="20"/>
          <w:szCs w:val="20"/>
        </w:rPr>
      </w:pPr>
    </w:p>
    <w:p w14:paraId="2FF1CD9F" w14:textId="77777777" w:rsidR="002668FE" w:rsidRPr="0074154F" w:rsidRDefault="002668FE" w:rsidP="002668FE">
      <w:pPr>
        <w:pStyle w:val="Heading2"/>
        <w:pBdr>
          <w:bottom w:val="none" w:sz="0" w:space="0" w:color="auto"/>
        </w:pBdr>
        <w:tabs>
          <w:tab w:val="clear" w:pos="7080"/>
          <w:tab w:val="clear" w:pos="8280"/>
          <w:tab w:val="center" w:pos="1843"/>
          <w:tab w:val="center" w:pos="3544"/>
          <w:tab w:val="center" w:pos="4536"/>
          <w:tab w:val="center" w:pos="5529"/>
          <w:tab w:val="center" w:pos="6521"/>
          <w:tab w:val="center" w:pos="7371"/>
          <w:tab w:val="center" w:pos="8505"/>
        </w:tabs>
        <w:ind w:left="1134"/>
        <w:jc w:val="both"/>
        <w:rPr>
          <w:rFonts w:ascii="Arial" w:hAnsi="Arial" w:cs="Arial"/>
          <w:b w:val="0"/>
          <w:i/>
          <w:sz w:val="20"/>
        </w:rPr>
      </w:pPr>
      <w:r w:rsidRPr="0074154F">
        <w:rPr>
          <w:rFonts w:ascii="Arial" w:hAnsi="Arial" w:cs="Arial"/>
          <w:i/>
          <w:sz w:val="20"/>
        </w:rPr>
        <w:t xml:space="preserve">Aplicación de Normas Internacionales de Información Financiera (NIIF) nuevas y revisadas que son </w:t>
      </w:r>
      <w:proofErr w:type="spellStart"/>
      <w:r w:rsidRPr="0074154F">
        <w:rPr>
          <w:rFonts w:ascii="Arial" w:hAnsi="Arial" w:cs="Arial"/>
          <w:i/>
          <w:sz w:val="20"/>
        </w:rPr>
        <w:t>mandatoriamente</w:t>
      </w:r>
      <w:proofErr w:type="spellEnd"/>
      <w:r w:rsidRPr="0074154F">
        <w:rPr>
          <w:rFonts w:ascii="Arial" w:hAnsi="Arial" w:cs="Arial"/>
          <w:i/>
          <w:sz w:val="20"/>
        </w:rPr>
        <w:t xml:space="preserve"> efectivas en el año actual </w:t>
      </w:r>
    </w:p>
    <w:p w14:paraId="6A6A0BC6" w14:textId="77777777" w:rsidR="002668FE" w:rsidRPr="0074154F" w:rsidRDefault="002668FE" w:rsidP="002668FE">
      <w:pPr>
        <w:tabs>
          <w:tab w:val="left" w:pos="1440"/>
        </w:tabs>
        <w:spacing w:after="0" w:line="240" w:lineRule="auto"/>
        <w:ind w:left="1080"/>
        <w:jc w:val="both"/>
        <w:rPr>
          <w:rFonts w:ascii="Arial" w:hAnsi="Arial" w:cs="Arial"/>
          <w:color w:val="222222"/>
          <w:sz w:val="20"/>
          <w:szCs w:val="20"/>
          <w:lang w:val="es-ES"/>
        </w:rPr>
      </w:pPr>
    </w:p>
    <w:p w14:paraId="0152A1EC" w14:textId="61DCA3BE" w:rsidR="002668FE" w:rsidRPr="0074154F" w:rsidRDefault="002668FE" w:rsidP="002668FE">
      <w:pPr>
        <w:pStyle w:val="Bodycopy"/>
        <w:widowControl w:val="0"/>
        <w:spacing w:before="0" w:line="224" w:lineRule="exact"/>
        <w:ind w:left="1134"/>
        <w:jc w:val="both"/>
        <w:rPr>
          <w:color w:val="auto"/>
          <w:sz w:val="20"/>
          <w:szCs w:val="20"/>
          <w:lang w:val="es-MX"/>
        </w:rPr>
      </w:pPr>
      <w:r w:rsidRPr="0074154F">
        <w:rPr>
          <w:color w:val="auto"/>
          <w:sz w:val="20"/>
          <w:szCs w:val="20"/>
          <w:lang w:val="es-MX"/>
        </w:rPr>
        <w:t xml:space="preserve">Durante el año 2020, </w:t>
      </w:r>
      <w:r w:rsidR="0039422C">
        <w:rPr>
          <w:color w:val="auto"/>
          <w:sz w:val="20"/>
          <w:szCs w:val="20"/>
          <w:lang w:val="es-MX"/>
        </w:rPr>
        <w:t>la Compañía y su relacionada</w:t>
      </w:r>
      <w:r w:rsidRPr="0074154F">
        <w:rPr>
          <w:color w:val="auto"/>
          <w:sz w:val="20"/>
          <w:szCs w:val="20"/>
          <w:lang w:val="es-MX"/>
        </w:rPr>
        <w:t xml:space="preserve"> realizó el análisis para la implementación de una serie de </w:t>
      </w:r>
      <w:proofErr w:type="spellStart"/>
      <w:r w:rsidRPr="0074154F">
        <w:rPr>
          <w:color w:val="auto"/>
          <w:sz w:val="20"/>
          <w:szCs w:val="20"/>
          <w:lang w:val="es-MX"/>
        </w:rPr>
        <w:t>NIIF’s</w:t>
      </w:r>
      <w:proofErr w:type="spellEnd"/>
      <w:r w:rsidRPr="0074154F">
        <w:rPr>
          <w:color w:val="auto"/>
          <w:sz w:val="20"/>
          <w:szCs w:val="20"/>
          <w:lang w:val="es-MX"/>
        </w:rPr>
        <w:t xml:space="preserve"> nuevas y modificadas, emitidas por el Consejo de Normas Internacionales de Contabilidad (“IASB” por sus siglas en inglés) las cuales son obligatorias y </w:t>
      </w:r>
      <w:proofErr w:type="gramStart"/>
      <w:r w:rsidRPr="0074154F">
        <w:rPr>
          <w:color w:val="auto"/>
          <w:sz w:val="20"/>
          <w:szCs w:val="20"/>
          <w:lang w:val="es-MX"/>
        </w:rPr>
        <w:t>entraron en vigencia</w:t>
      </w:r>
      <w:proofErr w:type="gramEnd"/>
      <w:r w:rsidRPr="0074154F">
        <w:rPr>
          <w:color w:val="auto"/>
          <w:sz w:val="20"/>
          <w:szCs w:val="20"/>
          <w:lang w:val="es-MX"/>
        </w:rPr>
        <w:t xml:space="preserve"> a partir de los ejercicios que iniciaron en o después del 1 de enero de</w:t>
      </w:r>
      <w:r w:rsidR="00205E8C" w:rsidRPr="0074154F">
        <w:rPr>
          <w:color w:val="auto"/>
          <w:sz w:val="20"/>
          <w:szCs w:val="20"/>
          <w:lang w:val="es-MX"/>
        </w:rPr>
        <w:t>l</w:t>
      </w:r>
      <w:r w:rsidRPr="0074154F">
        <w:rPr>
          <w:color w:val="auto"/>
          <w:sz w:val="20"/>
          <w:szCs w:val="20"/>
          <w:lang w:val="es-MX"/>
        </w:rPr>
        <w:t xml:space="preserve"> 2020.</w:t>
      </w:r>
    </w:p>
    <w:p w14:paraId="5A1A78EE" w14:textId="77777777" w:rsidR="002668FE" w:rsidRPr="0074154F" w:rsidRDefault="002668FE" w:rsidP="002668FE">
      <w:pPr>
        <w:tabs>
          <w:tab w:val="left" w:pos="1440"/>
        </w:tabs>
        <w:spacing w:after="0" w:line="240" w:lineRule="auto"/>
        <w:ind w:left="1080"/>
        <w:jc w:val="both"/>
        <w:rPr>
          <w:rFonts w:ascii="Arial" w:hAnsi="Arial" w:cs="Arial"/>
          <w:color w:val="222222"/>
          <w:sz w:val="20"/>
          <w:szCs w:val="20"/>
          <w:lang w:val="es-ES"/>
        </w:rPr>
      </w:pPr>
    </w:p>
    <w:p w14:paraId="449E2405" w14:textId="77777777" w:rsidR="002668FE" w:rsidRPr="0074154F" w:rsidRDefault="002668FE" w:rsidP="002668FE">
      <w:pPr>
        <w:pStyle w:val="Bodycopy"/>
        <w:widowControl w:val="0"/>
        <w:spacing w:before="0" w:line="240" w:lineRule="auto"/>
        <w:ind w:left="1134"/>
        <w:jc w:val="both"/>
        <w:rPr>
          <w:b/>
          <w:i/>
          <w:color w:val="auto"/>
          <w:sz w:val="20"/>
          <w:szCs w:val="20"/>
          <w:lang w:val="es-MX"/>
        </w:rPr>
      </w:pPr>
      <w:r w:rsidRPr="0074154F">
        <w:rPr>
          <w:b/>
          <w:i/>
          <w:color w:val="auto"/>
          <w:sz w:val="20"/>
          <w:szCs w:val="20"/>
          <w:lang w:val="es-MX"/>
        </w:rPr>
        <w:t>Impacto inicial por las concesiones aplicadas a las rentas bajo NIIF 16 debido a temas relacionados con Covid-19</w:t>
      </w:r>
    </w:p>
    <w:p w14:paraId="01D8A5CB" w14:textId="3F3BD11A" w:rsidR="002668FE" w:rsidRDefault="002668FE" w:rsidP="002668FE">
      <w:pPr>
        <w:tabs>
          <w:tab w:val="left" w:pos="7655"/>
        </w:tabs>
        <w:spacing w:after="0" w:line="240" w:lineRule="auto"/>
        <w:ind w:left="1134"/>
        <w:jc w:val="both"/>
        <w:rPr>
          <w:rFonts w:ascii="Arial" w:hAnsi="Arial" w:cs="Arial"/>
          <w:sz w:val="20"/>
          <w:szCs w:val="20"/>
          <w:lang w:val="es-MX"/>
        </w:rPr>
      </w:pPr>
    </w:p>
    <w:p w14:paraId="2901C22C" w14:textId="77777777" w:rsidR="008F3EFE" w:rsidRPr="0074154F" w:rsidRDefault="002668FE" w:rsidP="002668FE">
      <w:pPr>
        <w:pStyle w:val="Bodycopy"/>
        <w:widowControl w:val="0"/>
        <w:spacing w:before="0" w:line="240" w:lineRule="auto"/>
        <w:ind w:left="1134"/>
        <w:jc w:val="both"/>
        <w:rPr>
          <w:color w:val="auto"/>
          <w:sz w:val="20"/>
          <w:szCs w:val="20"/>
          <w:lang w:val="es-MX"/>
        </w:rPr>
      </w:pPr>
      <w:r w:rsidRPr="0074154F">
        <w:rPr>
          <w:color w:val="auto"/>
          <w:sz w:val="20"/>
          <w:szCs w:val="20"/>
          <w:lang w:val="es-MX"/>
        </w:rPr>
        <w:t xml:space="preserve">En mayo del año 2020, el IASB emitió la modificación a la NIIF 16, </w:t>
      </w:r>
      <w:r w:rsidRPr="0074154F">
        <w:rPr>
          <w:i/>
          <w:color w:val="auto"/>
          <w:sz w:val="20"/>
          <w:szCs w:val="20"/>
          <w:lang w:val="es-MX"/>
        </w:rPr>
        <w:t>Concesiones de Renta Relacionadas a Covid-19</w:t>
      </w:r>
      <w:r w:rsidRPr="0074154F">
        <w:rPr>
          <w:color w:val="auto"/>
          <w:sz w:val="20"/>
          <w:szCs w:val="20"/>
          <w:lang w:val="es-MX"/>
        </w:rPr>
        <w:t xml:space="preserve"> que provee recursos prácticos para las concesiones de renta de los arrendatarios que ocurrieron como consecuencia directa del Covid-19, introduciendo así un expediente práctico para la NIIF 16. </w:t>
      </w:r>
    </w:p>
    <w:p w14:paraId="0FE8B77A" w14:textId="5BDFCEBE" w:rsidR="008F3EFE" w:rsidRPr="0074154F" w:rsidRDefault="008F3EFE" w:rsidP="002668FE">
      <w:pPr>
        <w:pStyle w:val="Bodycopy"/>
        <w:widowControl w:val="0"/>
        <w:spacing w:before="0" w:line="240" w:lineRule="auto"/>
        <w:ind w:left="1134"/>
        <w:jc w:val="both"/>
        <w:rPr>
          <w:color w:val="auto"/>
          <w:sz w:val="20"/>
          <w:szCs w:val="20"/>
          <w:lang w:val="es-MX"/>
        </w:rPr>
      </w:pPr>
    </w:p>
    <w:p w14:paraId="6F5D0548" w14:textId="4A368C1E" w:rsidR="002668FE" w:rsidRPr="0074154F" w:rsidRDefault="002668FE" w:rsidP="002668FE">
      <w:pPr>
        <w:pStyle w:val="Bodycopy"/>
        <w:widowControl w:val="0"/>
        <w:spacing w:before="0" w:line="240" w:lineRule="auto"/>
        <w:ind w:left="1134"/>
        <w:jc w:val="both"/>
        <w:rPr>
          <w:color w:val="auto"/>
          <w:sz w:val="20"/>
          <w:szCs w:val="20"/>
          <w:lang w:val="es-MX"/>
        </w:rPr>
      </w:pPr>
      <w:r w:rsidRPr="0074154F">
        <w:rPr>
          <w:color w:val="auto"/>
          <w:sz w:val="20"/>
          <w:szCs w:val="20"/>
          <w:lang w:val="es-MX"/>
        </w:rPr>
        <w:t xml:space="preserve">El expediente práctico permite a un arrendatario la elección de evaluar si una concesión de renta relacionada a Covid-19 es una modificación de arrendamiento. El arrendatario que haga esta elección deberá contabilizar cualquier cambio en los pagos de renta resultantes por la concesión de renta por Covid-19 aplicando la NIIF 16 como si el cambio no fuera una modificación al arrendamiento. </w:t>
      </w:r>
    </w:p>
    <w:p w14:paraId="5EA07F43" w14:textId="77777777" w:rsidR="002668FE" w:rsidRPr="0074154F" w:rsidRDefault="002668FE" w:rsidP="002668FE">
      <w:pPr>
        <w:pStyle w:val="Bodycopy"/>
        <w:widowControl w:val="0"/>
        <w:spacing w:before="0" w:line="240" w:lineRule="auto"/>
        <w:ind w:left="1134"/>
        <w:jc w:val="both"/>
        <w:rPr>
          <w:color w:val="auto"/>
          <w:sz w:val="20"/>
          <w:szCs w:val="20"/>
          <w:lang w:val="es-MX"/>
        </w:rPr>
      </w:pPr>
    </w:p>
    <w:p w14:paraId="3812113C" w14:textId="18F0BF05" w:rsidR="002668FE" w:rsidRPr="0074154F" w:rsidRDefault="002668FE" w:rsidP="00000ED8">
      <w:pPr>
        <w:pStyle w:val="Bodycopy"/>
        <w:widowControl w:val="0"/>
        <w:spacing w:before="0" w:line="240" w:lineRule="auto"/>
        <w:ind w:left="1134"/>
        <w:jc w:val="both"/>
        <w:rPr>
          <w:color w:val="auto"/>
          <w:sz w:val="20"/>
          <w:szCs w:val="20"/>
          <w:lang w:val="es-MX"/>
        </w:rPr>
      </w:pPr>
      <w:r w:rsidRPr="0074154F">
        <w:rPr>
          <w:color w:val="auto"/>
          <w:sz w:val="20"/>
          <w:szCs w:val="20"/>
          <w:lang w:val="es-MX"/>
        </w:rPr>
        <w:lastRenderedPageBreak/>
        <w:t xml:space="preserve">El expediente práctico aplica solo a las concesiones de renta que ocurren </w:t>
      </w:r>
      <w:r w:rsidR="00915128" w:rsidRPr="0074154F">
        <w:rPr>
          <w:color w:val="auto"/>
          <w:sz w:val="20"/>
          <w:szCs w:val="20"/>
          <w:lang w:val="es-MX"/>
        </w:rPr>
        <w:t xml:space="preserve">                               </w:t>
      </w:r>
      <w:r w:rsidRPr="0074154F">
        <w:rPr>
          <w:color w:val="auto"/>
          <w:sz w:val="20"/>
          <w:szCs w:val="20"/>
          <w:lang w:val="es-MX"/>
        </w:rPr>
        <w:t>por consecuencia directa relacionada a Covid-19 y solo si las siguientes condiciones se cumplen:</w:t>
      </w:r>
      <w:r w:rsidR="00000ED8" w:rsidRPr="0074154F">
        <w:rPr>
          <w:color w:val="auto"/>
          <w:sz w:val="20"/>
          <w:szCs w:val="20"/>
          <w:lang w:val="es-MX"/>
        </w:rPr>
        <w:t xml:space="preserve"> (a) </w:t>
      </w:r>
      <w:r w:rsidRPr="0074154F">
        <w:rPr>
          <w:color w:val="auto"/>
          <w:sz w:val="20"/>
          <w:szCs w:val="20"/>
          <w:lang w:val="es-MX"/>
        </w:rPr>
        <w:t>El cambio en los pagos por arrendamiento resulta en una consideración que sea sustancialmente la misma, o menor que, la consideración del arrendamiento inmediatamente anterior al cambio</w:t>
      </w:r>
      <w:r w:rsidR="00000ED8" w:rsidRPr="0074154F">
        <w:rPr>
          <w:color w:val="auto"/>
          <w:sz w:val="20"/>
          <w:szCs w:val="20"/>
          <w:lang w:val="es-MX"/>
        </w:rPr>
        <w:t xml:space="preserve">; (b) </w:t>
      </w:r>
      <w:r w:rsidRPr="0074154F">
        <w:rPr>
          <w:color w:val="auto"/>
          <w:sz w:val="20"/>
          <w:szCs w:val="20"/>
          <w:lang w:val="es-MX"/>
        </w:rPr>
        <w:t xml:space="preserve">Cualquier reducción en los pagos de </w:t>
      </w:r>
      <w:r w:rsidR="00915128" w:rsidRPr="0074154F">
        <w:rPr>
          <w:color w:val="auto"/>
          <w:sz w:val="20"/>
          <w:szCs w:val="20"/>
          <w:lang w:val="es-MX"/>
        </w:rPr>
        <w:t xml:space="preserve">     </w:t>
      </w:r>
      <w:r w:rsidRPr="0074154F">
        <w:rPr>
          <w:color w:val="auto"/>
          <w:sz w:val="20"/>
          <w:szCs w:val="20"/>
          <w:lang w:val="es-MX"/>
        </w:rPr>
        <w:t>arrendamiento solo afecta a los pagos debidos en o antes del 30 de junio de</w:t>
      </w:r>
      <w:r w:rsidR="00205E8C" w:rsidRPr="0074154F">
        <w:rPr>
          <w:color w:val="auto"/>
          <w:sz w:val="20"/>
          <w:szCs w:val="20"/>
          <w:lang w:val="es-MX"/>
        </w:rPr>
        <w:t>l</w:t>
      </w:r>
      <w:r w:rsidRPr="0074154F">
        <w:rPr>
          <w:color w:val="auto"/>
          <w:sz w:val="20"/>
          <w:szCs w:val="20"/>
          <w:lang w:val="es-MX"/>
        </w:rPr>
        <w:t xml:space="preserve"> 2020 </w:t>
      </w:r>
      <w:r w:rsidR="00915128" w:rsidRPr="0074154F">
        <w:rPr>
          <w:color w:val="auto"/>
          <w:sz w:val="20"/>
          <w:szCs w:val="20"/>
          <w:lang w:val="es-MX"/>
        </w:rPr>
        <w:t xml:space="preserve">             </w:t>
      </w:r>
      <w:r w:rsidRPr="0074154F">
        <w:rPr>
          <w:color w:val="auto"/>
          <w:sz w:val="20"/>
          <w:szCs w:val="20"/>
          <w:lang w:val="es-MX"/>
        </w:rPr>
        <w:t xml:space="preserve">(una concesión de renta cumple esta condición si resulta en una reducción de pagos </w:t>
      </w:r>
      <w:r w:rsidR="00915128" w:rsidRPr="0074154F">
        <w:rPr>
          <w:color w:val="auto"/>
          <w:sz w:val="20"/>
          <w:szCs w:val="20"/>
          <w:lang w:val="es-MX"/>
        </w:rPr>
        <w:t xml:space="preserve">           </w:t>
      </w:r>
      <w:r w:rsidRPr="0074154F">
        <w:rPr>
          <w:color w:val="auto"/>
          <w:sz w:val="20"/>
          <w:szCs w:val="20"/>
          <w:lang w:val="es-MX"/>
        </w:rPr>
        <w:t>antes del 30 de junio de</w:t>
      </w:r>
      <w:r w:rsidR="00205E8C" w:rsidRPr="0074154F">
        <w:rPr>
          <w:color w:val="auto"/>
          <w:sz w:val="20"/>
          <w:szCs w:val="20"/>
          <w:lang w:val="es-MX"/>
        </w:rPr>
        <w:t>l</w:t>
      </w:r>
      <w:r w:rsidRPr="0074154F">
        <w:rPr>
          <w:color w:val="auto"/>
          <w:sz w:val="20"/>
          <w:szCs w:val="20"/>
          <w:lang w:val="es-MX"/>
        </w:rPr>
        <w:t xml:space="preserve"> 2020 o incrementa los pagos de arrendamiento después del </w:t>
      </w:r>
      <w:r w:rsidR="00915128" w:rsidRPr="0074154F">
        <w:rPr>
          <w:color w:val="auto"/>
          <w:sz w:val="20"/>
          <w:szCs w:val="20"/>
          <w:lang w:val="es-MX"/>
        </w:rPr>
        <w:t xml:space="preserve">         </w:t>
      </w:r>
      <w:r w:rsidRPr="0074154F">
        <w:rPr>
          <w:color w:val="auto"/>
          <w:sz w:val="20"/>
          <w:szCs w:val="20"/>
          <w:lang w:val="es-MX"/>
        </w:rPr>
        <w:t>30 de junio de</w:t>
      </w:r>
      <w:r w:rsidR="00205E8C" w:rsidRPr="0074154F">
        <w:rPr>
          <w:color w:val="auto"/>
          <w:sz w:val="20"/>
          <w:szCs w:val="20"/>
          <w:lang w:val="es-MX"/>
        </w:rPr>
        <w:t>l</w:t>
      </w:r>
      <w:r w:rsidRPr="0074154F">
        <w:rPr>
          <w:color w:val="auto"/>
          <w:sz w:val="20"/>
          <w:szCs w:val="20"/>
          <w:lang w:val="es-MX"/>
        </w:rPr>
        <w:t xml:space="preserve"> 2020); y</w:t>
      </w:r>
      <w:r w:rsidR="00000ED8" w:rsidRPr="0074154F">
        <w:rPr>
          <w:color w:val="auto"/>
          <w:sz w:val="20"/>
          <w:szCs w:val="20"/>
          <w:lang w:val="es-MX"/>
        </w:rPr>
        <w:t xml:space="preserve"> (c) </w:t>
      </w:r>
      <w:r w:rsidRPr="0074154F">
        <w:rPr>
          <w:color w:val="auto"/>
          <w:sz w:val="20"/>
          <w:szCs w:val="20"/>
          <w:lang w:val="es-MX"/>
        </w:rPr>
        <w:t>No hay un cambio sustantivo en alguna otra cláusula o condición del arrendamiento.</w:t>
      </w:r>
    </w:p>
    <w:p w14:paraId="66DCDF0F" w14:textId="77777777" w:rsidR="00E36468" w:rsidRPr="0074154F" w:rsidRDefault="00E36468" w:rsidP="00000ED8">
      <w:pPr>
        <w:pStyle w:val="Bodycopy"/>
        <w:widowControl w:val="0"/>
        <w:spacing w:before="0" w:line="240" w:lineRule="auto"/>
        <w:ind w:left="1134"/>
        <w:jc w:val="both"/>
        <w:rPr>
          <w:color w:val="auto"/>
          <w:sz w:val="20"/>
          <w:szCs w:val="20"/>
          <w:lang w:val="es-MX"/>
        </w:rPr>
      </w:pPr>
    </w:p>
    <w:p w14:paraId="38D51441" w14:textId="747D575F" w:rsidR="002668FE" w:rsidRPr="0074154F" w:rsidRDefault="002668FE" w:rsidP="002668FE">
      <w:pPr>
        <w:spacing w:after="0" w:line="240" w:lineRule="auto"/>
        <w:ind w:left="1134"/>
        <w:jc w:val="both"/>
        <w:rPr>
          <w:rFonts w:ascii="Arial" w:hAnsi="Arial" w:cs="Arial"/>
          <w:sz w:val="20"/>
          <w:szCs w:val="20"/>
          <w:lang w:val="es-MX"/>
        </w:rPr>
      </w:pPr>
      <w:r w:rsidRPr="0074154F">
        <w:rPr>
          <w:rStyle w:val="hps"/>
          <w:rFonts w:ascii="Arial" w:hAnsi="Arial" w:cs="Arial"/>
          <w:sz w:val="20"/>
          <w:szCs w:val="20"/>
        </w:rPr>
        <w:t>La Administración de</w:t>
      </w:r>
      <w:r w:rsidR="00DF6F9A">
        <w:rPr>
          <w:rStyle w:val="hps"/>
          <w:rFonts w:ascii="Arial" w:hAnsi="Arial" w:cs="Arial"/>
          <w:sz w:val="20"/>
          <w:szCs w:val="20"/>
        </w:rPr>
        <w:t xml:space="preserve"> la Compañía y su relacionada</w:t>
      </w:r>
      <w:r w:rsidRPr="0074154F">
        <w:rPr>
          <w:rStyle w:val="hps"/>
          <w:rFonts w:ascii="Arial" w:hAnsi="Arial" w:cs="Arial"/>
          <w:sz w:val="20"/>
          <w:szCs w:val="20"/>
        </w:rPr>
        <w:t xml:space="preserve"> ha evaluado la aplicación de esta normativa NIIF y concluido que no fueron necesarios registros contables con ajustes materiales que deban ser incorporados en los estados financieros </w:t>
      </w:r>
      <w:r w:rsidR="00EB377A" w:rsidRPr="0074154F">
        <w:rPr>
          <w:rStyle w:val="hps"/>
          <w:rFonts w:ascii="Arial" w:hAnsi="Arial" w:cs="Arial"/>
          <w:sz w:val="20"/>
          <w:szCs w:val="20"/>
        </w:rPr>
        <w:t>consolidados</w:t>
      </w:r>
      <w:r w:rsidR="00477714" w:rsidRPr="0074154F">
        <w:rPr>
          <w:rStyle w:val="hps"/>
          <w:rFonts w:ascii="Arial" w:hAnsi="Arial" w:cs="Arial"/>
          <w:sz w:val="20"/>
          <w:szCs w:val="20"/>
        </w:rPr>
        <w:t xml:space="preserve"> </w:t>
      </w:r>
      <w:r w:rsidRPr="0074154F">
        <w:rPr>
          <w:rStyle w:val="hps"/>
          <w:rFonts w:ascii="Arial" w:hAnsi="Arial" w:cs="Arial"/>
          <w:sz w:val="20"/>
          <w:szCs w:val="20"/>
        </w:rPr>
        <w:t>en razón que</w:t>
      </w:r>
      <w:r w:rsidR="00205E8C" w:rsidRPr="0074154F">
        <w:rPr>
          <w:rStyle w:val="hps"/>
          <w:rFonts w:ascii="Arial" w:hAnsi="Arial" w:cs="Arial"/>
          <w:sz w:val="20"/>
          <w:szCs w:val="20"/>
        </w:rPr>
        <w:t xml:space="preserve">, durante </w:t>
      </w:r>
      <w:r w:rsidRPr="0074154F">
        <w:rPr>
          <w:rFonts w:ascii="Arial" w:hAnsi="Arial" w:cs="Arial"/>
          <w:sz w:val="20"/>
          <w:szCs w:val="20"/>
          <w:lang w:val="es-MX"/>
        </w:rPr>
        <w:t>el año 2020, no hubo modificaciones a los contratos de arrendamiento que cumplan con las condiciones indicadas en los párrafos precedentes.</w:t>
      </w:r>
    </w:p>
    <w:p w14:paraId="6176D010" w14:textId="77777777" w:rsidR="002668FE" w:rsidRPr="0074154F" w:rsidRDefault="002668FE" w:rsidP="002668FE">
      <w:pPr>
        <w:tabs>
          <w:tab w:val="left" w:pos="1440"/>
        </w:tabs>
        <w:spacing w:after="0" w:line="240" w:lineRule="auto"/>
        <w:ind w:left="1080"/>
        <w:jc w:val="both"/>
        <w:rPr>
          <w:rFonts w:ascii="Arial" w:hAnsi="Arial" w:cs="Arial"/>
          <w:color w:val="222222"/>
          <w:sz w:val="20"/>
          <w:szCs w:val="20"/>
          <w:lang w:val="es-MX"/>
        </w:rPr>
      </w:pPr>
    </w:p>
    <w:p w14:paraId="2618D679" w14:textId="2C2D932D" w:rsidR="002668FE" w:rsidRPr="0074154F" w:rsidRDefault="002668FE" w:rsidP="002668FE">
      <w:pPr>
        <w:pStyle w:val="Bodycopy"/>
        <w:widowControl w:val="0"/>
        <w:spacing w:before="0" w:line="240" w:lineRule="auto"/>
        <w:ind w:left="1134"/>
        <w:jc w:val="both"/>
        <w:rPr>
          <w:b/>
          <w:i/>
          <w:color w:val="auto"/>
          <w:sz w:val="20"/>
          <w:szCs w:val="20"/>
          <w:lang w:val="es-MX"/>
        </w:rPr>
      </w:pPr>
      <w:r w:rsidRPr="0074154F">
        <w:rPr>
          <w:b/>
          <w:i/>
          <w:color w:val="auto"/>
          <w:sz w:val="20"/>
          <w:szCs w:val="20"/>
          <w:lang w:val="es-MX"/>
        </w:rPr>
        <w:t xml:space="preserve">Impacto inicial de la aplicación de otras NIIF nuevas y modificadas que son </w:t>
      </w:r>
      <w:r w:rsidR="00205E8C" w:rsidRPr="0074154F">
        <w:rPr>
          <w:b/>
          <w:i/>
          <w:color w:val="auto"/>
          <w:sz w:val="20"/>
          <w:szCs w:val="20"/>
          <w:lang w:val="es-MX"/>
        </w:rPr>
        <w:t xml:space="preserve">          </w:t>
      </w:r>
      <w:r w:rsidRPr="0074154F">
        <w:rPr>
          <w:b/>
          <w:i/>
          <w:color w:val="auto"/>
          <w:sz w:val="20"/>
          <w:szCs w:val="20"/>
          <w:lang w:val="es-MX"/>
        </w:rPr>
        <w:t xml:space="preserve">efectivas para los ejercicios y periodos de reporte que comiencen a partir del </w:t>
      </w:r>
      <w:r w:rsidR="00205E8C" w:rsidRPr="0074154F">
        <w:rPr>
          <w:b/>
          <w:i/>
          <w:color w:val="auto"/>
          <w:sz w:val="20"/>
          <w:szCs w:val="20"/>
          <w:lang w:val="es-MX"/>
        </w:rPr>
        <w:t xml:space="preserve">               </w:t>
      </w:r>
      <w:r w:rsidRPr="0074154F">
        <w:rPr>
          <w:b/>
          <w:i/>
          <w:color w:val="auto"/>
          <w:sz w:val="20"/>
          <w:szCs w:val="20"/>
          <w:lang w:val="es-MX"/>
        </w:rPr>
        <w:t>1 de enero de</w:t>
      </w:r>
      <w:r w:rsidR="00205E8C" w:rsidRPr="0074154F">
        <w:rPr>
          <w:b/>
          <w:i/>
          <w:color w:val="auto"/>
          <w:sz w:val="20"/>
          <w:szCs w:val="20"/>
          <w:lang w:val="es-MX"/>
        </w:rPr>
        <w:t>l</w:t>
      </w:r>
      <w:r w:rsidRPr="0074154F">
        <w:rPr>
          <w:b/>
          <w:i/>
          <w:color w:val="auto"/>
          <w:sz w:val="20"/>
          <w:szCs w:val="20"/>
          <w:lang w:val="es-MX"/>
        </w:rPr>
        <w:t xml:space="preserve"> 2020</w:t>
      </w:r>
    </w:p>
    <w:p w14:paraId="4B9071E9" w14:textId="77777777" w:rsidR="006616BD" w:rsidRPr="0074154F" w:rsidRDefault="006616BD" w:rsidP="002668FE">
      <w:pPr>
        <w:pStyle w:val="Bodycopy"/>
        <w:widowControl w:val="0"/>
        <w:spacing w:before="0" w:line="240" w:lineRule="auto"/>
        <w:ind w:left="1134"/>
        <w:jc w:val="both"/>
        <w:rPr>
          <w:color w:val="auto"/>
          <w:sz w:val="20"/>
          <w:szCs w:val="20"/>
          <w:lang w:val="es-MX"/>
        </w:rPr>
      </w:pPr>
    </w:p>
    <w:p w14:paraId="743E860B" w14:textId="6A469349" w:rsidR="002668FE" w:rsidRPr="0074154F" w:rsidRDefault="002668FE" w:rsidP="002668FE">
      <w:pPr>
        <w:pStyle w:val="Bodycopy"/>
        <w:widowControl w:val="0"/>
        <w:spacing w:before="0" w:line="240" w:lineRule="auto"/>
        <w:ind w:left="1134"/>
        <w:jc w:val="both"/>
        <w:rPr>
          <w:color w:val="auto"/>
          <w:sz w:val="20"/>
          <w:szCs w:val="20"/>
          <w:lang w:val="es-MX"/>
        </w:rPr>
      </w:pPr>
      <w:r w:rsidRPr="0074154F">
        <w:rPr>
          <w:color w:val="auto"/>
          <w:sz w:val="20"/>
          <w:szCs w:val="20"/>
          <w:lang w:val="es-MX"/>
        </w:rPr>
        <w:t xml:space="preserve">Durante el año 2020, </w:t>
      </w:r>
      <w:r w:rsidR="00D5325B">
        <w:rPr>
          <w:color w:val="auto"/>
          <w:sz w:val="20"/>
          <w:szCs w:val="20"/>
          <w:lang w:val="es-MX"/>
        </w:rPr>
        <w:t>la Compañía y su relacionada</w:t>
      </w:r>
      <w:r w:rsidRPr="0074154F">
        <w:rPr>
          <w:color w:val="auto"/>
          <w:sz w:val="20"/>
          <w:szCs w:val="20"/>
          <w:lang w:val="es-MX"/>
        </w:rPr>
        <w:t xml:space="preserve"> ha realizado el análisis para la aplicación de las modificaciones e interpretaciones a NIIF abajo mencionadas emitidas por el Comité que son efectivas por el periodo de reporte que empiece a partir del 1 de enero de</w:t>
      </w:r>
      <w:r w:rsidR="00205E8C" w:rsidRPr="0074154F">
        <w:rPr>
          <w:color w:val="auto"/>
          <w:sz w:val="20"/>
          <w:szCs w:val="20"/>
          <w:lang w:val="es-MX"/>
        </w:rPr>
        <w:t>l</w:t>
      </w:r>
      <w:r w:rsidRPr="0074154F">
        <w:rPr>
          <w:color w:val="auto"/>
          <w:sz w:val="20"/>
          <w:szCs w:val="20"/>
          <w:lang w:val="es-MX"/>
        </w:rPr>
        <w:t xml:space="preserve"> 2020. La adopción no ha tenido impacto material en las revelaciones o en las cantidades de los estados financieros </w:t>
      </w:r>
      <w:r w:rsidR="00EB377A" w:rsidRPr="0074154F">
        <w:rPr>
          <w:color w:val="auto"/>
          <w:sz w:val="20"/>
          <w:szCs w:val="20"/>
          <w:lang w:val="es-MX"/>
        </w:rPr>
        <w:t>consolidados</w:t>
      </w:r>
      <w:r w:rsidR="00477714" w:rsidRPr="0074154F">
        <w:rPr>
          <w:color w:val="auto"/>
          <w:sz w:val="20"/>
          <w:szCs w:val="20"/>
          <w:lang w:val="es-MX"/>
        </w:rPr>
        <w:t xml:space="preserve"> </w:t>
      </w:r>
      <w:r w:rsidRPr="0074154F">
        <w:rPr>
          <w:color w:val="auto"/>
          <w:sz w:val="20"/>
          <w:szCs w:val="20"/>
          <w:lang w:val="es-MX"/>
        </w:rPr>
        <w:t>adjuntos.</w:t>
      </w:r>
    </w:p>
    <w:p w14:paraId="1DA94451" w14:textId="29AA3DA8" w:rsidR="002668FE" w:rsidRPr="0074154F" w:rsidRDefault="002668FE" w:rsidP="002668FE">
      <w:pPr>
        <w:pStyle w:val="Bodycopy"/>
        <w:widowControl w:val="0"/>
        <w:spacing w:before="0" w:line="240" w:lineRule="auto"/>
        <w:ind w:left="1134"/>
        <w:jc w:val="both"/>
        <w:rPr>
          <w:color w:val="auto"/>
          <w:sz w:val="20"/>
          <w:szCs w:val="20"/>
          <w:lang w:val="es-MX"/>
        </w:rPr>
      </w:pPr>
    </w:p>
    <w:p w14:paraId="01AE95B2" w14:textId="77777777" w:rsidR="002668FE" w:rsidRPr="0074154F" w:rsidRDefault="002668FE" w:rsidP="002668FE">
      <w:pPr>
        <w:pStyle w:val="Bodycopy"/>
        <w:widowControl w:val="0"/>
        <w:spacing w:before="0" w:line="240" w:lineRule="auto"/>
        <w:ind w:left="1134"/>
        <w:jc w:val="both"/>
        <w:rPr>
          <w:b/>
          <w:bCs/>
          <w:i/>
          <w:iCs/>
          <w:color w:val="auto"/>
          <w:sz w:val="20"/>
          <w:szCs w:val="20"/>
          <w:lang w:val="es-EC"/>
        </w:rPr>
      </w:pPr>
      <w:r w:rsidRPr="0074154F">
        <w:rPr>
          <w:b/>
          <w:bCs/>
          <w:i/>
          <w:iCs/>
          <w:sz w:val="20"/>
          <w:szCs w:val="20"/>
          <w:lang w:val="es-EC"/>
        </w:rPr>
        <w:t>Modificaciones a las referencias del “Marco Conceptual” en las NIIF</w:t>
      </w:r>
    </w:p>
    <w:p w14:paraId="21B17EF8" w14:textId="77777777" w:rsidR="002668FE" w:rsidRPr="0074154F" w:rsidRDefault="002668FE" w:rsidP="002668FE">
      <w:pPr>
        <w:pStyle w:val="Bodycopy"/>
        <w:widowControl w:val="0"/>
        <w:spacing w:before="0" w:line="240" w:lineRule="auto"/>
        <w:ind w:left="1134"/>
        <w:jc w:val="both"/>
        <w:rPr>
          <w:color w:val="auto"/>
          <w:sz w:val="20"/>
          <w:szCs w:val="20"/>
          <w:lang w:val="es-EC"/>
        </w:rPr>
      </w:pPr>
    </w:p>
    <w:p w14:paraId="6710FF1A" w14:textId="7C5CD1CC" w:rsidR="0088716D" w:rsidRPr="0074154F" w:rsidRDefault="00D5325B" w:rsidP="002668FE">
      <w:pPr>
        <w:spacing w:after="0" w:line="240" w:lineRule="auto"/>
        <w:ind w:left="1134"/>
        <w:jc w:val="both"/>
        <w:rPr>
          <w:rFonts w:ascii="Arial" w:hAnsi="Arial" w:cs="Arial"/>
          <w:sz w:val="20"/>
          <w:szCs w:val="20"/>
        </w:rPr>
      </w:pPr>
      <w:r>
        <w:rPr>
          <w:rFonts w:ascii="Arial" w:hAnsi="Arial" w:cs="Arial"/>
          <w:sz w:val="20"/>
          <w:szCs w:val="20"/>
        </w:rPr>
        <w:t>La Compañía y su relacionada</w:t>
      </w:r>
      <w:r w:rsidR="002668FE" w:rsidRPr="0074154F">
        <w:rPr>
          <w:rFonts w:ascii="Arial" w:hAnsi="Arial" w:cs="Arial"/>
          <w:sz w:val="20"/>
          <w:szCs w:val="20"/>
        </w:rPr>
        <w:t xml:space="preserve"> ha realizado el análisis para la adopción de las referencias incluidas en el “Marco Conceptual” en las NIIF por primera vez en este año. Las modificaciones incluyen enmiendas derivadas a las normas afectadas que ahora se refieren al indicado marco conceptual. </w:t>
      </w:r>
    </w:p>
    <w:p w14:paraId="2AA8C813" w14:textId="77777777" w:rsidR="0088716D" w:rsidRPr="0074154F" w:rsidRDefault="0088716D" w:rsidP="002668FE">
      <w:pPr>
        <w:spacing w:after="0" w:line="240" w:lineRule="auto"/>
        <w:ind w:left="1134"/>
        <w:jc w:val="both"/>
        <w:rPr>
          <w:rFonts w:ascii="Arial" w:hAnsi="Arial" w:cs="Arial"/>
          <w:sz w:val="20"/>
          <w:szCs w:val="20"/>
        </w:rPr>
      </w:pPr>
    </w:p>
    <w:p w14:paraId="666C9E50" w14:textId="69BE654E" w:rsidR="002668FE" w:rsidRPr="0074154F" w:rsidRDefault="002668FE" w:rsidP="002668FE">
      <w:pPr>
        <w:spacing w:after="0" w:line="240" w:lineRule="auto"/>
        <w:ind w:left="1134"/>
        <w:jc w:val="both"/>
        <w:rPr>
          <w:rFonts w:ascii="Arial" w:hAnsi="Arial" w:cs="Arial"/>
          <w:sz w:val="20"/>
          <w:szCs w:val="20"/>
        </w:rPr>
      </w:pPr>
      <w:r w:rsidRPr="0074154F">
        <w:rPr>
          <w:rFonts w:ascii="Arial" w:hAnsi="Arial" w:cs="Arial"/>
          <w:sz w:val="20"/>
          <w:szCs w:val="20"/>
        </w:rPr>
        <w:t>Es importante indicar que no todas las modificaciones actualizan estos pronunciamientos con respecto a las referencias y frases del marco conceptual revisado. Algunos de los pronunciamientos solo se actualizan para indicar a qué versión del marco conceptual hacen referencia (el marco conceptual del IASC adoptado por el IASB en los años 2001, 2010 o el nuevo y revisado marco conceptual del año 2018) o para indicar las definiciones de las normas que no han sido actualizadas con las nuevas definiciones desarrolladas en el marco conceptual revisado.</w:t>
      </w:r>
    </w:p>
    <w:p w14:paraId="700243B8" w14:textId="77777777" w:rsidR="002668FE" w:rsidRPr="0074154F" w:rsidRDefault="002668FE" w:rsidP="002668FE">
      <w:pPr>
        <w:spacing w:after="0" w:line="240" w:lineRule="auto"/>
        <w:ind w:left="1134"/>
        <w:jc w:val="both"/>
        <w:rPr>
          <w:rFonts w:ascii="Arial" w:hAnsi="Arial" w:cs="Arial"/>
          <w:sz w:val="20"/>
          <w:szCs w:val="20"/>
        </w:rPr>
      </w:pPr>
    </w:p>
    <w:p w14:paraId="21ECCFD3" w14:textId="77777777" w:rsidR="002668FE" w:rsidRPr="0074154F" w:rsidRDefault="002668FE" w:rsidP="002668FE">
      <w:pPr>
        <w:pStyle w:val="Bodycopy"/>
        <w:widowControl w:val="0"/>
        <w:spacing w:before="0" w:line="240" w:lineRule="auto"/>
        <w:ind w:left="1134"/>
        <w:jc w:val="both"/>
        <w:rPr>
          <w:color w:val="auto"/>
          <w:sz w:val="20"/>
          <w:szCs w:val="20"/>
          <w:lang w:val="es-EC"/>
        </w:rPr>
      </w:pPr>
      <w:r w:rsidRPr="0074154F">
        <w:rPr>
          <w:iCs/>
          <w:sz w:val="20"/>
          <w:szCs w:val="20"/>
          <w:lang w:val="es-EC"/>
        </w:rPr>
        <w:t>Las normas que han tenido modificaciones son NIIF 2, NIIF 3, NIIF 6, NIIF 14, NIC 1, NIC 8, NIC 34, NIC 37, NIC 38, CINIIF 12, CINIIF 19, CINIIF 20, CINIIF 22, y SIC-32.</w:t>
      </w:r>
    </w:p>
    <w:p w14:paraId="14ED8D60" w14:textId="21925730" w:rsidR="002668FE" w:rsidRDefault="002668FE" w:rsidP="002668FE">
      <w:pPr>
        <w:pStyle w:val="Bodycopy"/>
        <w:widowControl w:val="0"/>
        <w:spacing w:before="0" w:line="240" w:lineRule="auto"/>
        <w:ind w:left="1134"/>
        <w:jc w:val="both"/>
        <w:rPr>
          <w:color w:val="auto"/>
          <w:sz w:val="20"/>
          <w:szCs w:val="20"/>
          <w:lang w:val="es-MX"/>
        </w:rPr>
      </w:pPr>
    </w:p>
    <w:p w14:paraId="7FD0139F" w14:textId="77777777" w:rsidR="002668FE" w:rsidRPr="0074154F" w:rsidRDefault="002668FE" w:rsidP="002668FE">
      <w:pPr>
        <w:pStyle w:val="Bodycopy"/>
        <w:widowControl w:val="0"/>
        <w:spacing w:before="0" w:line="240" w:lineRule="auto"/>
        <w:ind w:left="1134"/>
        <w:jc w:val="both"/>
        <w:rPr>
          <w:b/>
          <w:bCs/>
          <w:i/>
          <w:iCs/>
          <w:color w:val="auto"/>
          <w:sz w:val="20"/>
          <w:szCs w:val="20"/>
          <w:lang w:val="es-MX"/>
        </w:rPr>
      </w:pPr>
      <w:r w:rsidRPr="0074154F">
        <w:rPr>
          <w:b/>
          <w:bCs/>
          <w:i/>
          <w:iCs/>
          <w:color w:val="auto"/>
          <w:sz w:val="20"/>
          <w:szCs w:val="20"/>
          <w:lang w:val="es-MX"/>
        </w:rPr>
        <w:t>Modificaciones a la NIC 1 y NIC 8 – Definición de materialidad</w:t>
      </w:r>
    </w:p>
    <w:p w14:paraId="6C8DB02C" w14:textId="77777777" w:rsidR="002668FE" w:rsidRPr="0074154F" w:rsidRDefault="002668FE" w:rsidP="002668FE">
      <w:pPr>
        <w:pStyle w:val="Bodycopy"/>
        <w:widowControl w:val="0"/>
        <w:spacing w:before="0" w:line="240" w:lineRule="auto"/>
        <w:ind w:left="1134"/>
        <w:jc w:val="both"/>
        <w:rPr>
          <w:color w:val="auto"/>
          <w:sz w:val="20"/>
          <w:szCs w:val="20"/>
          <w:lang w:val="es-MX"/>
        </w:rPr>
      </w:pPr>
    </w:p>
    <w:p w14:paraId="12AC7A1A" w14:textId="6F66437E" w:rsidR="002668FE" w:rsidRDefault="002668FE" w:rsidP="002668FE">
      <w:pPr>
        <w:spacing w:after="0" w:line="240" w:lineRule="auto"/>
        <w:ind w:left="1134"/>
        <w:jc w:val="both"/>
        <w:rPr>
          <w:rFonts w:ascii="Arial" w:hAnsi="Arial" w:cs="Arial"/>
          <w:sz w:val="20"/>
          <w:szCs w:val="20"/>
        </w:rPr>
      </w:pPr>
      <w:r w:rsidRPr="0074154F">
        <w:rPr>
          <w:rFonts w:ascii="Arial" w:hAnsi="Arial" w:cs="Arial"/>
          <w:sz w:val="20"/>
          <w:szCs w:val="20"/>
        </w:rPr>
        <w:t xml:space="preserve">Durante el año 2020, </w:t>
      </w:r>
      <w:r w:rsidR="00473529">
        <w:rPr>
          <w:rFonts w:ascii="Arial" w:hAnsi="Arial" w:cs="Arial"/>
          <w:sz w:val="20"/>
          <w:szCs w:val="20"/>
        </w:rPr>
        <w:t>la Compañía y su relacionada</w:t>
      </w:r>
      <w:r w:rsidRPr="0074154F">
        <w:rPr>
          <w:rFonts w:ascii="Arial" w:hAnsi="Arial" w:cs="Arial"/>
          <w:sz w:val="20"/>
          <w:szCs w:val="20"/>
        </w:rPr>
        <w:t xml:space="preserve"> ha adoptado las modificaciones a la NIC 1 y la NIC 8 y las modificaciones hicieron la definición de “material” en la NIC 1 más comprensible y no pretende alterar el concepto subyacente de materialidad en las NIIF. El concepto de “oscurecer” la información material con información inmaterial ha sido incluido como parte de la nueva definición. El umbral de la materialidad que influye en los usuarios ha sido cambiado de ‘podrían influenciar’ a ‘razonablemente se espera que puedan influenciar’.</w:t>
      </w:r>
    </w:p>
    <w:p w14:paraId="41381E3A" w14:textId="20EC6ED0" w:rsidR="00E77A69" w:rsidRDefault="00E77A69" w:rsidP="002668FE">
      <w:pPr>
        <w:spacing w:after="0" w:line="240" w:lineRule="auto"/>
        <w:ind w:left="1134"/>
        <w:jc w:val="both"/>
        <w:rPr>
          <w:rFonts w:ascii="Arial" w:hAnsi="Arial" w:cs="Arial"/>
          <w:sz w:val="20"/>
          <w:szCs w:val="20"/>
        </w:rPr>
      </w:pPr>
    </w:p>
    <w:p w14:paraId="2963EFF0" w14:textId="79F8A3E0" w:rsidR="00E77A69" w:rsidRDefault="00E77A69" w:rsidP="002668FE">
      <w:pPr>
        <w:spacing w:after="0" w:line="240" w:lineRule="auto"/>
        <w:ind w:left="1134"/>
        <w:jc w:val="both"/>
        <w:rPr>
          <w:rFonts w:ascii="Arial" w:hAnsi="Arial" w:cs="Arial"/>
          <w:sz w:val="20"/>
          <w:szCs w:val="20"/>
        </w:rPr>
      </w:pPr>
    </w:p>
    <w:p w14:paraId="52B3B279" w14:textId="52D2AD96" w:rsidR="00E77A69" w:rsidRDefault="00E77A69" w:rsidP="002668FE">
      <w:pPr>
        <w:spacing w:after="0" w:line="240" w:lineRule="auto"/>
        <w:ind w:left="1134"/>
        <w:jc w:val="both"/>
        <w:rPr>
          <w:rFonts w:ascii="Arial" w:hAnsi="Arial" w:cs="Arial"/>
          <w:sz w:val="20"/>
          <w:szCs w:val="20"/>
        </w:rPr>
      </w:pPr>
    </w:p>
    <w:p w14:paraId="775A4754" w14:textId="7ADD1D30" w:rsidR="00E77A69" w:rsidRPr="00E77A69" w:rsidRDefault="00E77A69" w:rsidP="00E77A69">
      <w:pPr>
        <w:spacing w:after="0" w:line="240" w:lineRule="auto"/>
        <w:ind w:left="1134"/>
        <w:jc w:val="center"/>
        <w:rPr>
          <w:rFonts w:ascii="Arial" w:hAnsi="Arial" w:cs="Arial"/>
          <w:b/>
          <w:bCs/>
          <w:sz w:val="20"/>
          <w:szCs w:val="20"/>
        </w:rPr>
      </w:pPr>
      <w:r w:rsidRPr="00E77A69">
        <w:rPr>
          <w:rFonts w:ascii="Arial" w:hAnsi="Arial" w:cs="Arial"/>
          <w:b/>
          <w:bCs/>
          <w:sz w:val="20"/>
          <w:szCs w:val="20"/>
        </w:rPr>
        <w:t>ESPACIO EN BLANCO</w:t>
      </w:r>
    </w:p>
    <w:p w14:paraId="13F66DC0" w14:textId="6FDD1C7D" w:rsidR="00E77A69" w:rsidRDefault="00E77A69" w:rsidP="002668FE">
      <w:pPr>
        <w:spacing w:after="0" w:line="240" w:lineRule="auto"/>
        <w:ind w:left="1134"/>
        <w:jc w:val="both"/>
        <w:rPr>
          <w:rFonts w:ascii="Arial" w:hAnsi="Arial" w:cs="Arial"/>
          <w:sz w:val="20"/>
          <w:szCs w:val="20"/>
        </w:rPr>
      </w:pPr>
    </w:p>
    <w:p w14:paraId="109ADB07" w14:textId="77777777" w:rsidR="00E77A69" w:rsidRPr="0074154F" w:rsidRDefault="00E77A69" w:rsidP="002668FE">
      <w:pPr>
        <w:spacing w:after="0" w:line="240" w:lineRule="auto"/>
        <w:ind w:left="1134"/>
        <w:jc w:val="both"/>
        <w:rPr>
          <w:rFonts w:ascii="Arial" w:hAnsi="Arial" w:cs="Arial"/>
          <w:sz w:val="20"/>
          <w:szCs w:val="20"/>
        </w:rPr>
      </w:pPr>
    </w:p>
    <w:p w14:paraId="6FF406FC" w14:textId="2F1DA358" w:rsidR="002668FE" w:rsidRPr="0074154F" w:rsidRDefault="002668FE" w:rsidP="0083020C">
      <w:pPr>
        <w:pStyle w:val="ListParagraph"/>
        <w:numPr>
          <w:ilvl w:val="1"/>
          <w:numId w:val="3"/>
        </w:numPr>
        <w:tabs>
          <w:tab w:val="left" w:pos="1276"/>
          <w:tab w:val="left" w:pos="6989"/>
        </w:tabs>
        <w:spacing w:after="0" w:line="240" w:lineRule="auto"/>
        <w:ind w:left="1134" w:hanging="567"/>
        <w:jc w:val="both"/>
        <w:rPr>
          <w:rFonts w:ascii="Arial" w:hAnsi="Arial" w:cs="Arial"/>
          <w:b/>
          <w:bCs/>
          <w:sz w:val="20"/>
          <w:u w:val="single"/>
        </w:rPr>
      </w:pPr>
      <w:r w:rsidRPr="0074154F">
        <w:rPr>
          <w:rFonts w:ascii="Arial" w:hAnsi="Arial" w:cs="Arial"/>
          <w:b/>
          <w:bCs/>
          <w:sz w:val="20"/>
          <w:u w:val="single"/>
        </w:rPr>
        <w:lastRenderedPageBreak/>
        <w:t>Normas revisadas emitidas, pero aún no efectivas</w:t>
      </w:r>
    </w:p>
    <w:p w14:paraId="7FBCE874" w14:textId="77777777" w:rsidR="002668FE" w:rsidRPr="0074154F" w:rsidRDefault="002668FE" w:rsidP="002668FE">
      <w:pPr>
        <w:spacing w:after="0" w:line="240" w:lineRule="auto"/>
        <w:ind w:left="1134"/>
        <w:jc w:val="both"/>
        <w:rPr>
          <w:rFonts w:ascii="Arial" w:hAnsi="Arial" w:cs="Arial"/>
          <w:sz w:val="20"/>
          <w:szCs w:val="20"/>
        </w:rPr>
      </w:pPr>
    </w:p>
    <w:p w14:paraId="0D2EB489" w14:textId="67C02730" w:rsidR="002668FE" w:rsidRPr="0074154F" w:rsidRDefault="002668FE" w:rsidP="003B1562">
      <w:pPr>
        <w:spacing w:after="0" w:line="240" w:lineRule="auto"/>
        <w:ind w:left="1134"/>
        <w:jc w:val="both"/>
        <w:rPr>
          <w:rFonts w:ascii="Arial" w:hAnsi="Arial" w:cs="Arial"/>
          <w:sz w:val="20"/>
          <w:szCs w:val="20"/>
        </w:rPr>
      </w:pPr>
      <w:r w:rsidRPr="0074154F">
        <w:rPr>
          <w:rFonts w:ascii="Arial" w:hAnsi="Arial" w:cs="Arial"/>
          <w:sz w:val="20"/>
          <w:szCs w:val="20"/>
        </w:rPr>
        <w:t>A la fecha de aprobación de los estados financieros</w:t>
      </w:r>
      <w:r w:rsidR="00F94C27" w:rsidRPr="0074154F">
        <w:rPr>
          <w:rFonts w:ascii="Arial" w:hAnsi="Arial" w:cs="Arial"/>
          <w:sz w:val="20"/>
          <w:szCs w:val="20"/>
        </w:rPr>
        <w:t xml:space="preserve"> </w:t>
      </w:r>
      <w:r w:rsidR="00EB377A" w:rsidRPr="0074154F">
        <w:rPr>
          <w:rFonts w:ascii="Arial" w:hAnsi="Arial" w:cs="Arial"/>
          <w:sz w:val="20"/>
          <w:szCs w:val="20"/>
        </w:rPr>
        <w:t>consolidados</w:t>
      </w:r>
      <w:r w:rsidRPr="0074154F">
        <w:rPr>
          <w:rFonts w:ascii="Arial" w:hAnsi="Arial" w:cs="Arial"/>
          <w:sz w:val="20"/>
          <w:szCs w:val="20"/>
        </w:rPr>
        <w:t xml:space="preserve">, </w:t>
      </w:r>
      <w:r w:rsidR="007A4FBD">
        <w:rPr>
          <w:rFonts w:ascii="Arial" w:hAnsi="Arial" w:cs="Arial"/>
          <w:sz w:val="20"/>
          <w:szCs w:val="20"/>
        </w:rPr>
        <w:t>la Compañía y su relacionada</w:t>
      </w:r>
      <w:r w:rsidRPr="0074154F">
        <w:rPr>
          <w:rFonts w:ascii="Arial" w:hAnsi="Arial" w:cs="Arial"/>
          <w:sz w:val="20"/>
          <w:szCs w:val="20"/>
        </w:rPr>
        <w:t xml:space="preserve"> no ha realizado la aplicación de las siguientes Normas Internacional de Información Financiera (NIIF) revisadas que han sido emitidas, en razón que aún no son efectivas: </w:t>
      </w:r>
    </w:p>
    <w:p w14:paraId="53D0B220" w14:textId="77777777" w:rsidR="002668FE" w:rsidRPr="0074154F" w:rsidRDefault="002668FE" w:rsidP="002668FE">
      <w:pPr>
        <w:tabs>
          <w:tab w:val="left" w:pos="1080"/>
        </w:tabs>
        <w:spacing w:after="0"/>
        <w:ind w:left="4536"/>
        <w:jc w:val="both"/>
        <w:rPr>
          <w:rFonts w:ascii="Arial" w:hAnsi="Arial" w:cs="Arial"/>
          <w:sz w:val="20"/>
          <w:szCs w:val="20"/>
        </w:rPr>
      </w:pPr>
    </w:p>
    <w:tbl>
      <w:tblPr>
        <w:tblW w:w="7992" w:type="dxa"/>
        <w:tblInd w:w="1080" w:type="dxa"/>
        <w:tblLayout w:type="fixed"/>
        <w:tblCellMar>
          <w:left w:w="0" w:type="dxa"/>
          <w:right w:w="0" w:type="dxa"/>
        </w:tblCellMar>
        <w:tblLook w:val="04A0" w:firstRow="1" w:lastRow="0" w:firstColumn="1" w:lastColumn="0" w:noHBand="0" w:noVBand="1"/>
      </w:tblPr>
      <w:tblGrid>
        <w:gridCol w:w="2606"/>
        <w:gridCol w:w="5386"/>
      </w:tblGrid>
      <w:tr w:rsidR="002668FE" w:rsidRPr="0074154F" w14:paraId="69B582ED" w14:textId="77777777" w:rsidTr="00E16184">
        <w:tc>
          <w:tcPr>
            <w:tcW w:w="2606" w:type="dxa"/>
          </w:tcPr>
          <w:p w14:paraId="084E64F9" w14:textId="77777777" w:rsidR="002668FE" w:rsidRPr="0074154F" w:rsidRDefault="002668FE" w:rsidP="0078641D">
            <w:pPr>
              <w:pStyle w:val="Bodycopy"/>
              <w:tabs>
                <w:tab w:val="left" w:pos="288"/>
              </w:tabs>
              <w:spacing w:before="0" w:line="240" w:lineRule="auto"/>
              <w:ind w:left="54"/>
              <w:jc w:val="both"/>
              <w:rPr>
                <w:b/>
                <w:bCs/>
                <w:iCs/>
                <w:sz w:val="20"/>
                <w:szCs w:val="20"/>
                <w:u w:val="single"/>
                <w:lang w:val="es-EC"/>
              </w:rPr>
            </w:pPr>
            <w:r w:rsidRPr="0074154F">
              <w:rPr>
                <w:b/>
                <w:bCs/>
                <w:iCs/>
                <w:sz w:val="20"/>
                <w:szCs w:val="20"/>
                <w:u w:val="single"/>
                <w:lang w:val="es-EC"/>
              </w:rPr>
              <w:t>NIIF</w:t>
            </w:r>
          </w:p>
        </w:tc>
        <w:tc>
          <w:tcPr>
            <w:tcW w:w="5386" w:type="dxa"/>
          </w:tcPr>
          <w:p w14:paraId="428454C9" w14:textId="77777777" w:rsidR="002668FE" w:rsidRPr="0074154F" w:rsidRDefault="002668FE" w:rsidP="0078641D">
            <w:pPr>
              <w:pStyle w:val="Bodycopy"/>
              <w:tabs>
                <w:tab w:val="left" w:pos="288"/>
              </w:tabs>
              <w:spacing w:before="0" w:line="240" w:lineRule="auto"/>
              <w:jc w:val="both"/>
              <w:rPr>
                <w:b/>
                <w:bCs/>
                <w:iCs/>
                <w:sz w:val="20"/>
                <w:szCs w:val="20"/>
                <w:u w:val="single"/>
                <w:lang w:val="es-EC"/>
              </w:rPr>
            </w:pPr>
            <w:r w:rsidRPr="0074154F">
              <w:rPr>
                <w:b/>
                <w:bCs/>
                <w:iCs/>
                <w:sz w:val="20"/>
                <w:szCs w:val="20"/>
                <w:u w:val="single"/>
                <w:lang w:val="es-EC"/>
              </w:rPr>
              <w:t>Título</w:t>
            </w:r>
          </w:p>
        </w:tc>
      </w:tr>
      <w:tr w:rsidR="002668FE" w:rsidRPr="0074154F" w14:paraId="74BDEC78" w14:textId="77777777" w:rsidTr="00E16184">
        <w:tc>
          <w:tcPr>
            <w:tcW w:w="2606" w:type="dxa"/>
          </w:tcPr>
          <w:p w14:paraId="736CAB1E" w14:textId="77777777" w:rsidR="002668FE" w:rsidRPr="0074154F" w:rsidRDefault="002668FE" w:rsidP="0078641D">
            <w:pPr>
              <w:pStyle w:val="Bodycopy"/>
              <w:tabs>
                <w:tab w:val="left" w:pos="288"/>
              </w:tabs>
              <w:spacing w:before="0" w:line="240" w:lineRule="auto"/>
              <w:ind w:left="54"/>
              <w:jc w:val="both"/>
              <w:rPr>
                <w:iCs/>
                <w:sz w:val="20"/>
                <w:szCs w:val="20"/>
                <w:lang w:val="es-EC"/>
              </w:rPr>
            </w:pPr>
          </w:p>
        </w:tc>
        <w:tc>
          <w:tcPr>
            <w:tcW w:w="5386" w:type="dxa"/>
          </w:tcPr>
          <w:p w14:paraId="2AED82C1" w14:textId="77777777" w:rsidR="002668FE" w:rsidRPr="0074154F" w:rsidRDefault="002668FE" w:rsidP="0078641D">
            <w:pPr>
              <w:pStyle w:val="Bodycopy"/>
              <w:tabs>
                <w:tab w:val="left" w:pos="288"/>
              </w:tabs>
              <w:spacing w:before="0" w:line="240" w:lineRule="auto"/>
              <w:jc w:val="both"/>
              <w:rPr>
                <w:iCs/>
                <w:sz w:val="20"/>
                <w:szCs w:val="20"/>
                <w:lang w:val="es-EC"/>
              </w:rPr>
            </w:pPr>
          </w:p>
        </w:tc>
      </w:tr>
      <w:tr w:rsidR="002668FE" w:rsidRPr="0074154F" w14:paraId="1A7A2664" w14:textId="77777777" w:rsidTr="00E16184">
        <w:tc>
          <w:tcPr>
            <w:tcW w:w="2606" w:type="dxa"/>
          </w:tcPr>
          <w:p w14:paraId="3525A6F0" w14:textId="39B2E23D" w:rsidR="002668FE" w:rsidRPr="0074154F" w:rsidRDefault="00205E8C" w:rsidP="0078641D">
            <w:pPr>
              <w:pStyle w:val="Bodycopy"/>
              <w:tabs>
                <w:tab w:val="left" w:pos="288"/>
              </w:tabs>
              <w:spacing w:before="0" w:line="240" w:lineRule="auto"/>
              <w:ind w:left="54"/>
              <w:jc w:val="both"/>
              <w:rPr>
                <w:sz w:val="20"/>
                <w:szCs w:val="20"/>
                <w:lang w:val="es-EC"/>
              </w:rPr>
            </w:pPr>
            <w:proofErr w:type="spellStart"/>
            <w:r w:rsidRPr="0074154F">
              <w:rPr>
                <w:sz w:val="20"/>
                <w:szCs w:val="20"/>
              </w:rPr>
              <w:t>Modificaciones</w:t>
            </w:r>
            <w:proofErr w:type="spellEnd"/>
            <w:r w:rsidRPr="0074154F">
              <w:rPr>
                <w:sz w:val="20"/>
                <w:szCs w:val="20"/>
              </w:rPr>
              <w:t xml:space="preserve"> </w:t>
            </w:r>
            <w:r w:rsidR="002668FE" w:rsidRPr="0074154F">
              <w:rPr>
                <w:sz w:val="20"/>
                <w:szCs w:val="20"/>
              </w:rPr>
              <w:t>a NIC 1</w:t>
            </w:r>
          </w:p>
        </w:tc>
        <w:tc>
          <w:tcPr>
            <w:tcW w:w="5386" w:type="dxa"/>
          </w:tcPr>
          <w:p w14:paraId="00821C09" w14:textId="77777777" w:rsidR="002668FE" w:rsidRPr="0074154F" w:rsidRDefault="002668FE" w:rsidP="0078641D">
            <w:pPr>
              <w:pStyle w:val="Bodycopy"/>
              <w:tabs>
                <w:tab w:val="left" w:pos="288"/>
              </w:tabs>
              <w:spacing w:before="0" w:line="240" w:lineRule="auto"/>
              <w:jc w:val="both"/>
              <w:rPr>
                <w:sz w:val="20"/>
                <w:szCs w:val="20"/>
                <w:lang w:val="es-EC"/>
              </w:rPr>
            </w:pPr>
            <w:r w:rsidRPr="0074154F">
              <w:rPr>
                <w:sz w:val="20"/>
                <w:szCs w:val="20"/>
                <w:lang w:val="es-EC"/>
              </w:rPr>
              <w:t>Clasificación de los pasivos como corrientes o no corrientes.</w:t>
            </w:r>
          </w:p>
        </w:tc>
      </w:tr>
      <w:tr w:rsidR="00205E8C" w:rsidRPr="0074154F" w14:paraId="65A16A18" w14:textId="77777777" w:rsidTr="00E16184">
        <w:tc>
          <w:tcPr>
            <w:tcW w:w="2606" w:type="dxa"/>
            <w:shd w:val="clear" w:color="auto" w:fill="auto"/>
          </w:tcPr>
          <w:p w14:paraId="60E57E71" w14:textId="77777777" w:rsidR="00205E8C" w:rsidRPr="0074154F" w:rsidRDefault="00205E8C" w:rsidP="0078641D">
            <w:pPr>
              <w:pStyle w:val="Bodycopy"/>
              <w:tabs>
                <w:tab w:val="left" w:pos="288"/>
              </w:tabs>
              <w:spacing w:before="0" w:line="240" w:lineRule="auto"/>
              <w:ind w:left="54"/>
              <w:jc w:val="both"/>
              <w:rPr>
                <w:sz w:val="20"/>
                <w:szCs w:val="20"/>
                <w:lang w:val="es-MX"/>
              </w:rPr>
            </w:pPr>
          </w:p>
        </w:tc>
        <w:tc>
          <w:tcPr>
            <w:tcW w:w="5386" w:type="dxa"/>
            <w:shd w:val="clear" w:color="auto" w:fill="auto"/>
          </w:tcPr>
          <w:p w14:paraId="5F3093C2" w14:textId="77777777" w:rsidR="00205E8C" w:rsidRPr="0074154F" w:rsidRDefault="00205E8C" w:rsidP="0078641D">
            <w:pPr>
              <w:pStyle w:val="Bodycopy"/>
              <w:tabs>
                <w:tab w:val="left" w:pos="288"/>
              </w:tabs>
              <w:spacing w:before="0" w:line="240" w:lineRule="auto"/>
              <w:jc w:val="both"/>
              <w:rPr>
                <w:sz w:val="20"/>
                <w:szCs w:val="20"/>
                <w:lang w:val="es-EC"/>
              </w:rPr>
            </w:pPr>
          </w:p>
        </w:tc>
      </w:tr>
      <w:tr w:rsidR="002668FE" w:rsidRPr="0074154F" w14:paraId="6A0309C3" w14:textId="77777777" w:rsidTr="00E16184">
        <w:tc>
          <w:tcPr>
            <w:tcW w:w="2606" w:type="dxa"/>
            <w:shd w:val="clear" w:color="auto" w:fill="auto"/>
          </w:tcPr>
          <w:p w14:paraId="5B1F88BE" w14:textId="77777777" w:rsidR="002668FE" w:rsidRPr="0074154F" w:rsidRDefault="002668FE" w:rsidP="0078641D">
            <w:pPr>
              <w:pStyle w:val="Bodycopy"/>
              <w:tabs>
                <w:tab w:val="left" w:pos="288"/>
              </w:tabs>
              <w:spacing w:before="0" w:line="240" w:lineRule="auto"/>
              <w:ind w:left="54"/>
              <w:jc w:val="both"/>
              <w:rPr>
                <w:sz w:val="20"/>
                <w:szCs w:val="20"/>
              </w:rPr>
            </w:pPr>
            <w:r w:rsidRPr="0074154F">
              <w:rPr>
                <w:sz w:val="20"/>
                <w:szCs w:val="20"/>
                <w:lang w:val="es-MX"/>
              </w:rPr>
              <w:t>Modificaciones a NIC 16</w:t>
            </w:r>
          </w:p>
        </w:tc>
        <w:tc>
          <w:tcPr>
            <w:tcW w:w="5386" w:type="dxa"/>
            <w:shd w:val="clear" w:color="auto" w:fill="auto"/>
          </w:tcPr>
          <w:p w14:paraId="63CDD220" w14:textId="548D2037" w:rsidR="002668FE" w:rsidRPr="0074154F" w:rsidRDefault="002668FE" w:rsidP="0078641D">
            <w:pPr>
              <w:pStyle w:val="Bodycopy"/>
              <w:tabs>
                <w:tab w:val="left" w:pos="288"/>
              </w:tabs>
              <w:spacing w:before="0" w:line="240" w:lineRule="auto"/>
              <w:jc w:val="both"/>
              <w:rPr>
                <w:sz w:val="20"/>
                <w:szCs w:val="20"/>
                <w:lang w:val="es-EC"/>
              </w:rPr>
            </w:pPr>
            <w:r w:rsidRPr="0074154F">
              <w:rPr>
                <w:sz w:val="20"/>
                <w:szCs w:val="20"/>
                <w:lang w:val="es-EC"/>
              </w:rPr>
              <w:t xml:space="preserve">Propiedad, </w:t>
            </w:r>
            <w:r w:rsidR="00205E8C" w:rsidRPr="0074154F">
              <w:rPr>
                <w:sz w:val="20"/>
                <w:szCs w:val="20"/>
                <w:lang w:val="es-EC"/>
              </w:rPr>
              <w:t>p</w:t>
            </w:r>
            <w:r w:rsidRPr="0074154F">
              <w:rPr>
                <w:sz w:val="20"/>
                <w:szCs w:val="20"/>
                <w:lang w:val="es-EC"/>
              </w:rPr>
              <w:t xml:space="preserve">lanta y </w:t>
            </w:r>
            <w:r w:rsidR="00205E8C" w:rsidRPr="0074154F">
              <w:rPr>
                <w:sz w:val="20"/>
                <w:szCs w:val="20"/>
                <w:lang w:val="es-EC"/>
              </w:rPr>
              <w:t>e</w:t>
            </w:r>
            <w:r w:rsidRPr="0074154F">
              <w:rPr>
                <w:sz w:val="20"/>
                <w:szCs w:val="20"/>
                <w:lang w:val="es-EC"/>
              </w:rPr>
              <w:t>quipo - antes de ser utilizados</w:t>
            </w:r>
            <w:r w:rsidR="00A82968" w:rsidRPr="0074154F">
              <w:rPr>
                <w:sz w:val="20"/>
                <w:szCs w:val="20"/>
                <w:lang w:val="es-EC"/>
              </w:rPr>
              <w:t>.</w:t>
            </w:r>
          </w:p>
        </w:tc>
      </w:tr>
    </w:tbl>
    <w:p w14:paraId="119A6C83" w14:textId="77777777" w:rsidR="002668FE" w:rsidRPr="0074154F" w:rsidRDefault="002668FE" w:rsidP="002668FE">
      <w:pPr>
        <w:autoSpaceDE w:val="0"/>
        <w:autoSpaceDN w:val="0"/>
        <w:spacing w:after="0"/>
        <w:ind w:left="1134"/>
        <w:jc w:val="both"/>
        <w:rPr>
          <w:rStyle w:val="hps"/>
          <w:rFonts w:ascii="Arial" w:hAnsi="Arial" w:cs="Arial"/>
          <w:b/>
          <w:sz w:val="20"/>
          <w:lang w:val="es-ES"/>
        </w:rPr>
      </w:pPr>
    </w:p>
    <w:p w14:paraId="6C419BEE" w14:textId="7EEEA99D" w:rsidR="002668FE" w:rsidRPr="0074154F" w:rsidRDefault="002668FE" w:rsidP="002668FE">
      <w:pPr>
        <w:autoSpaceDE w:val="0"/>
        <w:autoSpaceDN w:val="0"/>
        <w:spacing w:after="0" w:line="240" w:lineRule="auto"/>
        <w:ind w:left="1134"/>
        <w:jc w:val="both"/>
        <w:rPr>
          <w:rStyle w:val="hps"/>
          <w:rFonts w:ascii="Arial" w:hAnsi="Arial" w:cs="Arial"/>
          <w:bCs/>
          <w:sz w:val="20"/>
          <w:lang w:val="es-ES"/>
        </w:rPr>
      </w:pPr>
      <w:r w:rsidRPr="0074154F">
        <w:rPr>
          <w:rStyle w:val="hps"/>
          <w:rFonts w:ascii="Arial" w:hAnsi="Arial" w:cs="Arial"/>
          <w:bCs/>
          <w:sz w:val="20"/>
          <w:lang w:val="es-ES"/>
        </w:rPr>
        <w:t>La Administración de</w:t>
      </w:r>
      <w:r w:rsidR="006F3FCA">
        <w:rPr>
          <w:rStyle w:val="hps"/>
          <w:rFonts w:ascii="Arial" w:hAnsi="Arial" w:cs="Arial"/>
          <w:bCs/>
          <w:sz w:val="20"/>
          <w:lang w:val="es-ES"/>
        </w:rPr>
        <w:t xml:space="preserve"> la Compañía y su relacionada</w:t>
      </w:r>
      <w:r w:rsidRPr="0074154F">
        <w:rPr>
          <w:rStyle w:val="hps"/>
          <w:rFonts w:ascii="Arial" w:hAnsi="Arial" w:cs="Arial"/>
          <w:bCs/>
          <w:sz w:val="20"/>
          <w:lang w:val="es-ES"/>
        </w:rPr>
        <w:t xml:space="preserve"> no espera que la adopción de los estándares antes mencionados tenga un impacto material en los estados financieros</w:t>
      </w:r>
      <w:r w:rsidR="00205E8C" w:rsidRPr="0074154F">
        <w:rPr>
          <w:rStyle w:val="hps"/>
          <w:rFonts w:ascii="Arial" w:hAnsi="Arial" w:cs="Arial"/>
          <w:bCs/>
          <w:sz w:val="20"/>
          <w:lang w:val="es-ES"/>
        </w:rPr>
        <w:t xml:space="preserve"> </w:t>
      </w:r>
      <w:r w:rsidR="0065282D" w:rsidRPr="0074154F">
        <w:rPr>
          <w:rStyle w:val="hps"/>
          <w:rFonts w:ascii="Arial" w:hAnsi="Arial" w:cs="Arial"/>
          <w:bCs/>
          <w:sz w:val="20"/>
          <w:lang w:val="es-ES"/>
        </w:rPr>
        <w:t>consolidados</w:t>
      </w:r>
      <w:r w:rsidR="00F94C27" w:rsidRPr="0074154F">
        <w:rPr>
          <w:rStyle w:val="hps"/>
          <w:rFonts w:ascii="Arial" w:hAnsi="Arial" w:cs="Arial"/>
          <w:bCs/>
          <w:sz w:val="20"/>
          <w:lang w:val="es-ES"/>
        </w:rPr>
        <w:t xml:space="preserve"> </w:t>
      </w:r>
      <w:r w:rsidRPr="0074154F">
        <w:rPr>
          <w:rStyle w:val="hps"/>
          <w:rFonts w:ascii="Arial" w:hAnsi="Arial" w:cs="Arial"/>
          <w:bCs/>
          <w:sz w:val="20"/>
          <w:lang w:val="es-ES"/>
        </w:rPr>
        <w:t>adjunto</w:t>
      </w:r>
      <w:r w:rsidR="00205E8C" w:rsidRPr="0074154F">
        <w:rPr>
          <w:rStyle w:val="hps"/>
          <w:rFonts w:ascii="Arial" w:hAnsi="Arial" w:cs="Arial"/>
          <w:bCs/>
          <w:sz w:val="20"/>
          <w:lang w:val="es-ES"/>
        </w:rPr>
        <w:t>s</w:t>
      </w:r>
      <w:r w:rsidRPr="0074154F">
        <w:rPr>
          <w:rStyle w:val="hps"/>
          <w:rFonts w:ascii="Arial" w:hAnsi="Arial" w:cs="Arial"/>
          <w:bCs/>
          <w:sz w:val="20"/>
          <w:lang w:val="es-ES"/>
        </w:rPr>
        <w:t xml:space="preserve"> en períodos futuros.</w:t>
      </w:r>
    </w:p>
    <w:p w14:paraId="4192441A" w14:textId="77777777" w:rsidR="004D2C36" w:rsidRPr="0074154F" w:rsidRDefault="004D2C36" w:rsidP="002668FE">
      <w:pPr>
        <w:autoSpaceDE w:val="0"/>
        <w:autoSpaceDN w:val="0"/>
        <w:spacing w:after="0" w:line="240" w:lineRule="auto"/>
        <w:ind w:left="1134"/>
        <w:jc w:val="both"/>
        <w:rPr>
          <w:rStyle w:val="hps"/>
          <w:rFonts w:ascii="Arial" w:hAnsi="Arial" w:cs="Arial"/>
          <w:b/>
          <w:bCs/>
          <w:i/>
          <w:iCs/>
          <w:sz w:val="20"/>
          <w:lang w:val="es-ES"/>
        </w:rPr>
      </w:pPr>
    </w:p>
    <w:p w14:paraId="43F9FA71" w14:textId="7019A8CA" w:rsidR="002668FE" w:rsidRPr="0074154F" w:rsidRDefault="002668FE" w:rsidP="002668FE">
      <w:pPr>
        <w:autoSpaceDE w:val="0"/>
        <w:autoSpaceDN w:val="0"/>
        <w:spacing w:after="0" w:line="240" w:lineRule="auto"/>
        <w:ind w:left="1134"/>
        <w:jc w:val="both"/>
        <w:rPr>
          <w:rFonts w:ascii="Arial" w:hAnsi="Arial" w:cs="Arial"/>
          <w:b/>
          <w:bCs/>
          <w:i/>
          <w:iCs/>
          <w:color w:val="1F497D"/>
          <w:sz w:val="20"/>
          <w:szCs w:val="20"/>
        </w:rPr>
      </w:pPr>
      <w:r w:rsidRPr="0074154F">
        <w:rPr>
          <w:rStyle w:val="hps"/>
          <w:rFonts w:ascii="Arial" w:hAnsi="Arial" w:cs="Arial"/>
          <w:b/>
          <w:bCs/>
          <w:i/>
          <w:iCs/>
          <w:sz w:val="20"/>
          <w:lang w:val="es-ES"/>
        </w:rPr>
        <w:t xml:space="preserve">Modificaciones a NIC Clasificación de </w:t>
      </w:r>
      <w:r w:rsidR="00953AC0" w:rsidRPr="0074154F">
        <w:rPr>
          <w:rStyle w:val="hps"/>
          <w:rFonts w:ascii="Arial" w:hAnsi="Arial" w:cs="Arial"/>
          <w:b/>
          <w:bCs/>
          <w:i/>
          <w:iCs/>
          <w:sz w:val="20"/>
          <w:lang w:val="es-ES"/>
        </w:rPr>
        <w:t>p</w:t>
      </w:r>
      <w:r w:rsidRPr="0074154F">
        <w:rPr>
          <w:rStyle w:val="hps"/>
          <w:rFonts w:ascii="Arial" w:hAnsi="Arial" w:cs="Arial"/>
          <w:b/>
          <w:bCs/>
          <w:i/>
          <w:iCs/>
          <w:sz w:val="20"/>
          <w:lang w:val="es-ES"/>
        </w:rPr>
        <w:t xml:space="preserve">asivos como </w:t>
      </w:r>
      <w:r w:rsidR="00953AC0" w:rsidRPr="0074154F">
        <w:rPr>
          <w:rStyle w:val="hps"/>
          <w:rFonts w:ascii="Arial" w:hAnsi="Arial" w:cs="Arial"/>
          <w:b/>
          <w:bCs/>
          <w:i/>
          <w:iCs/>
          <w:sz w:val="20"/>
          <w:lang w:val="es-ES"/>
        </w:rPr>
        <w:t>c</w:t>
      </w:r>
      <w:r w:rsidRPr="0074154F">
        <w:rPr>
          <w:rStyle w:val="hps"/>
          <w:rFonts w:ascii="Arial" w:hAnsi="Arial" w:cs="Arial"/>
          <w:b/>
          <w:bCs/>
          <w:i/>
          <w:iCs/>
          <w:sz w:val="20"/>
          <w:lang w:val="es-ES"/>
        </w:rPr>
        <w:t xml:space="preserve">irculante y </w:t>
      </w:r>
      <w:r w:rsidR="00953AC0" w:rsidRPr="0074154F">
        <w:rPr>
          <w:rStyle w:val="hps"/>
          <w:rFonts w:ascii="Arial" w:hAnsi="Arial" w:cs="Arial"/>
          <w:b/>
          <w:bCs/>
          <w:i/>
          <w:iCs/>
          <w:sz w:val="20"/>
          <w:lang w:val="es-ES"/>
        </w:rPr>
        <w:t>n</w:t>
      </w:r>
      <w:r w:rsidRPr="0074154F">
        <w:rPr>
          <w:rStyle w:val="hps"/>
          <w:rFonts w:ascii="Arial" w:hAnsi="Arial" w:cs="Arial"/>
          <w:b/>
          <w:bCs/>
          <w:i/>
          <w:iCs/>
          <w:sz w:val="20"/>
          <w:lang w:val="es-ES"/>
        </w:rPr>
        <w:t>o circulante</w:t>
      </w:r>
    </w:p>
    <w:p w14:paraId="6809A634" w14:textId="77777777" w:rsidR="002668FE" w:rsidRPr="0074154F" w:rsidRDefault="002668FE" w:rsidP="002668FE">
      <w:pPr>
        <w:widowControl w:val="0"/>
        <w:spacing w:after="0" w:line="240" w:lineRule="auto"/>
        <w:ind w:left="1134"/>
        <w:jc w:val="both"/>
        <w:rPr>
          <w:rFonts w:ascii="Arial" w:eastAsia="PMingLiU" w:hAnsi="Arial" w:cs="Arial"/>
          <w:sz w:val="20"/>
          <w:szCs w:val="20"/>
        </w:rPr>
      </w:pPr>
    </w:p>
    <w:p w14:paraId="2B4EB0AC" w14:textId="053AE4B6" w:rsidR="002668FE" w:rsidRPr="0074154F" w:rsidRDefault="002668FE" w:rsidP="00531E7A">
      <w:pPr>
        <w:widowControl w:val="0"/>
        <w:spacing w:after="0" w:line="240" w:lineRule="auto"/>
        <w:ind w:left="1134"/>
        <w:jc w:val="both"/>
        <w:rPr>
          <w:rFonts w:ascii="Arial" w:eastAsia="PMingLiU" w:hAnsi="Arial" w:cs="Arial"/>
          <w:sz w:val="20"/>
          <w:szCs w:val="20"/>
          <w:lang w:val="es-MX"/>
        </w:rPr>
      </w:pPr>
      <w:r w:rsidRPr="0074154F">
        <w:rPr>
          <w:rFonts w:ascii="Arial" w:eastAsia="PMingLiU" w:hAnsi="Arial" w:cs="Arial"/>
          <w:sz w:val="20"/>
          <w:szCs w:val="20"/>
          <w:lang w:val="es-MX"/>
        </w:rPr>
        <w:t>Las modificaciones a NIC 1 afectan solo a la presentación de los pasivos como circulantes y no circulantes en el estado de situación financiera y no por el monto o tiempo en el cual se reconoce cualquier activo, pasivo, ingreso o gasto, o la información revelada acerca de esas partidas.</w:t>
      </w:r>
      <w:r w:rsidR="00531E7A" w:rsidRPr="0074154F">
        <w:rPr>
          <w:rFonts w:ascii="Arial" w:eastAsia="PMingLiU" w:hAnsi="Arial" w:cs="Arial"/>
          <w:sz w:val="20"/>
          <w:szCs w:val="20"/>
          <w:lang w:val="es-MX"/>
        </w:rPr>
        <w:t xml:space="preserve"> </w:t>
      </w:r>
      <w:r w:rsidRPr="0074154F">
        <w:rPr>
          <w:rFonts w:ascii="Arial" w:eastAsia="PMingLiU" w:hAnsi="Arial" w:cs="Arial"/>
          <w:sz w:val="20"/>
          <w:szCs w:val="20"/>
          <w:lang w:val="es-MX"/>
        </w:rPr>
        <w:t xml:space="preserve">Las modificaciones aclaran que la clasificación de los pasivos como circulantes y no circulantes se basa en los derechos de la existencia al final del periodo de reporte, especifica que la clasificación no se ve afectada por las expectativas acerca que </w:t>
      </w:r>
      <w:r w:rsidR="00EB377A" w:rsidRPr="0074154F">
        <w:rPr>
          <w:rFonts w:ascii="Arial" w:eastAsia="PMingLiU" w:hAnsi="Arial" w:cs="Arial"/>
          <w:sz w:val="20"/>
          <w:szCs w:val="20"/>
          <w:lang w:val="es-MX"/>
        </w:rPr>
        <w:t>el Grupo</w:t>
      </w:r>
      <w:r w:rsidRPr="0074154F">
        <w:rPr>
          <w:rFonts w:ascii="Arial" w:eastAsia="PMingLiU" w:hAnsi="Arial" w:cs="Arial"/>
          <w:sz w:val="20"/>
          <w:szCs w:val="20"/>
          <w:lang w:val="es-MX"/>
        </w:rPr>
        <w:t xml:space="preserve"> va a ejercer el derecho de aplazar la cancelación del pasivo, explicar que existen derechos si hay convenios que se deban cumplir al final del periodo de reporte, e introducir una definición del ‘acuerdo’ para dejar en claro que el acuerdo se refiere a la transferencia de efectivo de la contraparte, instrumentos de capital, otros activos o servicios.</w:t>
      </w:r>
    </w:p>
    <w:p w14:paraId="0BC4054A" w14:textId="77777777" w:rsidR="0088716D" w:rsidRPr="0074154F" w:rsidRDefault="0088716D" w:rsidP="00531E7A">
      <w:pPr>
        <w:widowControl w:val="0"/>
        <w:spacing w:after="0" w:line="240" w:lineRule="auto"/>
        <w:ind w:left="1134"/>
        <w:jc w:val="both"/>
        <w:rPr>
          <w:rFonts w:ascii="Arial" w:eastAsia="PMingLiU" w:hAnsi="Arial" w:cs="Arial"/>
          <w:sz w:val="20"/>
          <w:szCs w:val="20"/>
          <w:lang w:val="es-MX"/>
        </w:rPr>
      </w:pPr>
    </w:p>
    <w:p w14:paraId="1B4940F5" w14:textId="78B80F36" w:rsidR="002668FE" w:rsidRPr="0074154F" w:rsidRDefault="002668FE" w:rsidP="002668FE">
      <w:pPr>
        <w:widowControl w:val="0"/>
        <w:spacing w:after="0" w:line="240" w:lineRule="auto"/>
        <w:ind w:left="1134"/>
        <w:jc w:val="both"/>
        <w:rPr>
          <w:rFonts w:ascii="Arial" w:eastAsia="PMingLiU" w:hAnsi="Arial" w:cs="Arial"/>
          <w:sz w:val="20"/>
          <w:szCs w:val="20"/>
          <w:lang w:val="es-MX"/>
        </w:rPr>
      </w:pPr>
      <w:r w:rsidRPr="0074154F">
        <w:rPr>
          <w:rFonts w:ascii="Arial" w:eastAsia="PMingLiU" w:hAnsi="Arial" w:cs="Arial"/>
          <w:sz w:val="20"/>
          <w:szCs w:val="20"/>
          <w:lang w:val="es-MX"/>
        </w:rPr>
        <w:t>Las modificaciones son aplicadas retrospectivamente para periodos anuales que inician en o después del 1 de enero de</w:t>
      </w:r>
      <w:r w:rsidR="00205E8C" w:rsidRPr="0074154F">
        <w:rPr>
          <w:rFonts w:ascii="Arial" w:eastAsia="PMingLiU" w:hAnsi="Arial" w:cs="Arial"/>
          <w:sz w:val="20"/>
          <w:szCs w:val="20"/>
          <w:lang w:val="es-MX"/>
        </w:rPr>
        <w:t>l</w:t>
      </w:r>
      <w:r w:rsidRPr="0074154F">
        <w:rPr>
          <w:rFonts w:ascii="Arial" w:eastAsia="PMingLiU" w:hAnsi="Arial" w:cs="Arial"/>
          <w:sz w:val="20"/>
          <w:szCs w:val="20"/>
          <w:lang w:val="es-MX"/>
        </w:rPr>
        <w:t xml:space="preserve"> 2023, con la aplicación anticipada permitida.</w:t>
      </w:r>
    </w:p>
    <w:p w14:paraId="644DBFD5" w14:textId="1DF581F0" w:rsidR="002668FE" w:rsidRPr="0074154F" w:rsidRDefault="002668FE" w:rsidP="002668FE">
      <w:pPr>
        <w:widowControl w:val="0"/>
        <w:spacing w:after="0" w:line="240" w:lineRule="auto"/>
        <w:ind w:left="1134"/>
        <w:jc w:val="both"/>
        <w:rPr>
          <w:rFonts w:ascii="Arial" w:eastAsia="PMingLiU" w:hAnsi="Arial" w:cs="Arial"/>
          <w:sz w:val="20"/>
          <w:szCs w:val="20"/>
          <w:lang w:val="es-MX"/>
        </w:rPr>
      </w:pPr>
    </w:p>
    <w:p w14:paraId="5280531C" w14:textId="4309D81A" w:rsidR="00000ED8" w:rsidRPr="0074154F" w:rsidRDefault="00000ED8" w:rsidP="00000ED8">
      <w:pPr>
        <w:spacing w:after="0" w:line="240" w:lineRule="auto"/>
        <w:ind w:left="1134"/>
        <w:jc w:val="both"/>
        <w:rPr>
          <w:rFonts w:ascii="Arial" w:hAnsi="Arial" w:cs="Arial"/>
          <w:sz w:val="20"/>
          <w:szCs w:val="20"/>
          <w:lang w:val="es-MX"/>
        </w:rPr>
      </w:pPr>
      <w:r w:rsidRPr="0074154F">
        <w:rPr>
          <w:rFonts w:ascii="Arial" w:hAnsi="Arial" w:cs="Arial"/>
          <w:sz w:val="20"/>
          <w:szCs w:val="20"/>
          <w:lang w:val="es-MX"/>
        </w:rPr>
        <w:t xml:space="preserve">Si no se presenta por separado en el estado de resultados integrales, los estados financieros </w:t>
      </w:r>
      <w:r w:rsidR="00EB377A" w:rsidRPr="0074154F">
        <w:rPr>
          <w:rFonts w:ascii="Arial" w:hAnsi="Arial" w:cs="Arial"/>
          <w:sz w:val="20"/>
          <w:szCs w:val="20"/>
          <w:lang w:val="es-MX"/>
        </w:rPr>
        <w:t>consolidados</w:t>
      </w:r>
      <w:r w:rsidR="00477714" w:rsidRPr="0074154F">
        <w:rPr>
          <w:rFonts w:ascii="Arial" w:hAnsi="Arial" w:cs="Arial"/>
          <w:sz w:val="20"/>
          <w:szCs w:val="20"/>
          <w:lang w:val="es-MX"/>
        </w:rPr>
        <w:t xml:space="preserve"> </w:t>
      </w:r>
      <w:r w:rsidRPr="0074154F">
        <w:rPr>
          <w:rFonts w:ascii="Arial" w:hAnsi="Arial" w:cs="Arial"/>
          <w:sz w:val="20"/>
          <w:szCs w:val="20"/>
          <w:lang w:val="es-MX"/>
        </w:rPr>
        <w:t>deberán revelar las cantidades de ingresos y costos en resultados relacionados a partidas que no son una salida por las actividades ordinarias NIC de</w:t>
      </w:r>
      <w:r w:rsidR="00BF44D9">
        <w:rPr>
          <w:rFonts w:ascii="Arial" w:hAnsi="Arial" w:cs="Arial"/>
          <w:sz w:val="20"/>
          <w:szCs w:val="20"/>
          <w:lang w:val="es-MX"/>
        </w:rPr>
        <w:t xml:space="preserve"> la Compañía y su relacionada</w:t>
      </w:r>
      <w:r w:rsidRPr="0074154F">
        <w:rPr>
          <w:rFonts w:ascii="Arial" w:hAnsi="Arial" w:cs="Arial"/>
          <w:sz w:val="20"/>
          <w:szCs w:val="20"/>
          <w:lang w:val="es-MX"/>
        </w:rPr>
        <w:t xml:space="preserve">, en la línea de partida(s) en el estado de resultados integrales donde se incluyan los ingresos y costos. Las modificaciones son aplicadas retrospectivamente, pero solo a las partidas de propiedad, planta y equipo que son traídas a la ubicación y condiciones necesarias NIC para que sean capaces de operarse como la Administración lo tiene planeado en o después del inicio del periodo en el cual se presentan los estados financieros </w:t>
      </w:r>
      <w:r w:rsidR="00EB377A" w:rsidRPr="0074154F">
        <w:rPr>
          <w:rFonts w:ascii="Arial" w:hAnsi="Arial" w:cs="Arial"/>
          <w:sz w:val="20"/>
          <w:szCs w:val="20"/>
          <w:lang w:val="es-MX"/>
        </w:rPr>
        <w:t>consolidados</w:t>
      </w:r>
      <w:r w:rsidR="00477714" w:rsidRPr="0074154F">
        <w:rPr>
          <w:rFonts w:ascii="Arial" w:hAnsi="Arial" w:cs="Arial"/>
          <w:sz w:val="20"/>
          <w:szCs w:val="20"/>
          <w:lang w:val="es-MX"/>
        </w:rPr>
        <w:t xml:space="preserve"> </w:t>
      </w:r>
      <w:r w:rsidRPr="0074154F">
        <w:rPr>
          <w:rFonts w:ascii="Arial" w:hAnsi="Arial" w:cs="Arial"/>
          <w:sz w:val="20"/>
          <w:szCs w:val="20"/>
          <w:lang w:val="es-MX"/>
        </w:rPr>
        <w:t>de</w:t>
      </w:r>
      <w:r w:rsidR="00BF44D9">
        <w:rPr>
          <w:rFonts w:ascii="Arial" w:hAnsi="Arial" w:cs="Arial"/>
          <w:sz w:val="20"/>
          <w:szCs w:val="20"/>
          <w:lang w:val="es-MX"/>
        </w:rPr>
        <w:t xml:space="preserve"> la Compañía y su relacionada</w:t>
      </w:r>
      <w:r w:rsidRPr="0074154F">
        <w:rPr>
          <w:rFonts w:ascii="Arial" w:hAnsi="Arial" w:cs="Arial"/>
          <w:sz w:val="20"/>
          <w:szCs w:val="20"/>
          <w:lang w:val="es-MX"/>
        </w:rPr>
        <w:t xml:space="preserve"> en los cuales aplique por primera vez las modificaciones. </w:t>
      </w:r>
    </w:p>
    <w:p w14:paraId="2001339D" w14:textId="77777777" w:rsidR="00000ED8" w:rsidRPr="0074154F" w:rsidRDefault="00000ED8" w:rsidP="00000ED8">
      <w:pPr>
        <w:spacing w:after="0" w:line="240" w:lineRule="auto"/>
        <w:ind w:left="709"/>
        <w:jc w:val="both"/>
        <w:rPr>
          <w:rFonts w:ascii="Arial" w:hAnsi="Arial" w:cs="Arial"/>
          <w:sz w:val="20"/>
          <w:szCs w:val="20"/>
          <w:lang w:val="es-MX"/>
        </w:rPr>
      </w:pPr>
    </w:p>
    <w:p w14:paraId="7A671BA6" w14:textId="3D3DF03E" w:rsidR="00000ED8" w:rsidRPr="0074154F" w:rsidRDefault="00C03EED" w:rsidP="00000ED8">
      <w:pPr>
        <w:widowControl w:val="0"/>
        <w:spacing w:after="0" w:line="240" w:lineRule="auto"/>
        <w:ind w:left="1134"/>
        <w:jc w:val="both"/>
        <w:rPr>
          <w:rFonts w:ascii="Arial" w:eastAsia="PMingLiU" w:hAnsi="Arial" w:cs="Arial"/>
          <w:b/>
          <w:i/>
          <w:sz w:val="20"/>
          <w:szCs w:val="20"/>
          <w:lang w:val="es-MX"/>
        </w:rPr>
      </w:pPr>
      <w:r>
        <w:rPr>
          <w:rFonts w:ascii="Arial" w:hAnsi="Arial" w:cs="Arial"/>
          <w:sz w:val="20"/>
          <w:szCs w:val="20"/>
          <w:lang w:val="es-MX"/>
        </w:rPr>
        <w:t>La Compañía y su relacionada</w:t>
      </w:r>
      <w:r w:rsidR="00000ED8" w:rsidRPr="0074154F">
        <w:rPr>
          <w:rFonts w:ascii="Arial" w:hAnsi="Arial" w:cs="Arial"/>
          <w:sz w:val="20"/>
          <w:szCs w:val="20"/>
          <w:lang w:val="es-MX"/>
        </w:rPr>
        <w:t xml:space="preserve"> reconocerá el efecto acumulado de la aplicación inicial de las modificaciones como un ajuste al saldo de los resultados acumulados (o algún componente de capital, que sea apropiado) al inicio del primer periodo que se presente. Estas modificaciones son efectivas para periodos anuales que inicien el 1 de enero del 2022 con opción de aplicación anticipada, sin embargo, la Administración estima que los impactos en los estados financieros </w:t>
      </w:r>
      <w:r w:rsidR="00EB377A" w:rsidRPr="0074154F">
        <w:rPr>
          <w:rFonts w:ascii="Arial" w:hAnsi="Arial" w:cs="Arial"/>
          <w:sz w:val="20"/>
          <w:szCs w:val="20"/>
          <w:lang w:val="es-MX"/>
        </w:rPr>
        <w:t>consolidados</w:t>
      </w:r>
      <w:r w:rsidR="00477714" w:rsidRPr="0074154F">
        <w:rPr>
          <w:rFonts w:ascii="Arial" w:hAnsi="Arial" w:cs="Arial"/>
          <w:sz w:val="20"/>
          <w:szCs w:val="20"/>
          <w:lang w:val="es-MX"/>
        </w:rPr>
        <w:t xml:space="preserve"> </w:t>
      </w:r>
      <w:r w:rsidR="00000ED8" w:rsidRPr="0074154F">
        <w:rPr>
          <w:rFonts w:ascii="Arial" w:hAnsi="Arial" w:cs="Arial"/>
          <w:sz w:val="20"/>
          <w:szCs w:val="20"/>
          <w:lang w:val="es-MX"/>
        </w:rPr>
        <w:t>carecen de importancia material.</w:t>
      </w:r>
    </w:p>
    <w:p w14:paraId="4983DA39" w14:textId="77777777" w:rsidR="00E77A69" w:rsidRDefault="00E77A69" w:rsidP="002668FE">
      <w:pPr>
        <w:widowControl w:val="0"/>
        <w:spacing w:after="0" w:line="240" w:lineRule="auto"/>
        <w:ind w:left="1134"/>
        <w:jc w:val="both"/>
        <w:rPr>
          <w:rFonts w:ascii="Arial" w:eastAsia="PMingLiU" w:hAnsi="Arial" w:cs="Arial"/>
          <w:b/>
          <w:i/>
          <w:sz w:val="20"/>
          <w:szCs w:val="20"/>
          <w:lang w:val="es-MX"/>
        </w:rPr>
      </w:pPr>
    </w:p>
    <w:p w14:paraId="15C53D80" w14:textId="0FB5B8EB" w:rsidR="002668FE" w:rsidRPr="0074154F" w:rsidRDefault="002668FE" w:rsidP="002668FE">
      <w:pPr>
        <w:widowControl w:val="0"/>
        <w:spacing w:after="0" w:line="240" w:lineRule="auto"/>
        <w:ind w:left="1134"/>
        <w:jc w:val="both"/>
        <w:rPr>
          <w:rFonts w:ascii="Arial" w:eastAsia="PMingLiU" w:hAnsi="Arial" w:cs="Arial"/>
          <w:b/>
          <w:i/>
          <w:sz w:val="20"/>
          <w:szCs w:val="20"/>
          <w:lang w:val="es-MX"/>
        </w:rPr>
      </w:pPr>
      <w:r w:rsidRPr="0074154F">
        <w:rPr>
          <w:rFonts w:ascii="Arial" w:eastAsia="PMingLiU" w:hAnsi="Arial" w:cs="Arial"/>
          <w:b/>
          <w:i/>
          <w:sz w:val="20"/>
          <w:szCs w:val="20"/>
          <w:lang w:val="es-MX"/>
        </w:rPr>
        <w:t>Modificaciones a NIC 16 - Propiedad, Planta y Equipo – (Antes de ser usados)</w:t>
      </w:r>
    </w:p>
    <w:p w14:paraId="4AD51949" w14:textId="77777777" w:rsidR="002668FE" w:rsidRPr="0074154F" w:rsidRDefault="002668FE" w:rsidP="002668FE">
      <w:pPr>
        <w:widowControl w:val="0"/>
        <w:spacing w:after="0" w:line="240" w:lineRule="auto"/>
        <w:ind w:left="1134"/>
        <w:jc w:val="both"/>
        <w:rPr>
          <w:rFonts w:ascii="Arial" w:eastAsia="PMingLiU" w:hAnsi="Arial" w:cs="Arial"/>
          <w:sz w:val="20"/>
          <w:szCs w:val="20"/>
          <w:lang w:val="es-MX"/>
        </w:rPr>
      </w:pPr>
    </w:p>
    <w:p w14:paraId="6C37F1CA" w14:textId="6DBAC4A7" w:rsidR="002668FE" w:rsidRPr="0074154F" w:rsidRDefault="002668FE" w:rsidP="002668FE">
      <w:pPr>
        <w:widowControl w:val="0"/>
        <w:spacing w:after="0" w:line="240" w:lineRule="auto"/>
        <w:ind w:left="1134"/>
        <w:jc w:val="both"/>
        <w:rPr>
          <w:rFonts w:ascii="Arial" w:eastAsia="PMingLiU" w:hAnsi="Arial" w:cs="Arial"/>
          <w:sz w:val="20"/>
          <w:szCs w:val="20"/>
          <w:lang w:val="es-MX"/>
        </w:rPr>
      </w:pPr>
      <w:r w:rsidRPr="0074154F">
        <w:rPr>
          <w:rFonts w:ascii="Arial" w:eastAsia="PMingLiU" w:hAnsi="Arial" w:cs="Arial"/>
          <w:sz w:val="20"/>
          <w:szCs w:val="20"/>
          <w:lang w:val="es-MX"/>
        </w:rPr>
        <w:t xml:space="preserve">Las modificaciones prohíben la deducción del costo de un activo de propiedad, planta o equipo cualquier ingreso de vender el activo después de que esté listo para usarse, por ejemplo, ingresos mientras el activo se lleva a la ubicación y se realiza el acondicionamiento necesario para que sea operable en la manera que está destinado de acuerdo con la Administración. Por consiguiente, </w:t>
      </w:r>
      <w:r w:rsidR="000A1FF4">
        <w:rPr>
          <w:rFonts w:ascii="Arial" w:eastAsia="PMingLiU" w:hAnsi="Arial" w:cs="Arial"/>
          <w:sz w:val="20"/>
          <w:szCs w:val="20"/>
          <w:lang w:val="es-MX"/>
        </w:rPr>
        <w:t>la Compañía y su relacionada</w:t>
      </w:r>
      <w:r w:rsidRPr="0074154F">
        <w:rPr>
          <w:rFonts w:ascii="Arial" w:eastAsia="PMingLiU" w:hAnsi="Arial" w:cs="Arial"/>
          <w:sz w:val="20"/>
          <w:szCs w:val="20"/>
          <w:lang w:val="es-MX"/>
        </w:rPr>
        <w:t xml:space="preserve"> debe reconocer esos ingresos por ventas y costos en resultados y mide los costos de esas partidas conforme a la NIC 2 </w:t>
      </w:r>
      <w:r w:rsidRPr="0074154F">
        <w:rPr>
          <w:rFonts w:ascii="Arial" w:eastAsia="PMingLiU" w:hAnsi="Arial" w:cs="Arial"/>
          <w:i/>
          <w:sz w:val="20"/>
          <w:szCs w:val="20"/>
          <w:lang w:val="es-MX"/>
        </w:rPr>
        <w:t>Inventarios</w:t>
      </w:r>
      <w:r w:rsidRPr="0074154F">
        <w:rPr>
          <w:rFonts w:ascii="Arial" w:eastAsia="PMingLiU" w:hAnsi="Arial" w:cs="Arial"/>
          <w:sz w:val="20"/>
          <w:szCs w:val="20"/>
          <w:lang w:val="es-MX"/>
        </w:rPr>
        <w:t>.</w:t>
      </w:r>
    </w:p>
    <w:p w14:paraId="0CDEA1BC" w14:textId="5E4180A8" w:rsidR="002668FE" w:rsidRPr="0074154F" w:rsidRDefault="002668FE" w:rsidP="00531E7A">
      <w:pPr>
        <w:widowControl w:val="0"/>
        <w:spacing w:after="0" w:line="240" w:lineRule="auto"/>
        <w:ind w:left="1134"/>
        <w:jc w:val="both"/>
        <w:rPr>
          <w:rFonts w:ascii="Arial" w:eastAsia="PMingLiU" w:hAnsi="Arial" w:cs="Arial"/>
          <w:sz w:val="20"/>
          <w:szCs w:val="20"/>
          <w:lang w:val="es-MX"/>
        </w:rPr>
      </w:pPr>
      <w:r w:rsidRPr="0074154F">
        <w:rPr>
          <w:rFonts w:ascii="Arial" w:eastAsia="PMingLiU" w:hAnsi="Arial" w:cs="Arial"/>
          <w:sz w:val="20"/>
          <w:szCs w:val="20"/>
          <w:lang w:val="es-MX"/>
        </w:rPr>
        <w:lastRenderedPageBreak/>
        <w:t xml:space="preserve">Las modificaciones aclaran el significado de ‘probar si un activo funciona adecuadamente’. Ahora NIC 16 especifica esto como una evaluación en la cual el desempeño físico y técnico del activo es capaz de ser usado en la producción o en el suministro de bienes o servicios, para renta u otros, o propósitos administrativos. Si no se presenta por separado en el estado de resultados integrales, los estados financieros </w:t>
      </w:r>
      <w:r w:rsidR="00EB377A" w:rsidRPr="0074154F">
        <w:rPr>
          <w:rFonts w:ascii="Arial" w:eastAsia="PMingLiU" w:hAnsi="Arial" w:cs="Arial"/>
          <w:sz w:val="20"/>
          <w:szCs w:val="20"/>
          <w:lang w:val="es-MX"/>
        </w:rPr>
        <w:t>consolidados</w:t>
      </w:r>
      <w:r w:rsidR="00477714" w:rsidRPr="0074154F">
        <w:rPr>
          <w:rFonts w:ascii="Arial" w:eastAsia="PMingLiU" w:hAnsi="Arial" w:cs="Arial"/>
          <w:sz w:val="20"/>
          <w:szCs w:val="20"/>
          <w:lang w:val="es-MX"/>
        </w:rPr>
        <w:t xml:space="preserve"> </w:t>
      </w:r>
      <w:r w:rsidRPr="0074154F">
        <w:rPr>
          <w:rFonts w:ascii="Arial" w:eastAsia="PMingLiU" w:hAnsi="Arial" w:cs="Arial"/>
          <w:sz w:val="20"/>
          <w:szCs w:val="20"/>
          <w:lang w:val="es-MX"/>
        </w:rPr>
        <w:t>deberán revelar las cantidades de ingresos y costos en resultados relacionados a partidas que no son una salida por las actividades ordinarias NIC de</w:t>
      </w:r>
      <w:r w:rsidR="00047599">
        <w:rPr>
          <w:rFonts w:ascii="Arial" w:eastAsia="PMingLiU" w:hAnsi="Arial" w:cs="Arial"/>
          <w:sz w:val="20"/>
          <w:szCs w:val="20"/>
          <w:lang w:val="es-MX"/>
        </w:rPr>
        <w:t xml:space="preserve"> la Compañía y su relacionada</w:t>
      </w:r>
      <w:r w:rsidRPr="0074154F">
        <w:rPr>
          <w:rFonts w:ascii="Arial" w:eastAsia="PMingLiU" w:hAnsi="Arial" w:cs="Arial"/>
          <w:sz w:val="20"/>
          <w:szCs w:val="20"/>
          <w:lang w:val="es-MX"/>
        </w:rPr>
        <w:t>, en la línea de partida(s) en el estado de resultados integrales donde se incluyan los ingresos y costos.</w:t>
      </w:r>
    </w:p>
    <w:p w14:paraId="5AA8EF69" w14:textId="77777777" w:rsidR="002668FE" w:rsidRPr="0074154F" w:rsidRDefault="002668FE" w:rsidP="002668FE">
      <w:pPr>
        <w:widowControl w:val="0"/>
        <w:spacing w:after="0" w:line="240" w:lineRule="auto"/>
        <w:ind w:left="1134"/>
        <w:jc w:val="both"/>
        <w:rPr>
          <w:rFonts w:ascii="Arial" w:eastAsia="PMingLiU" w:hAnsi="Arial" w:cs="Arial"/>
          <w:sz w:val="18"/>
          <w:szCs w:val="18"/>
          <w:lang w:val="es-MX"/>
        </w:rPr>
      </w:pPr>
    </w:p>
    <w:p w14:paraId="53EF57E7" w14:textId="3B9967D2" w:rsidR="002668FE" w:rsidRPr="0074154F" w:rsidRDefault="002668FE" w:rsidP="002668FE">
      <w:pPr>
        <w:widowControl w:val="0"/>
        <w:spacing w:after="0" w:line="240" w:lineRule="auto"/>
        <w:ind w:left="1134"/>
        <w:jc w:val="both"/>
        <w:rPr>
          <w:rFonts w:ascii="Arial" w:eastAsia="PMingLiU" w:hAnsi="Arial" w:cs="Arial"/>
          <w:sz w:val="20"/>
          <w:szCs w:val="20"/>
          <w:lang w:val="es-MX"/>
        </w:rPr>
      </w:pPr>
      <w:r w:rsidRPr="0074154F">
        <w:rPr>
          <w:rFonts w:ascii="Arial" w:eastAsia="PMingLiU" w:hAnsi="Arial" w:cs="Arial"/>
          <w:sz w:val="20"/>
          <w:szCs w:val="20"/>
          <w:lang w:val="es-MX"/>
        </w:rPr>
        <w:t xml:space="preserve">Las modificaciones son aplicadas retrospectivamente, pero solo a las partidas de propiedad, planta y equipo que son traídas a la ubicación y condiciones necesarias NIC para que sean capaces de operarse como la administración lo tiene planeado en o después del inicio del periodo en el cual se presentan los estados financieros </w:t>
      </w:r>
      <w:r w:rsidR="00EB377A" w:rsidRPr="0074154F">
        <w:rPr>
          <w:rFonts w:ascii="Arial" w:eastAsia="PMingLiU" w:hAnsi="Arial" w:cs="Arial"/>
          <w:sz w:val="20"/>
          <w:szCs w:val="20"/>
          <w:lang w:val="es-MX"/>
        </w:rPr>
        <w:t>consolidados</w:t>
      </w:r>
      <w:r w:rsidR="00477714" w:rsidRPr="0074154F">
        <w:rPr>
          <w:rFonts w:ascii="Arial" w:eastAsia="PMingLiU" w:hAnsi="Arial" w:cs="Arial"/>
          <w:sz w:val="20"/>
          <w:szCs w:val="20"/>
          <w:lang w:val="es-MX"/>
        </w:rPr>
        <w:t xml:space="preserve"> </w:t>
      </w:r>
      <w:r w:rsidRPr="0074154F">
        <w:rPr>
          <w:rFonts w:ascii="Arial" w:eastAsia="PMingLiU" w:hAnsi="Arial" w:cs="Arial"/>
          <w:sz w:val="20"/>
          <w:szCs w:val="20"/>
          <w:lang w:val="es-MX"/>
        </w:rPr>
        <w:t>de</w:t>
      </w:r>
      <w:r w:rsidR="00047599">
        <w:rPr>
          <w:rFonts w:ascii="Arial" w:eastAsia="PMingLiU" w:hAnsi="Arial" w:cs="Arial"/>
          <w:sz w:val="20"/>
          <w:szCs w:val="20"/>
          <w:lang w:val="es-MX"/>
        </w:rPr>
        <w:t xml:space="preserve"> la Compañía y su relacionada</w:t>
      </w:r>
      <w:r w:rsidRPr="0074154F">
        <w:rPr>
          <w:rFonts w:ascii="Arial" w:eastAsia="PMingLiU" w:hAnsi="Arial" w:cs="Arial"/>
          <w:sz w:val="20"/>
          <w:szCs w:val="20"/>
          <w:lang w:val="es-MX"/>
        </w:rPr>
        <w:t xml:space="preserve"> en los cuales aplique por primera vez las modificaciones. </w:t>
      </w:r>
    </w:p>
    <w:p w14:paraId="200C1203" w14:textId="42E09AE7" w:rsidR="002668FE" w:rsidRPr="00DD591B" w:rsidRDefault="002668FE" w:rsidP="002668FE">
      <w:pPr>
        <w:widowControl w:val="0"/>
        <w:spacing w:after="0" w:line="240" w:lineRule="auto"/>
        <w:ind w:left="1134"/>
        <w:jc w:val="both"/>
        <w:rPr>
          <w:rFonts w:ascii="Arial" w:eastAsia="PMingLiU" w:hAnsi="Arial" w:cs="Arial"/>
          <w:sz w:val="18"/>
          <w:szCs w:val="18"/>
          <w:lang w:val="es-MX"/>
        </w:rPr>
      </w:pPr>
    </w:p>
    <w:p w14:paraId="4521809A" w14:textId="6F09534C" w:rsidR="0081225A" w:rsidRPr="0074154F" w:rsidRDefault="0081225A" w:rsidP="0081225A">
      <w:pPr>
        <w:pStyle w:val="ListParagraph"/>
        <w:numPr>
          <w:ilvl w:val="1"/>
          <w:numId w:val="3"/>
        </w:numPr>
        <w:tabs>
          <w:tab w:val="left" w:pos="1276"/>
          <w:tab w:val="left" w:pos="6989"/>
        </w:tabs>
        <w:spacing w:after="0" w:line="240" w:lineRule="auto"/>
        <w:ind w:left="1134" w:hanging="567"/>
        <w:jc w:val="both"/>
        <w:rPr>
          <w:rFonts w:ascii="Arial" w:hAnsi="Arial" w:cs="Arial"/>
          <w:color w:val="000000" w:themeColor="text1"/>
          <w:sz w:val="20"/>
        </w:rPr>
      </w:pPr>
      <w:r w:rsidRPr="0074154F">
        <w:rPr>
          <w:rFonts w:ascii="Arial" w:hAnsi="Arial" w:cs="Arial"/>
          <w:b/>
          <w:bCs/>
          <w:sz w:val="20"/>
          <w:szCs w:val="20"/>
        </w:rPr>
        <w:t>RECLASIFICACIONES</w:t>
      </w:r>
    </w:p>
    <w:p w14:paraId="314F737B" w14:textId="77777777" w:rsidR="0081225A" w:rsidRPr="00DD591B" w:rsidRDefault="0081225A" w:rsidP="0081225A">
      <w:pPr>
        <w:widowControl w:val="0"/>
        <w:spacing w:after="0" w:line="240" w:lineRule="auto"/>
        <w:ind w:left="1134" w:right="22"/>
        <w:jc w:val="both"/>
        <w:rPr>
          <w:rFonts w:ascii="Arial" w:hAnsi="Arial" w:cs="Arial"/>
          <w:sz w:val="18"/>
          <w:szCs w:val="18"/>
          <w:lang w:val="es-MX"/>
        </w:rPr>
      </w:pPr>
    </w:p>
    <w:p w14:paraId="2FE2686A" w14:textId="51C473B2" w:rsidR="0088709B" w:rsidRPr="0074154F" w:rsidRDefault="0081225A" w:rsidP="0081225A">
      <w:pPr>
        <w:pStyle w:val="ListParagraph"/>
        <w:tabs>
          <w:tab w:val="left" w:pos="1276"/>
          <w:tab w:val="left" w:pos="6989"/>
        </w:tabs>
        <w:spacing w:after="0" w:line="240" w:lineRule="auto"/>
        <w:ind w:left="1134"/>
        <w:jc w:val="both"/>
        <w:rPr>
          <w:rFonts w:ascii="Arial" w:hAnsi="Arial" w:cs="Arial"/>
          <w:sz w:val="20"/>
          <w:szCs w:val="20"/>
          <w:lang w:val="es-MX"/>
        </w:rPr>
      </w:pPr>
      <w:r w:rsidRPr="0074154F">
        <w:rPr>
          <w:rFonts w:ascii="Arial" w:hAnsi="Arial" w:cs="Arial"/>
          <w:sz w:val="20"/>
          <w:szCs w:val="20"/>
          <w:lang w:val="es-MX"/>
        </w:rPr>
        <w:t>Ciertas partidas de los estados financieros</w:t>
      </w:r>
      <w:r w:rsidR="00F94C27" w:rsidRPr="0074154F">
        <w:rPr>
          <w:rFonts w:ascii="Arial" w:hAnsi="Arial" w:cs="Arial"/>
          <w:sz w:val="20"/>
          <w:szCs w:val="20"/>
          <w:lang w:val="es-MX"/>
        </w:rPr>
        <w:t xml:space="preserve"> </w:t>
      </w:r>
      <w:r w:rsidR="00E36468" w:rsidRPr="0074154F">
        <w:rPr>
          <w:rFonts w:ascii="Arial" w:hAnsi="Arial" w:cs="Arial"/>
          <w:sz w:val="20"/>
          <w:szCs w:val="20"/>
          <w:lang w:val="es-MX"/>
        </w:rPr>
        <w:t>consolidados</w:t>
      </w:r>
      <w:r w:rsidR="00F94C27" w:rsidRPr="0074154F">
        <w:rPr>
          <w:rFonts w:ascii="Arial" w:hAnsi="Arial" w:cs="Arial"/>
          <w:sz w:val="20"/>
          <w:szCs w:val="20"/>
          <w:lang w:val="es-MX"/>
        </w:rPr>
        <w:t xml:space="preserve"> adjuntos</w:t>
      </w:r>
      <w:r w:rsidRPr="0074154F">
        <w:rPr>
          <w:rFonts w:ascii="Arial" w:hAnsi="Arial" w:cs="Arial"/>
          <w:sz w:val="20"/>
          <w:szCs w:val="20"/>
          <w:lang w:val="es-MX"/>
        </w:rPr>
        <w:t xml:space="preserve"> de </w:t>
      </w:r>
      <w:r w:rsidRPr="0074154F">
        <w:rPr>
          <w:rFonts w:ascii="Arial" w:hAnsi="Arial" w:cs="Arial"/>
          <w:b/>
          <w:sz w:val="20"/>
          <w:szCs w:val="20"/>
        </w:rPr>
        <w:t>Telconet S.A.</w:t>
      </w:r>
      <w:r w:rsidRPr="0074154F">
        <w:rPr>
          <w:rFonts w:ascii="Arial" w:hAnsi="Arial" w:cs="Arial"/>
          <w:b/>
          <w:sz w:val="20"/>
          <w:szCs w:val="20"/>
          <w:lang w:val="es-ES_tradnl"/>
        </w:rPr>
        <w:t xml:space="preserve"> </w:t>
      </w:r>
      <w:r w:rsidR="00BB3FAA">
        <w:rPr>
          <w:rFonts w:ascii="Arial" w:hAnsi="Arial" w:cs="Arial"/>
          <w:b/>
          <w:sz w:val="20"/>
          <w:szCs w:val="20"/>
          <w:lang w:val="es-ES_tradnl"/>
        </w:rPr>
        <w:t>y su Compañía relacionada</w:t>
      </w:r>
      <w:r w:rsidR="004C05BF" w:rsidRPr="0074154F">
        <w:rPr>
          <w:rFonts w:ascii="Arial" w:hAnsi="Arial" w:cs="Arial"/>
          <w:b/>
          <w:sz w:val="20"/>
          <w:szCs w:val="20"/>
          <w:lang w:val="es-ES_tradnl"/>
        </w:rPr>
        <w:t xml:space="preserve"> </w:t>
      </w:r>
      <w:r w:rsidRPr="0074154F">
        <w:rPr>
          <w:rFonts w:ascii="Arial" w:hAnsi="Arial" w:cs="Arial"/>
          <w:sz w:val="20"/>
          <w:szCs w:val="20"/>
          <w:lang w:val="es-MX"/>
        </w:rPr>
        <w:t>por el año terminado el 31 de diciembre del 2019, fueron reclasificadas con el propósito de presentar información financiera comparativa. Los efectos de las reclasificaciones no tuvieron impacto significativo en los resultados ni en el patrimonio de</w:t>
      </w:r>
      <w:r w:rsidR="006255BA">
        <w:rPr>
          <w:rFonts w:ascii="Arial" w:hAnsi="Arial" w:cs="Arial"/>
          <w:sz w:val="20"/>
          <w:szCs w:val="20"/>
          <w:lang w:val="es-MX"/>
        </w:rPr>
        <w:t xml:space="preserve"> la Compañía y su relacionada</w:t>
      </w:r>
      <w:r w:rsidRPr="0074154F">
        <w:rPr>
          <w:rFonts w:ascii="Arial" w:hAnsi="Arial" w:cs="Arial"/>
          <w:sz w:val="20"/>
          <w:szCs w:val="20"/>
          <w:lang w:val="es-MX"/>
        </w:rPr>
        <w:t xml:space="preserve"> del referido año.</w:t>
      </w:r>
    </w:p>
    <w:p w14:paraId="201DFF90" w14:textId="77777777" w:rsidR="001E776C" w:rsidRPr="0074154F" w:rsidRDefault="001E776C" w:rsidP="0081225A">
      <w:pPr>
        <w:pStyle w:val="ListParagraph"/>
        <w:tabs>
          <w:tab w:val="left" w:pos="1276"/>
          <w:tab w:val="left" w:pos="6989"/>
        </w:tabs>
        <w:spacing w:after="0" w:line="240" w:lineRule="auto"/>
        <w:ind w:left="360"/>
        <w:jc w:val="both"/>
        <w:rPr>
          <w:rFonts w:ascii="Arial" w:hAnsi="Arial" w:cs="Arial"/>
          <w:b/>
          <w:sz w:val="20"/>
          <w:szCs w:val="20"/>
          <w:u w:val="single"/>
        </w:rPr>
      </w:pPr>
    </w:p>
    <w:p w14:paraId="33DB906E" w14:textId="1A211682" w:rsidR="00C71DC1" w:rsidRPr="0074154F" w:rsidRDefault="001C1F1C"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EFECTIVO Y EQUIVALENTES DE EFECTIVO</w:t>
      </w:r>
    </w:p>
    <w:p w14:paraId="0940AAAD" w14:textId="6CB3706D" w:rsidR="00C71DC1" w:rsidRPr="0074154F" w:rsidRDefault="00C71DC1" w:rsidP="00413455">
      <w:pPr>
        <w:pStyle w:val="ListParagraph"/>
        <w:spacing w:after="0" w:line="240" w:lineRule="auto"/>
        <w:ind w:left="567" w:right="-1" w:firstLine="720"/>
        <w:contextualSpacing w:val="0"/>
        <w:jc w:val="both"/>
        <w:rPr>
          <w:rFonts w:ascii="Arial" w:hAnsi="Arial" w:cs="Arial"/>
          <w:sz w:val="20"/>
          <w:szCs w:val="20"/>
        </w:rPr>
      </w:pPr>
    </w:p>
    <w:p w14:paraId="1092FAC1" w14:textId="05FCAECC" w:rsidR="00E03568" w:rsidRPr="0074154F" w:rsidRDefault="001C1F1C" w:rsidP="00C000B5">
      <w:pPr>
        <w:tabs>
          <w:tab w:val="left" w:pos="1276"/>
        </w:tabs>
        <w:spacing w:after="0" w:line="240" w:lineRule="auto"/>
        <w:ind w:left="567"/>
        <w:contextualSpacing/>
        <w:jc w:val="both"/>
        <w:rPr>
          <w:rFonts w:ascii="Arial" w:hAnsi="Arial" w:cs="Arial"/>
          <w:sz w:val="20"/>
          <w:szCs w:val="20"/>
        </w:rPr>
      </w:pPr>
      <w:r w:rsidRPr="0074154F">
        <w:rPr>
          <w:rFonts w:ascii="Arial" w:hAnsi="Arial" w:cs="Arial"/>
          <w:sz w:val="20"/>
          <w:szCs w:val="20"/>
        </w:rPr>
        <w:t>Al 31 de diciembre del 20</w:t>
      </w:r>
      <w:r w:rsidR="00055A2D" w:rsidRPr="0074154F">
        <w:rPr>
          <w:rFonts w:ascii="Arial" w:hAnsi="Arial" w:cs="Arial"/>
          <w:sz w:val="20"/>
          <w:szCs w:val="20"/>
        </w:rPr>
        <w:t>20</w:t>
      </w:r>
      <w:r w:rsidR="00C000B5" w:rsidRPr="0074154F">
        <w:rPr>
          <w:rFonts w:ascii="Arial" w:hAnsi="Arial" w:cs="Arial"/>
          <w:sz w:val="20"/>
          <w:szCs w:val="20"/>
        </w:rPr>
        <w:t>, b</w:t>
      </w:r>
      <w:r w:rsidR="004802B1" w:rsidRPr="0074154F">
        <w:rPr>
          <w:rFonts w:ascii="Arial" w:hAnsi="Arial" w:cs="Arial"/>
          <w:sz w:val="20"/>
          <w:szCs w:val="20"/>
        </w:rPr>
        <w:t>ancos,</w:t>
      </w:r>
      <w:r w:rsidR="008C11F3" w:rsidRPr="0074154F">
        <w:rPr>
          <w:rFonts w:ascii="Arial" w:hAnsi="Arial" w:cs="Arial"/>
          <w:sz w:val="20"/>
          <w:szCs w:val="20"/>
        </w:rPr>
        <w:t xml:space="preserve"> </w:t>
      </w:r>
      <w:r w:rsidR="004802B1" w:rsidRPr="0074154F">
        <w:rPr>
          <w:rFonts w:ascii="Arial" w:hAnsi="Arial" w:cs="Arial"/>
          <w:sz w:val="20"/>
          <w:szCs w:val="20"/>
        </w:rPr>
        <w:t>r</w:t>
      </w:r>
      <w:r w:rsidR="00E03568" w:rsidRPr="0074154F">
        <w:rPr>
          <w:rFonts w:ascii="Arial" w:hAnsi="Arial" w:cs="Arial"/>
          <w:sz w:val="20"/>
          <w:szCs w:val="20"/>
        </w:rPr>
        <w:t>epresentan depósitos</w:t>
      </w:r>
      <w:r w:rsidR="00097B71" w:rsidRPr="0074154F">
        <w:rPr>
          <w:rFonts w:ascii="Arial" w:hAnsi="Arial" w:cs="Arial"/>
          <w:sz w:val="20"/>
          <w:szCs w:val="20"/>
        </w:rPr>
        <w:t xml:space="preserve"> </w:t>
      </w:r>
      <w:r w:rsidR="00B26EA0" w:rsidRPr="0074154F">
        <w:rPr>
          <w:rFonts w:ascii="Arial" w:hAnsi="Arial" w:cs="Arial"/>
          <w:sz w:val="20"/>
          <w:szCs w:val="20"/>
        </w:rPr>
        <w:t xml:space="preserve">sin restricciones y de disponibilidad inmediata </w:t>
      </w:r>
      <w:r w:rsidR="00097B71" w:rsidRPr="0074154F">
        <w:rPr>
          <w:rFonts w:ascii="Arial" w:hAnsi="Arial" w:cs="Arial"/>
          <w:sz w:val="20"/>
          <w:szCs w:val="20"/>
        </w:rPr>
        <w:t>en</w:t>
      </w:r>
      <w:r w:rsidR="00250F86" w:rsidRPr="0074154F">
        <w:rPr>
          <w:rFonts w:ascii="Arial" w:hAnsi="Arial" w:cs="Arial"/>
          <w:sz w:val="20"/>
          <w:szCs w:val="20"/>
        </w:rPr>
        <w:t xml:space="preserve"> </w:t>
      </w:r>
      <w:r w:rsidR="00097B71" w:rsidRPr="0074154F">
        <w:rPr>
          <w:rFonts w:ascii="Arial" w:hAnsi="Arial" w:cs="Arial"/>
          <w:sz w:val="20"/>
          <w:szCs w:val="20"/>
        </w:rPr>
        <w:t>cuenta</w:t>
      </w:r>
      <w:r w:rsidR="00B26EA0" w:rsidRPr="0074154F">
        <w:rPr>
          <w:rFonts w:ascii="Arial" w:hAnsi="Arial" w:cs="Arial"/>
          <w:sz w:val="20"/>
          <w:szCs w:val="20"/>
        </w:rPr>
        <w:t>s</w:t>
      </w:r>
      <w:r w:rsidR="00097B71" w:rsidRPr="0074154F">
        <w:rPr>
          <w:rFonts w:ascii="Arial" w:hAnsi="Arial" w:cs="Arial"/>
          <w:sz w:val="20"/>
          <w:szCs w:val="20"/>
        </w:rPr>
        <w:t xml:space="preserve"> corriente</w:t>
      </w:r>
      <w:r w:rsidR="00B26EA0" w:rsidRPr="0074154F">
        <w:rPr>
          <w:rFonts w:ascii="Arial" w:hAnsi="Arial" w:cs="Arial"/>
          <w:sz w:val="20"/>
          <w:szCs w:val="20"/>
        </w:rPr>
        <w:t>s</w:t>
      </w:r>
      <w:r w:rsidR="00E03568" w:rsidRPr="0074154F">
        <w:rPr>
          <w:rFonts w:ascii="Arial" w:hAnsi="Arial" w:cs="Arial"/>
          <w:sz w:val="20"/>
          <w:szCs w:val="20"/>
        </w:rPr>
        <w:t xml:space="preserve"> en </w:t>
      </w:r>
      <w:r w:rsidR="00205824" w:rsidRPr="0074154F">
        <w:rPr>
          <w:rFonts w:ascii="Arial" w:hAnsi="Arial" w:cs="Arial"/>
          <w:sz w:val="20"/>
          <w:szCs w:val="20"/>
        </w:rPr>
        <w:t>12</w:t>
      </w:r>
      <w:r w:rsidR="008F3EFE" w:rsidRPr="0074154F">
        <w:rPr>
          <w:rFonts w:ascii="Arial" w:hAnsi="Arial" w:cs="Arial"/>
          <w:sz w:val="20"/>
          <w:szCs w:val="20"/>
        </w:rPr>
        <w:t xml:space="preserve"> </w:t>
      </w:r>
      <w:r w:rsidR="00E03568" w:rsidRPr="0074154F">
        <w:rPr>
          <w:rFonts w:ascii="Arial" w:hAnsi="Arial" w:cs="Arial"/>
          <w:sz w:val="20"/>
          <w:szCs w:val="20"/>
        </w:rPr>
        <w:t xml:space="preserve">instituciones </w:t>
      </w:r>
      <w:r w:rsidR="00097B71" w:rsidRPr="0074154F">
        <w:rPr>
          <w:rFonts w:ascii="Arial" w:hAnsi="Arial" w:cs="Arial"/>
          <w:sz w:val="20"/>
          <w:szCs w:val="20"/>
        </w:rPr>
        <w:t>bancarias</w:t>
      </w:r>
      <w:r w:rsidR="00E03568" w:rsidRPr="0074154F">
        <w:rPr>
          <w:rFonts w:ascii="Arial" w:hAnsi="Arial" w:cs="Arial"/>
          <w:sz w:val="20"/>
          <w:szCs w:val="20"/>
        </w:rPr>
        <w:t xml:space="preserve"> locales por US$</w:t>
      </w:r>
      <w:r w:rsidR="00B4392E">
        <w:rPr>
          <w:rFonts w:ascii="Arial" w:hAnsi="Arial" w:cs="Arial"/>
          <w:sz w:val="20"/>
          <w:szCs w:val="20"/>
        </w:rPr>
        <w:t>23</w:t>
      </w:r>
      <w:r w:rsidR="00B26EA0" w:rsidRPr="0074154F">
        <w:rPr>
          <w:rFonts w:ascii="Arial" w:hAnsi="Arial" w:cs="Arial"/>
          <w:sz w:val="20"/>
          <w:szCs w:val="20"/>
        </w:rPr>
        <w:t xml:space="preserve"> mill</w:t>
      </w:r>
      <w:r w:rsidR="00205824" w:rsidRPr="0074154F">
        <w:rPr>
          <w:rFonts w:ascii="Arial" w:hAnsi="Arial" w:cs="Arial"/>
          <w:sz w:val="20"/>
          <w:szCs w:val="20"/>
        </w:rPr>
        <w:t>o</w:t>
      </w:r>
      <w:r w:rsidR="00B26EA0" w:rsidRPr="0074154F">
        <w:rPr>
          <w:rFonts w:ascii="Arial" w:hAnsi="Arial" w:cs="Arial"/>
          <w:sz w:val="20"/>
          <w:szCs w:val="20"/>
        </w:rPr>
        <w:t>n</w:t>
      </w:r>
      <w:r w:rsidR="00205824" w:rsidRPr="0074154F">
        <w:rPr>
          <w:rFonts w:ascii="Arial" w:hAnsi="Arial" w:cs="Arial"/>
          <w:sz w:val="20"/>
          <w:szCs w:val="20"/>
        </w:rPr>
        <w:t>es</w:t>
      </w:r>
      <w:r w:rsidR="00B26EA0" w:rsidRPr="0074154F">
        <w:rPr>
          <w:rFonts w:ascii="Arial" w:hAnsi="Arial" w:cs="Arial"/>
          <w:sz w:val="20"/>
          <w:szCs w:val="20"/>
        </w:rPr>
        <w:t xml:space="preserve"> </w:t>
      </w:r>
      <w:r w:rsidR="00E9136E" w:rsidRPr="0074154F">
        <w:rPr>
          <w:rFonts w:ascii="Arial" w:hAnsi="Arial" w:cs="Arial"/>
          <w:sz w:val="20"/>
          <w:szCs w:val="20"/>
        </w:rPr>
        <w:t xml:space="preserve">       </w:t>
      </w:r>
      <w:proofErr w:type="gramStart"/>
      <w:r w:rsidR="00E9136E" w:rsidRPr="0074154F">
        <w:rPr>
          <w:rFonts w:ascii="Arial" w:hAnsi="Arial" w:cs="Arial"/>
          <w:sz w:val="20"/>
          <w:szCs w:val="20"/>
        </w:rPr>
        <w:t xml:space="preserve">   </w:t>
      </w:r>
      <w:r w:rsidR="00E03568" w:rsidRPr="0074154F">
        <w:rPr>
          <w:rFonts w:ascii="Arial" w:hAnsi="Arial" w:cs="Arial"/>
          <w:sz w:val="20"/>
          <w:szCs w:val="20"/>
        </w:rPr>
        <w:t>(</w:t>
      </w:r>
      <w:proofErr w:type="gramEnd"/>
      <w:r w:rsidR="00E03568" w:rsidRPr="0074154F">
        <w:rPr>
          <w:rFonts w:ascii="Arial" w:hAnsi="Arial" w:cs="Arial"/>
          <w:sz w:val="20"/>
          <w:szCs w:val="20"/>
        </w:rPr>
        <w:t>US$</w:t>
      </w:r>
      <w:r w:rsidR="00B4392E">
        <w:rPr>
          <w:rFonts w:ascii="Arial" w:hAnsi="Arial" w:cs="Arial"/>
          <w:sz w:val="20"/>
          <w:szCs w:val="20"/>
        </w:rPr>
        <w:t>7</w:t>
      </w:r>
      <w:r w:rsidR="00FC547D">
        <w:rPr>
          <w:rFonts w:ascii="Arial" w:hAnsi="Arial" w:cs="Arial"/>
          <w:sz w:val="20"/>
          <w:szCs w:val="20"/>
        </w:rPr>
        <w:t>.6</w:t>
      </w:r>
      <w:r w:rsidR="00205824" w:rsidRPr="0074154F">
        <w:rPr>
          <w:rFonts w:ascii="Arial" w:hAnsi="Arial" w:cs="Arial"/>
          <w:sz w:val="20"/>
          <w:szCs w:val="20"/>
        </w:rPr>
        <w:t xml:space="preserve"> millones</w:t>
      </w:r>
      <w:r w:rsidR="00E03568" w:rsidRPr="0074154F">
        <w:rPr>
          <w:rFonts w:ascii="Arial" w:hAnsi="Arial" w:cs="Arial"/>
          <w:sz w:val="20"/>
          <w:szCs w:val="20"/>
        </w:rPr>
        <w:t xml:space="preserve"> en el año 201</w:t>
      </w:r>
      <w:r w:rsidR="009217DE" w:rsidRPr="0074154F">
        <w:rPr>
          <w:rFonts w:ascii="Arial" w:hAnsi="Arial" w:cs="Arial"/>
          <w:sz w:val="20"/>
          <w:szCs w:val="20"/>
        </w:rPr>
        <w:t>9</w:t>
      </w:r>
      <w:r w:rsidR="00E03568" w:rsidRPr="0074154F">
        <w:rPr>
          <w:rFonts w:ascii="Arial" w:hAnsi="Arial" w:cs="Arial"/>
          <w:sz w:val="20"/>
          <w:szCs w:val="20"/>
        </w:rPr>
        <w:t>)</w:t>
      </w:r>
      <w:r w:rsidR="00E9136E" w:rsidRPr="0074154F">
        <w:rPr>
          <w:rFonts w:ascii="Arial" w:hAnsi="Arial" w:cs="Arial"/>
          <w:sz w:val="20"/>
          <w:szCs w:val="20"/>
        </w:rPr>
        <w:t xml:space="preserve">; </w:t>
      </w:r>
      <w:r w:rsidR="00205824" w:rsidRPr="0074154F">
        <w:rPr>
          <w:rFonts w:ascii="Arial" w:hAnsi="Arial" w:cs="Arial"/>
          <w:sz w:val="20"/>
          <w:szCs w:val="20"/>
        </w:rPr>
        <w:t xml:space="preserve">en 2 Cooperativas </w:t>
      </w:r>
      <w:r w:rsidR="00E9136E" w:rsidRPr="0074154F">
        <w:rPr>
          <w:rFonts w:ascii="Arial" w:hAnsi="Arial" w:cs="Arial"/>
          <w:sz w:val="20"/>
          <w:szCs w:val="20"/>
        </w:rPr>
        <w:t xml:space="preserve">por </w:t>
      </w:r>
      <w:r w:rsidR="00205824" w:rsidRPr="0074154F">
        <w:rPr>
          <w:rFonts w:ascii="Arial" w:hAnsi="Arial" w:cs="Arial"/>
          <w:sz w:val="20"/>
          <w:szCs w:val="20"/>
        </w:rPr>
        <w:t>US$75,456 (</w:t>
      </w:r>
      <w:r w:rsidR="00E9136E" w:rsidRPr="0074154F">
        <w:rPr>
          <w:rFonts w:ascii="Arial" w:hAnsi="Arial" w:cs="Arial"/>
          <w:sz w:val="20"/>
          <w:szCs w:val="20"/>
        </w:rPr>
        <w:t>US$</w:t>
      </w:r>
      <w:r w:rsidR="00205824" w:rsidRPr="0074154F">
        <w:rPr>
          <w:rFonts w:ascii="Arial" w:hAnsi="Arial" w:cs="Arial"/>
          <w:sz w:val="20"/>
          <w:szCs w:val="20"/>
        </w:rPr>
        <w:t>6,302 en el año 2019)</w:t>
      </w:r>
      <w:r w:rsidR="00E9136E" w:rsidRPr="0074154F">
        <w:rPr>
          <w:rFonts w:ascii="Arial" w:hAnsi="Arial" w:cs="Arial"/>
          <w:sz w:val="20"/>
          <w:szCs w:val="20"/>
        </w:rPr>
        <w:t xml:space="preserve">; </w:t>
      </w:r>
      <w:r w:rsidR="00E03568" w:rsidRPr="0074154F">
        <w:rPr>
          <w:rFonts w:ascii="Arial" w:hAnsi="Arial" w:cs="Arial"/>
          <w:sz w:val="20"/>
          <w:szCs w:val="20"/>
        </w:rPr>
        <w:t xml:space="preserve">y en </w:t>
      </w:r>
      <w:r w:rsidR="00205824" w:rsidRPr="0074154F">
        <w:rPr>
          <w:rFonts w:ascii="Arial" w:hAnsi="Arial" w:cs="Arial"/>
          <w:sz w:val="20"/>
          <w:szCs w:val="20"/>
        </w:rPr>
        <w:t>dos</w:t>
      </w:r>
      <w:r w:rsidR="008F3EFE" w:rsidRPr="0074154F">
        <w:rPr>
          <w:rFonts w:ascii="Arial" w:hAnsi="Arial" w:cs="Arial"/>
          <w:sz w:val="20"/>
          <w:szCs w:val="20"/>
        </w:rPr>
        <w:t xml:space="preserve"> </w:t>
      </w:r>
      <w:r w:rsidR="00E03568" w:rsidRPr="0074154F">
        <w:rPr>
          <w:rFonts w:ascii="Arial" w:hAnsi="Arial" w:cs="Arial"/>
          <w:sz w:val="20"/>
          <w:szCs w:val="20"/>
        </w:rPr>
        <w:t>instituci</w:t>
      </w:r>
      <w:r w:rsidR="00205824" w:rsidRPr="0074154F">
        <w:rPr>
          <w:rFonts w:ascii="Arial" w:hAnsi="Arial" w:cs="Arial"/>
          <w:sz w:val="20"/>
          <w:szCs w:val="20"/>
        </w:rPr>
        <w:t>o</w:t>
      </w:r>
      <w:r w:rsidR="00E03568" w:rsidRPr="0074154F">
        <w:rPr>
          <w:rFonts w:ascii="Arial" w:hAnsi="Arial" w:cs="Arial"/>
          <w:sz w:val="20"/>
          <w:szCs w:val="20"/>
        </w:rPr>
        <w:t>n</w:t>
      </w:r>
      <w:r w:rsidR="00205824" w:rsidRPr="0074154F">
        <w:rPr>
          <w:rFonts w:ascii="Arial" w:hAnsi="Arial" w:cs="Arial"/>
          <w:sz w:val="20"/>
          <w:szCs w:val="20"/>
        </w:rPr>
        <w:t>es</w:t>
      </w:r>
      <w:r w:rsidR="00E03568" w:rsidRPr="0074154F">
        <w:rPr>
          <w:rFonts w:ascii="Arial" w:hAnsi="Arial" w:cs="Arial"/>
          <w:sz w:val="20"/>
          <w:szCs w:val="20"/>
        </w:rPr>
        <w:t xml:space="preserve"> </w:t>
      </w:r>
      <w:r w:rsidR="00097B71" w:rsidRPr="0074154F">
        <w:rPr>
          <w:rFonts w:ascii="Arial" w:hAnsi="Arial" w:cs="Arial"/>
          <w:sz w:val="20"/>
          <w:szCs w:val="20"/>
        </w:rPr>
        <w:t>bancaria</w:t>
      </w:r>
      <w:r w:rsidR="00205824" w:rsidRPr="0074154F">
        <w:rPr>
          <w:rFonts w:ascii="Arial" w:hAnsi="Arial" w:cs="Arial"/>
          <w:sz w:val="20"/>
          <w:szCs w:val="20"/>
        </w:rPr>
        <w:t>s</w:t>
      </w:r>
      <w:r w:rsidR="00E03568" w:rsidRPr="0074154F">
        <w:rPr>
          <w:rFonts w:ascii="Arial" w:hAnsi="Arial" w:cs="Arial"/>
          <w:sz w:val="20"/>
          <w:szCs w:val="20"/>
        </w:rPr>
        <w:t xml:space="preserve"> del exterior por US</w:t>
      </w:r>
      <w:r w:rsidR="00097B71" w:rsidRPr="0074154F">
        <w:rPr>
          <w:rFonts w:ascii="Arial" w:hAnsi="Arial" w:cs="Arial"/>
          <w:sz w:val="20"/>
          <w:szCs w:val="20"/>
        </w:rPr>
        <w:t>$</w:t>
      </w:r>
      <w:r w:rsidR="00205824" w:rsidRPr="0074154F">
        <w:rPr>
          <w:rFonts w:ascii="Arial" w:hAnsi="Arial" w:cs="Arial"/>
          <w:sz w:val="20"/>
          <w:szCs w:val="20"/>
        </w:rPr>
        <w:t>53,474</w:t>
      </w:r>
      <w:r w:rsidR="00E03568" w:rsidRPr="0074154F">
        <w:rPr>
          <w:rFonts w:ascii="Arial" w:hAnsi="Arial" w:cs="Arial"/>
          <w:sz w:val="20"/>
          <w:szCs w:val="20"/>
        </w:rPr>
        <w:t xml:space="preserve"> (US$</w:t>
      </w:r>
      <w:r w:rsidR="00205824" w:rsidRPr="0074154F">
        <w:rPr>
          <w:rFonts w:ascii="Arial" w:hAnsi="Arial" w:cs="Arial"/>
          <w:sz w:val="20"/>
          <w:szCs w:val="20"/>
        </w:rPr>
        <w:t>8,781</w:t>
      </w:r>
      <w:r w:rsidR="00E03568" w:rsidRPr="0074154F">
        <w:rPr>
          <w:rFonts w:ascii="Arial" w:hAnsi="Arial" w:cs="Arial"/>
          <w:sz w:val="20"/>
          <w:szCs w:val="20"/>
        </w:rPr>
        <w:t xml:space="preserve"> en el año 201</w:t>
      </w:r>
      <w:r w:rsidR="009217DE" w:rsidRPr="0074154F">
        <w:rPr>
          <w:rFonts w:ascii="Arial" w:hAnsi="Arial" w:cs="Arial"/>
          <w:sz w:val="20"/>
          <w:szCs w:val="20"/>
        </w:rPr>
        <w:t>9</w:t>
      </w:r>
      <w:r w:rsidR="00E03568" w:rsidRPr="0074154F">
        <w:rPr>
          <w:rFonts w:ascii="Arial" w:hAnsi="Arial" w:cs="Arial"/>
          <w:sz w:val="20"/>
          <w:szCs w:val="20"/>
        </w:rPr>
        <w:t>)</w:t>
      </w:r>
      <w:r w:rsidR="00097B71" w:rsidRPr="0074154F">
        <w:rPr>
          <w:rFonts w:ascii="Arial" w:hAnsi="Arial" w:cs="Arial"/>
          <w:sz w:val="20"/>
          <w:szCs w:val="20"/>
        </w:rPr>
        <w:t>, los cuales no generan intereses</w:t>
      </w:r>
      <w:r w:rsidR="00E03568" w:rsidRPr="0074154F">
        <w:rPr>
          <w:rFonts w:ascii="Arial" w:hAnsi="Arial" w:cs="Arial"/>
          <w:sz w:val="20"/>
          <w:szCs w:val="20"/>
        </w:rPr>
        <w:t>.</w:t>
      </w:r>
      <w:r w:rsidR="00B26EA0" w:rsidRPr="0074154F">
        <w:rPr>
          <w:rFonts w:ascii="Arial" w:hAnsi="Arial" w:cs="Arial"/>
          <w:sz w:val="20"/>
          <w:szCs w:val="20"/>
        </w:rPr>
        <w:t xml:space="preserve"> </w:t>
      </w:r>
    </w:p>
    <w:p w14:paraId="727F238F" w14:textId="77777777" w:rsidR="00E9136E" w:rsidRPr="0074154F" w:rsidRDefault="00E9136E" w:rsidP="00413455">
      <w:pPr>
        <w:pStyle w:val="ListParagraph"/>
        <w:spacing w:after="0" w:line="240" w:lineRule="auto"/>
        <w:ind w:left="993" w:right="-1"/>
        <w:contextualSpacing w:val="0"/>
        <w:jc w:val="both"/>
        <w:rPr>
          <w:rFonts w:ascii="Arial" w:hAnsi="Arial" w:cs="Arial"/>
          <w:sz w:val="20"/>
          <w:szCs w:val="20"/>
        </w:rPr>
      </w:pPr>
    </w:p>
    <w:p w14:paraId="4EAE3413" w14:textId="1F73F86E" w:rsidR="00DE4990" w:rsidRPr="0074154F" w:rsidRDefault="006D3909"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 xml:space="preserve">DOCUMENTOS Y </w:t>
      </w:r>
      <w:r w:rsidR="00795EB4" w:rsidRPr="0074154F">
        <w:rPr>
          <w:rFonts w:ascii="Arial" w:hAnsi="Arial" w:cs="Arial"/>
          <w:sz w:val="20"/>
          <w:u w:val="single"/>
          <w:lang w:val="es-EC" w:eastAsia="es-EC"/>
        </w:rPr>
        <w:t>CUENTAS POR COBRAR</w:t>
      </w:r>
    </w:p>
    <w:p w14:paraId="37D7234C" w14:textId="0246DFB5" w:rsidR="00494950" w:rsidRPr="0074154F" w:rsidRDefault="00494950" w:rsidP="00413455">
      <w:pPr>
        <w:spacing w:after="0" w:line="240" w:lineRule="auto"/>
        <w:ind w:right="-1"/>
        <w:jc w:val="both"/>
        <w:rPr>
          <w:rFonts w:ascii="Arial" w:hAnsi="Arial" w:cs="Arial"/>
          <w:sz w:val="16"/>
          <w:szCs w:val="16"/>
          <w:lang w:eastAsia="es-EC"/>
        </w:rPr>
      </w:pPr>
    </w:p>
    <w:tbl>
      <w:tblPr>
        <w:tblW w:w="8494" w:type="dxa"/>
        <w:jc w:val="right"/>
        <w:tblCellMar>
          <w:left w:w="70" w:type="dxa"/>
          <w:right w:w="70" w:type="dxa"/>
        </w:tblCellMar>
        <w:tblLook w:val="04A0" w:firstRow="1" w:lastRow="0" w:firstColumn="1" w:lastColumn="0" w:noHBand="0" w:noVBand="1"/>
      </w:tblPr>
      <w:tblGrid>
        <w:gridCol w:w="4795"/>
        <w:gridCol w:w="2065"/>
        <w:gridCol w:w="145"/>
        <w:gridCol w:w="2065"/>
      </w:tblGrid>
      <w:tr w:rsidR="00147242" w:rsidRPr="0074154F" w14:paraId="5D844B30" w14:textId="77777777" w:rsidTr="00C000B5">
        <w:trPr>
          <w:trHeight w:val="283"/>
          <w:jc w:val="right"/>
        </w:trPr>
        <w:tc>
          <w:tcPr>
            <w:tcW w:w="5272" w:type="dxa"/>
            <w:tcBorders>
              <w:top w:val="nil"/>
              <w:left w:val="nil"/>
              <w:bottom w:val="nil"/>
              <w:right w:val="nil"/>
            </w:tcBorders>
            <w:shd w:val="clear" w:color="auto" w:fill="auto"/>
            <w:noWrap/>
            <w:vAlign w:val="bottom"/>
            <w:hideMark/>
          </w:tcPr>
          <w:p w14:paraId="41A97593" w14:textId="77777777" w:rsidR="00147242" w:rsidRPr="0074154F" w:rsidRDefault="00147242"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1D107102" w14:textId="653CCB57" w:rsidR="00147242" w:rsidRPr="0074154F" w:rsidRDefault="00147242"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w:t>
            </w:r>
            <w:r w:rsidR="00694B80" w:rsidRPr="0074154F">
              <w:rPr>
                <w:rFonts w:ascii="Arial" w:eastAsia="Times New Roman" w:hAnsi="Arial" w:cs="Arial"/>
                <w:b/>
                <w:bCs/>
                <w:color w:val="000000"/>
                <w:sz w:val="20"/>
                <w:szCs w:val="20"/>
                <w:lang w:eastAsia="es-EC"/>
              </w:rPr>
              <w:t>20</w:t>
            </w:r>
          </w:p>
        </w:tc>
        <w:tc>
          <w:tcPr>
            <w:tcW w:w="218" w:type="dxa"/>
            <w:tcBorders>
              <w:top w:val="nil"/>
              <w:left w:val="nil"/>
              <w:bottom w:val="nil"/>
              <w:right w:val="nil"/>
            </w:tcBorders>
          </w:tcPr>
          <w:p w14:paraId="2AFDE11A" w14:textId="77777777" w:rsidR="00147242" w:rsidRPr="0074154F" w:rsidRDefault="00147242" w:rsidP="00413455">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21D6A50" w14:textId="4D557111" w:rsidR="00147242" w:rsidRPr="0074154F" w:rsidRDefault="00147242"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w:t>
            </w:r>
            <w:r w:rsidR="00694B80" w:rsidRPr="0074154F">
              <w:rPr>
                <w:rFonts w:ascii="Arial" w:eastAsia="Times New Roman" w:hAnsi="Arial" w:cs="Arial"/>
                <w:b/>
                <w:bCs/>
                <w:color w:val="000000"/>
                <w:sz w:val="20"/>
                <w:szCs w:val="20"/>
                <w:lang w:eastAsia="es-EC"/>
              </w:rPr>
              <w:t>9</w:t>
            </w:r>
          </w:p>
        </w:tc>
      </w:tr>
      <w:tr w:rsidR="00147242" w:rsidRPr="0074154F" w14:paraId="0C6F746F" w14:textId="77777777" w:rsidTr="00C000B5">
        <w:trPr>
          <w:trHeight w:val="185"/>
          <w:jc w:val="right"/>
        </w:trPr>
        <w:tc>
          <w:tcPr>
            <w:tcW w:w="5272" w:type="dxa"/>
            <w:tcBorders>
              <w:top w:val="nil"/>
              <w:left w:val="nil"/>
              <w:bottom w:val="nil"/>
              <w:right w:val="nil"/>
            </w:tcBorders>
            <w:shd w:val="clear" w:color="auto" w:fill="auto"/>
            <w:noWrap/>
            <w:vAlign w:val="bottom"/>
            <w:hideMark/>
          </w:tcPr>
          <w:p w14:paraId="7B643340" w14:textId="32E54E5A" w:rsidR="00147242" w:rsidRPr="0074154F" w:rsidRDefault="00147242" w:rsidP="004C05BF">
            <w:pPr>
              <w:spacing w:after="0" w:line="240" w:lineRule="auto"/>
              <w:ind w:left="720" w:right="-360" w:hanging="72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4E0F1B01" w14:textId="0EC3B80B" w:rsidR="00147242" w:rsidRPr="0074154F" w:rsidRDefault="00147242" w:rsidP="00413455">
            <w:pPr>
              <w:spacing w:after="0" w:line="240" w:lineRule="auto"/>
              <w:ind w:left="407" w:hanging="407"/>
              <w:rPr>
                <w:rFonts w:ascii="Arial" w:eastAsia="Times New Roman" w:hAnsi="Arial" w:cs="Arial"/>
                <w:sz w:val="20"/>
                <w:szCs w:val="20"/>
                <w:lang w:eastAsia="es-EC"/>
              </w:rPr>
            </w:pPr>
          </w:p>
        </w:tc>
        <w:tc>
          <w:tcPr>
            <w:tcW w:w="218" w:type="dxa"/>
            <w:tcBorders>
              <w:top w:val="nil"/>
              <w:left w:val="nil"/>
              <w:bottom w:val="nil"/>
              <w:right w:val="nil"/>
            </w:tcBorders>
          </w:tcPr>
          <w:p w14:paraId="7C6CC904" w14:textId="77777777" w:rsidR="00147242" w:rsidRPr="0074154F" w:rsidRDefault="00147242" w:rsidP="00413455">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7516F2D9" w14:textId="68B17F48" w:rsidR="00147242" w:rsidRPr="0074154F" w:rsidRDefault="00147242" w:rsidP="00413455">
            <w:pPr>
              <w:spacing w:after="0" w:line="240" w:lineRule="auto"/>
              <w:rPr>
                <w:rFonts w:ascii="Arial" w:eastAsia="Times New Roman" w:hAnsi="Arial" w:cs="Arial"/>
                <w:sz w:val="20"/>
                <w:szCs w:val="20"/>
                <w:lang w:eastAsia="es-EC"/>
              </w:rPr>
            </w:pPr>
          </w:p>
        </w:tc>
      </w:tr>
      <w:tr w:rsidR="00694B80" w:rsidRPr="0074154F" w14:paraId="01A4F124" w14:textId="77777777" w:rsidTr="00DD591B">
        <w:trPr>
          <w:trHeight w:val="183"/>
          <w:jc w:val="right"/>
        </w:trPr>
        <w:tc>
          <w:tcPr>
            <w:tcW w:w="5272" w:type="dxa"/>
            <w:tcBorders>
              <w:top w:val="nil"/>
              <w:left w:val="nil"/>
              <w:bottom w:val="nil"/>
              <w:right w:val="nil"/>
            </w:tcBorders>
            <w:shd w:val="clear" w:color="auto" w:fill="auto"/>
            <w:noWrap/>
            <w:vAlign w:val="bottom"/>
          </w:tcPr>
          <w:p w14:paraId="427773D3" w14:textId="34FCAE9C" w:rsidR="00694B80" w:rsidRPr="0074154F" w:rsidRDefault="00355B6D" w:rsidP="00694B80">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Clientes</w:t>
            </w:r>
          </w:p>
        </w:tc>
        <w:tc>
          <w:tcPr>
            <w:tcW w:w="1502" w:type="dxa"/>
            <w:tcBorders>
              <w:top w:val="nil"/>
              <w:left w:val="nil"/>
              <w:bottom w:val="nil"/>
              <w:right w:val="nil"/>
            </w:tcBorders>
            <w:shd w:val="clear" w:color="auto" w:fill="auto"/>
            <w:noWrap/>
            <w:vAlign w:val="bottom"/>
          </w:tcPr>
          <w:p w14:paraId="7BA336A6" w14:textId="27C9C9E2" w:rsidR="00694B80" w:rsidRPr="0074154F" w:rsidRDefault="00AC7518" w:rsidP="00694B8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22,777,696</w:t>
            </w:r>
          </w:p>
        </w:tc>
        <w:tc>
          <w:tcPr>
            <w:tcW w:w="218" w:type="dxa"/>
            <w:tcBorders>
              <w:top w:val="nil"/>
              <w:left w:val="nil"/>
              <w:bottom w:val="nil"/>
              <w:right w:val="nil"/>
            </w:tcBorders>
          </w:tcPr>
          <w:p w14:paraId="6AD53936" w14:textId="77777777" w:rsidR="00694B80" w:rsidRPr="0074154F" w:rsidRDefault="00694B80" w:rsidP="00694B8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6F6E9DB4" w14:textId="00E892C6" w:rsidR="00694B80" w:rsidRPr="0074154F" w:rsidRDefault="00CE4181" w:rsidP="00694B8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15,698,474</w:t>
            </w:r>
          </w:p>
        </w:tc>
      </w:tr>
      <w:tr w:rsidR="00355B6D" w:rsidRPr="0074154F" w14:paraId="77B6DEA0" w14:textId="77777777" w:rsidTr="00C000B5">
        <w:trPr>
          <w:trHeight w:val="283"/>
          <w:jc w:val="right"/>
        </w:trPr>
        <w:tc>
          <w:tcPr>
            <w:tcW w:w="5272" w:type="dxa"/>
            <w:tcBorders>
              <w:top w:val="nil"/>
              <w:left w:val="nil"/>
              <w:bottom w:val="nil"/>
              <w:right w:val="nil"/>
            </w:tcBorders>
            <w:shd w:val="clear" w:color="auto" w:fill="auto"/>
            <w:noWrap/>
            <w:vAlign w:val="bottom"/>
          </w:tcPr>
          <w:p w14:paraId="372EF439" w14:textId="2ED69DC2" w:rsidR="00355B6D" w:rsidRPr="0074154F" w:rsidRDefault="00355B6D" w:rsidP="00694B80">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Relacionad</w:t>
            </w:r>
            <w:r w:rsidR="002221A8" w:rsidRPr="0074154F">
              <w:rPr>
                <w:rFonts w:ascii="Arial" w:eastAsia="Times New Roman" w:hAnsi="Arial" w:cs="Arial"/>
                <w:color w:val="000000"/>
                <w:sz w:val="20"/>
                <w:szCs w:val="20"/>
                <w:lang w:eastAsia="es-EC"/>
              </w:rPr>
              <w:t>a</w:t>
            </w:r>
            <w:r w:rsidRPr="0074154F">
              <w:rPr>
                <w:rFonts w:ascii="Arial" w:eastAsia="Times New Roman" w:hAnsi="Arial" w:cs="Arial"/>
                <w:color w:val="000000"/>
                <w:sz w:val="20"/>
                <w:szCs w:val="20"/>
                <w:lang w:eastAsia="es-EC"/>
              </w:rPr>
              <w:t>s</w:t>
            </w:r>
            <w:r w:rsidR="007C6900" w:rsidRPr="0074154F">
              <w:rPr>
                <w:rFonts w:ascii="Arial" w:eastAsia="Times New Roman" w:hAnsi="Arial" w:cs="Arial"/>
                <w:color w:val="000000"/>
                <w:sz w:val="20"/>
                <w:szCs w:val="20"/>
                <w:lang w:eastAsia="es-EC"/>
              </w:rPr>
              <w:t>, Nota 2</w:t>
            </w:r>
            <w:r w:rsidR="0049557B" w:rsidRPr="0074154F">
              <w:rPr>
                <w:rFonts w:ascii="Arial" w:eastAsia="Times New Roman" w:hAnsi="Arial" w:cs="Arial"/>
                <w:color w:val="000000"/>
                <w:sz w:val="20"/>
                <w:szCs w:val="20"/>
                <w:lang w:eastAsia="es-EC"/>
              </w:rPr>
              <w:t>9</w:t>
            </w:r>
          </w:p>
        </w:tc>
        <w:tc>
          <w:tcPr>
            <w:tcW w:w="1502" w:type="dxa"/>
            <w:tcBorders>
              <w:top w:val="nil"/>
              <w:left w:val="nil"/>
              <w:bottom w:val="nil"/>
              <w:right w:val="nil"/>
            </w:tcBorders>
            <w:shd w:val="clear" w:color="auto" w:fill="auto"/>
            <w:noWrap/>
            <w:vAlign w:val="bottom"/>
          </w:tcPr>
          <w:p w14:paraId="1F5C05B3" w14:textId="2208B289" w:rsidR="00355B6D" w:rsidRPr="0074154F" w:rsidRDefault="00D63D54" w:rsidP="00694B8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16,0</w:t>
            </w:r>
            <w:r w:rsidR="004D15AC">
              <w:rPr>
                <w:rFonts w:ascii="Arial" w:eastAsia="Times New Roman" w:hAnsi="Arial" w:cs="Arial"/>
                <w:color w:val="000000"/>
                <w:sz w:val="20"/>
                <w:szCs w:val="20"/>
                <w:lang w:val="es-MX" w:eastAsia="es-MX"/>
              </w:rPr>
              <w:t>03,935</w:t>
            </w:r>
          </w:p>
        </w:tc>
        <w:tc>
          <w:tcPr>
            <w:tcW w:w="218" w:type="dxa"/>
            <w:tcBorders>
              <w:top w:val="nil"/>
              <w:left w:val="nil"/>
              <w:bottom w:val="nil"/>
              <w:right w:val="nil"/>
            </w:tcBorders>
          </w:tcPr>
          <w:p w14:paraId="28537973" w14:textId="77777777" w:rsidR="00355B6D" w:rsidRPr="0074154F" w:rsidRDefault="00355B6D" w:rsidP="00694B8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2566E6F4" w14:textId="1FA11F0A" w:rsidR="00355B6D" w:rsidRPr="0074154F" w:rsidRDefault="00CB010B" w:rsidP="00694B8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28,698,473</w:t>
            </w:r>
          </w:p>
        </w:tc>
      </w:tr>
      <w:tr w:rsidR="00E23DE7" w:rsidRPr="0074154F" w14:paraId="56B3416D" w14:textId="77777777" w:rsidTr="00C000B5">
        <w:trPr>
          <w:trHeight w:val="283"/>
          <w:jc w:val="right"/>
        </w:trPr>
        <w:tc>
          <w:tcPr>
            <w:tcW w:w="5272" w:type="dxa"/>
            <w:tcBorders>
              <w:top w:val="nil"/>
              <w:left w:val="nil"/>
              <w:bottom w:val="nil"/>
              <w:right w:val="nil"/>
            </w:tcBorders>
            <w:shd w:val="clear" w:color="auto" w:fill="auto"/>
            <w:noWrap/>
            <w:vAlign w:val="bottom"/>
          </w:tcPr>
          <w:p w14:paraId="52090FB5" w14:textId="7EE01BEE"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Anticipos a proveedores</w:t>
            </w:r>
          </w:p>
        </w:tc>
        <w:tc>
          <w:tcPr>
            <w:tcW w:w="1502" w:type="dxa"/>
            <w:tcBorders>
              <w:top w:val="nil"/>
              <w:left w:val="nil"/>
              <w:bottom w:val="nil"/>
              <w:right w:val="nil"/>
            </w:tcBorders>
            <w:shd w:val="clear" w:color="auto" w:fill="auto"/>
            <w:noWrap/>
            <w:vAlign w:val="bottom"/>
          </w:tcPr>
          <w:p w14:paraId="40AC634D" w14:textId="769C717E" w:rsidR="00E23DE7"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7,031,628</w:t>
            </w:r>
          </w:p>
        </w:tc>
        <w:tc>
          <w:tcPr>
            <w:tcW w:w="218" w:type="dxa"/>
            <w:tcBorders>
              <w:top w:val="nil"/>
              <w:left w:val="nil"/>
              <w:bottom w:val="nil"/>
              <w:right w:val="nil"/>
            </w:tcBorders>
          </w:tcPr>
          <w:p w14:paraId="306A64EE"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7CAEBDC6" w14:textId="6ABAEEAC" w:rsidR="00E23DE7"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2,129,815</w:t>
            </w:r>
          </w:p>
        </w:tc>
      </w:tr>
      <w:tr w:rsidR="00E23DE7" w:rsidRPr="0074154F" w14:paraId="501585D1" w14:textId="77777777" w:rsidTr="00C000B5">
        <w:trPr>
          <w:trHeight w:val="283"/>
          <w:jc w:val="right"/>
        </w:trPr>
        <w:tc>
          <w:tcPr>
            <w:tcW w:w="5272" w:type="dxa"/>
            <w:tcBorders>
              <w:top w:val="nil"/>
              <w:left w:val="nil"/>
              <w:bottom w:val="nil"/>
              <w:right w:val="nil"/>
            </w:tcBorders>
            <w:shd w:val="clear" w:color="auto" w:fill="auto"/>
            <w:noWrap/>
            <w:vAlign w:val="bottom"/>
          </w:tcPr>
          <w:p w14:paraId="309181DF" w14:textId="578F7634"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Negocios y Telefonía </w:t>
            </w:r>
            <w:proofErr w:type="spellStart"/>
            <w:r w:rsidRPr="0074154F">
              <w:rPr>
                <w:rFonts w:ascii="Arial" w:eastAsia="Times New Roman" w:hAnsi="Arial" w:cs="Arial"/>
                <w:color w:val="000000"/>
                <w:sz w:val="20"/>
                <w:szCs w:val="20"/>
                <w:lang w:eastAsia="es-EC"/>
              </w:rPr>
              <w:t>Nedetel</w:t>
            </w:r>
            <w:proofErr w:type="spellEnd"/>
            <w:r w:rsidRPr="0074154F">
              <w:rPr>
                <w:rFonts w:ascii="Arial" w:eastAsia="Times New Roman" w:hAnsi="Arial" w:cs="Arial"/>
                <w:color w:val="000000"/>
                <w:sz w:val="20"/>
                <w:szCs w:val="20"/>
                <w:lang w:eastAsia="es-EC"/>
              </w:rPr>
              <w:t xml:space="preserve"> S.A. </w:t>
            </w:r>
          </w:p>
        </w:tc>
        <w:tc>
          <w:tcPr>
            <w:tcW w:w="1502" w:type="dxa"/>
            <w:tcBorders>
              <w:top w:val="nil"/>
              <w:left w:val="nil"/>
              <w:bottom w:val="nil"/>
              <w:right w:val="nil"/>
            </w:tcBorders>
            <w:shd w:val="clear" w:color="auto" w:fill="auto"/>
            <w:noWrap/>
            <w:vAlign w:val="bottom"/>
          </w:tcPr>
          <w:p w14:paraId="59301077" w14:textId="4B184020"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5,600,000</w:t>
            </w:r>
          </w:p>
        </w:tc>
        <w:tc>
          <w:tcPr>
            <w:tcW w:w="218" w:type="dxa"/>
            <w:tcBorders>
              <w:top w:val="nil"/>
              <w:left w:val="nil"/>
              <w:bottom w:val="nil"/>
              <w:right w:val="nil"/>
            </w:tcBorders>
          </w:tcPr>
          <w:p w14:paraId="23F497D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79731C67" w14:textId="30786D44"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r>
      <w:tr w:rsidR="00E23DE7" w:rsidRPr="0074154F" w14:paraId="03B3C21E" w14:textId="77777777" w:rsidTr="00C000B5">
        <w:trPr>
          <w:trHeight w:val="283"/>
          <w:jc w:val="right"/>
        </w:trPr>
        <w:tc>
          <w:tcPr>
            <w:tcW w:w="5272" w:type="dxa"/>
            <w:tcBorders>
              <w:top w:val="nil"/>
              <w:left w:val="nil"/>
              <w:bottom w:val="nil"/>
              <w:right w:val="nil"/>
            </w:tcBorders>
            <w:shd w:val="clear" w:color="auto" w:fill="auto"/>
            <w:noWrap/>
            <w:vAlign w:val="bottom"/>
          </w:tcPr>
          <w:p w14:paraId="3DFDA3BD" w14:textId="0E39D0A9"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hAnsi="Arial" w:cs="Arial"/>
                <w:sz w:val="20"/>
                <w:szCs w:val="20"/>
              </w:rPr>
              <w:t xml:space="preserve">Servicio de Gestión Inmobiliaria del Sector Público </w:t>
            </w:r>
          </w:p>
        </w:tc>
        <w:tc>
          <w:tcPr>
            <w:tcW w:w="1502" w:type="dxa"/>
            <w:tcBorders>
              <w:top w:val="nil"/>
              <w:left w:val="nil"/>
              <w:bottom w:val="nil"/>
              <w:right w:val="nil"/>
            </w:tcBorders>
            <w:shd w:val="clear" w:color="auto" w:fill="auto"/>
            <w:noWrap/>
            <w:vAlign w:val="bottom"/>
          </w:tcPr>
          <w:p w14:paraId="467F539D" w14:textId="28658179"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4,781,328</w:t>
            </w:r>
          </w:p>
        </w:tc>
        <w:tc>
          <w:tcPr>
            <w:tcW w:w="218" w:type="dxa"/>
            <w:tcBorders>
              <w:top w:val="nil"/>
              <w:left w:val="nil"/>
              <w:bottom w:val="nil"/>
              <w:right w:val="nil"/>
            </w:tcBorders>
          </w:tcPr>
          <w:p w14:paraId="1DB79297"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267F7B8E" w14:textId="4FC1FCD6"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16,287,741</w:t>
            </w:r>
          </w:p>
        </w:tc>
      </w:tr>
      <w:tr w:rsidR="00E23DE7" w:rsidRPr="0074154F" w14:paraId="718F2594" w14:textId="77777777" w:rsidTr="00C000B5">
        <w:trPr>
          <w:trHeight w:val="283"/>
          <w:jc w:val="right"/>
        </w:trPr>
        <w:tc>
          <w:tcPr>
            <w:tcW w:w="5272" w:type="dxa"/>
            <w:tcBorders>
              <w:top w:val="nil"/>
              <w:left w:val="nil"/>
              <w:right w:val="nil"/>
            </w:tcBorders>
            <w:shd w:val="clear" w:color="auto" w:fill="auto"/>
            <w:noWrap/>
            <w:vAlign w:val="bottom"/>
          </w:tcPr>
          <w:p w14:paraId="4A59EC22" w14:textId="291998B5"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Municipios</w:t>
            </w:r>
          </w:p>
        </w:tc>
        <w:tc>
          <w:tcPr>
            <w:tcW w:w="1502" w:type="dxa"/>
            <w:tcBorders>
              <w:top w:val="nil"/>
              <w:left w:val="nil"/>
              <w:right w:val="nil"/>
            </w:tcBorders>
            <w:shd w:val="clear" w:color="auto" w:fill="auto"/>
            <w:noWrap/>
            <w:vAlign w:val="bottom"/>
          </w:tcPr>
          <w:p w14:paraId="76C4C411" w14:textId="6BAD7684"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3,714,958</w:t>
            </w:r>
          </w:p>
        </w:tc>
        <w:tc>
          <w:tcPr>
            <w:tcW w:w="218" w:type="dxa"/>
            <w:tcBorders>
              <w:top w:val="nil"/>
              <w:left w:val="nil"/>
              <w:right w:val="nil"/>
            </w:tcBorders>
          </w:tcPr>
          <w:p w14:paraId="75A2B9B5"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7EBB4691" w14:textId="08F32A3D"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3,729,961</w:t>
            </w:r>
          </w:p>
        </w:tc>
      </w:tr>
      <w:tr w:rsidR="00E23DE7" w:rsidRPr="0074154F" w14:paraId="36732169" w14:textId="77777777" w:rsidTr="00C000B5">
        <w:trPr>
          <w:trHeight w:val="283"/>
          <w:jc w:val="right"/>
        </w:trPr>
        <w:tc>
          <w:tcPr>
            <w:tcW w:w="5272" w:type="dxa"/>
            <w:tcBorders>
              <w:top w:val="nil"/>
              <w:left w:val="nil"/>
              <w:right w:val="nil"/>
            </w:tcBorders>
            <w:shd w:val="clear" w:color="auto" w:fill="auto"/>
            <w:noWrap/>
            <w:vAlign w:val="bottom"/>
          </w:tcPr>
          <w:p w14:paraId="4257E098" w14:textId="10E8E0C9" w:rsidR="00E23DE7" w:rsidRPr="0074154F" w:rsidRDefault="00E23DE7" w:rsidP="00E23DE7">
            <w:pPr>
              <w:spacing w:after="0" w:line="240" w:lineRule="auto"/>
              <w:ind w:left="-7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Cartera diferida</w:t>
            </w:r>
          </w:p>
        </w:tc>
        <w:tc>
          <w:tcPr>
            <w:tcW w:w="1502" w:type="dxa"/>
            <w:tcBorders>
              <w:top w:val="nil"/>
              <w:left w:val="nil"/>
              <w:right w:val="nil"/>
            </w:tcBorders>
            <w:shd w:val="clear" w:color="auto" w:fill="auto"/>
            <w:noWrap/>
            <w:vAlign w:val="bottom"/>
          </w:tcPr>
          <w:p w14:paraId="40500434" w14:textId="34CF0340" w:rsidR="00E23DE7"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2,702,910</w:t>
            </w:r>
          </w:p>
        </w:tc>
        <w:tc>
          <w:tcPr>
            <w:tcW w:w="218" w:type="dxa"/>
            <w:tcBorders>
              <w:top w:val="nil"/>
              <w:left w:val="nil"/>
              <w:right w:val="nil"/>
            </w:tcBorders>
          </w:tcPr>
          <w:p w14:paraId="58BE28B0"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122BD410" w14:textId="04BC72E3" w:rsidR="00E23DE7"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r>
      <w:tr w:rsidR="00E23DE7" w:rsidRPr="0074154F" w14:paraId="046CE70D" w14:textId="77777777" w:rsidTr="00C000B5">
        <w:trPr>
          <w:trHeight w:val="283"/>
          <w:jc w:val="right"/>
        </w:trPr>
        <w:tc>
          <w:tcPr>
            <w:tcW w:w="5272" w:type="dxa"/>
            <w:tcBorders>
              <w:top w:val="nil"/>
              <w:left w:val="nil"/>
              <w:right w:val="nil"/>
            </w:tcBorders>
            <w:shd w:val="clear" w:color="auto" w:fill="auto"/>
            <w:noWrap/>
            <w:vAlign w:val="bottom"/>
          </w:tcPr>
          <w:p w14:paraId="7019CCC4" w14:textId="35B68641" w:rsidR="00E23DE7" w:rsidRPr="0074154F" w:rsidRDefault="00E23DE7" w:rsidP="00E23DE7">
            <w:pPr>
              <w:spacing w:after="0" w:line="240" w:lineRule="auto"/>
              <w:ind w:left="-70"/>
              <w:rPr>
                <w:rFonts w:ascii="Arial" w:eastAsia="Times New Roman" w:hAnsi="Arial" w:cs="Arial"/>
                <w:color w:val="000000"/>
                <w:sz w:val="20"/>
                <w:szCs w:val="20"/>
                <w:lang w:eastAsia="es-EC"/>
              </w:rPr>
            </w:pPr>
            <w:proofErr w:type="spellStart"/>
            <w:r w:rsidRPr="0074154F">
              <w:rPr>
                <w:rFonts w:ascii="Arial" w:eastAsia="Times New Roman" w:hAnsi="Arial" w:cs="Arial"/>
                <w:color w:val="000000"/>
                <w:sz w:val="20"/>
                <w:szCs w:val="20"/>
                <w:lang w:eastAsia="es-EC"/>
              </w:rPr>
              <w:t>Telxius</w:t>
            </w:r>
            <w:proofErr w:type="spellEnd"/>
            <w:r w:rsidRPr="0074154F">
              <w:rPr>
                <w:rFonts w:ascii="Arial" w:eastAsia="Times New Roman" w:hAnsi="Arial" w:cs="Arial"/>
                <w:color w:val="000000"/>
                <w:sz w:val="20"/>
                <w:szCs w:val="20"/>
                <w:lang w:eastAsia="es-EC"/>
              </w:rPr>
              <w:t xml:space="preserve"> Cable España </w:t>
            </w:r>
          </w:p>
        </w:tc>
        <w:tc>
          <w:tcPr>
            <w:tcW w:w="1502" w:type="dxa"/>
            <w:tcBorders>
              <w:top w:val="nil"/>
              <w:left w:val="nil"/>
              <w:right w:val="nil"/>
            </w:tcBorders>
            <w:shd w:val="clear" w:color="auto" w:fill="auto"/>
            <w:noWrap/>
            <w:vAlign w:val="bottom"/>
          </w:tcPr>
          <w:p w14:paraId="28D17663" w14:textId="29812AED"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242,000</w:t>
            </w:r>
          </w:p>
        </w:tc>
        <w:tc>
          <w:tcPr>
            <w:tcW w:w="218" w:type="dxa"/>
            <w:tcBorders>
              <w:top w:val="nil"/>
              <w:left w:val="nil"/>
              <w:right w:val="nil"/>
            </w:tcBorders>
          </w:tcPr>
          <w:p w14:paraId="06B77F1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489482DB" w14:textId="4C9030A0"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r>
      <w:tr w:rsidR="00E23DE7" w:rsidRPr="0074154F" w14:paraId="0902574F" w14:textId="77777777" w:rsidTr="00DD591B">
        <w:trPr>
          <w:trHeight w:val="101"/>
          <w:jc w:val="right"/>
        </w:trPr>
        <w:tc>
          <w:tcPr>
            <w:tcW w:w="5272" w:type="dxa"/>
            <w:tcBorders>
              <w:top w:val="nil"/>
              <w:left w:val="nil"/>
              <w:right w:val="nil"/>
            </w:tcBorders>
            <w:shd w:val="clear" w:color="auto" w:fill="auto"/>
            <w:noWrap/>
            <w:vAlign w:val="bottom"/>
          </w:tcPr>
          <w:p w14:paraId="2CB4598E" w14:textId="0975170B"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Fideicomiso Bosques de los Ceibos</w:t>
            </w:r>
          </w:p>
        </w:tc>
        <w:tc>
          <w:tcPr>
            <w:tcW w:w="1502" w:type="dxa"/>
            <w:tcBorders>
              <w:top w:val="nil"/>
              <w:left w:val="nil"/>
              <w:right w:val="nil"/>
            </w:tcBorders>
            <w:shd w:val="clear" w:color="auto" w:fill="auto"/>
            <w:noWrap/>
            <w:vAlign w:val="bottom"/>
          </w:tcPr>
          <w:p w14:paraId="1DDC6019" w14:textId="4F4AA93A"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229,855</w:t>
            </w:r>
          </w:p>
        </w:tc>
        <w:tc>
          <w:tcPr>
            <w:tcW w:w="218" w:type="dxa"/>
            <w:tcBorders>
              <w:top w:val="nil"/>
              <w:left w:val="nil"/>
              <w:right w:val="nil"/>
            </w:tcBorders>
          </w:tcPr>
          <w:p w14:paraId="2A5F6BC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29B7BE0A" w14:textId="52A652E0"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r>
      <w:tr w:rsidR="00E23DE7" w:rsidRPr="0074154F" w14:paraId="28CF637E" w14:textId="77777777" w:rsidTr="00E23DE7">
        <w:trPr>
          <w:trHeight w:val="234"/>
          <w:jc w:val="right"/>
        </w:trPr>
        <w:tc>
          <w:tcPr>
            <w:tcW w:w="5272" w:type="dxa"/>
            <w:tcBorders>
              <w:top w:val="nil"/>
              <w:left w:val="nil"/>
              <w:right w:val="nil"/>
            </w:tcBorders>
            <w:shd w:val="clear" w:color="auto" w:fill="auto"/>
            <w:noWrap/>
            <w:vAlign w:val="bottom"/>
          </w:tcPr>
          <w:p w14:paraId="0ECBFDC2" w14:textId="60A5CA93"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Otras cuentas por cobrar</w:t>
            </w:r>
          </w:p>
        </w:tc>
        <w:tc>
          <w:tcPr>
            <w:tcW w:w="1502" w:type="dxa"/>
            <w:tcBorders>
              <w:top w:val="nil"/>
              <w:left w:val="nil"/>
              <w:right w:val="nil"/>
            </w:tcBorders>
            <w:shd w:val="clear" w:color="auto" w:fill="auto"/>
            <w:noWrap/>
            <w:vAlign w:val="bottom"/>
          </w:tcPr>
          <w:p w14:paraId="42D2A211" w14:textId="2A59B906"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2,606,470</w:t>
            </w:r>
          </w:p>
        </w:tc>
        <w:tc>
          <w:tcPr>
            <w:tcW w:w="218" w:type="dxa"/>
            <w:tcBorders>
              <w:top w:val="nil"/>
              <w:left w:val="nil"/>
              <w:right w:val="nil"/>
            </w:tcBorders>
          </w:tcPr>
          <w:p w14:paraId="25A02E8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0D26E943" w14:textId="5202D5A1"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2,710,082</w:t>
            </w:r>
          </w:p>
        </w:tc>
      </w:tr>
      <w:tr w:rsidR="00E23DE7" w:rsidRPr="0074154F" w14:paraId="5B033B67" w14:textId="77777777" w:rsidTr="00E23DE7">
        <w:trPr>
          <w:trHeight w:val="95"/>
          <w:jc w:val="right"/>
        </w:trPr>
        <w:tc>
          <w:tcPr>
            <w:tcW w:w="5272" w:type="dxa"/>
            <w:tcBorders>
              <w:top w:val="nil"/>
              <w:left w:val="nil"/>
              <w:right w:val="nil"/>
            </w:tcBorders>
            <w:shd w:val="clear" w:color="auto" w:fill="auto"/>
            <w:noWrap/>
            <w:vAlign w:val="bottom"/>
          </w:tcPr>
          <w:p w14:paraId="1C207F74" w14:textId="6470CAD6"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Deterioro de las cuentas por cobrar</w:t>
            </w:r>
          </w:p>
        </w:tc>
        <w:tc>
          <w:tcPr>
            <w:tcW w:w="1502" w:type="dxa"/>
            <w:tcBorders>
              <w:top w:val="nil"/>
              <w:left w:val="nil"/>
              <w:bottom w:val="single" w:sz="6" w:space="0" w:color="auto"/>
              <w:right w:val="nil"/>
            </w:tcBorders>
            <w:shd w:val="clear" w:color="auto" w:fill="auto"/>
            <w:noWrap/>
            <w:vAlign w:val="bottom"/>
          </w:tcPr>
          <w:p w14:paraId="25C64C1A" w14:textId="50009743" w:rsidR="00E23DE7" w:rsidRPr="0074154F" w:rsidRDefault="00E23DE7" w:rsidP="00E23DE7">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w:t>
            </w:r>
            <w:r>
              <w:rPr>
                <w:rFonts w:ascii="Arial" w:eastAsia="Times New Roman" w:hAnsi="Arial" w:cs="Arial"/>
                <w:sz w:val="20"/>
                <w:szCs w:val="20"/>
                <w:lang w:eastAsia="es-EC"/>
              </w:rPr>
              <w:t>9,735,076</w:t>
            </w:r>
            <w:r w:rsidRPr="0074154F">
              <w:rPr>
                <w:rFonts w:ascii="Arial" w:eastAsia="Times New Roman" w:hAnsi="Arial" w:cs="Arial"/>
                <w:sz w:val="20"/>
                <w:szCs w:val="20"/>
                <w:lang w:eastAsia="es-EC"/>
              </w:rPr>
              <w:t>)</w:t>
            </w:r>
          </w:p>
        </w:tc>
        <w:tc>
          <w:tcPr>
            <w:tcW w:w="218" w:type="dxa"/>
            <w:tcBorders>
              <w:top w:val="nil"/>
              <w:left w:val="nil"/>
              <w:right w:val="nil"/>
            </w:tcBorders>
          </w:tcPr>
          <w:p w14:paraId="562B9D2B"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single" w:sz="6" w:space="0" w:color="auto"/>
              <w:right w:val="nil"/>
            </w:tcBorders>
            <w:shd w:val="clear" w:color="auto" w:fill="auto"/>
            <w:noWrap/>
            <w:vAlign w:val="bottom"/>
          </w:tcPr>
          <w:p w14:paraId="29A93281" w14:textId="44353C28"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r>
              <w:rPr>
                <w:rFonts w:ascii="Arial" w:eastAsia="Times New Roman" w:hAnsi="Arial" w:cs="Arial"/>
                <w:color w:val="000000"/>
                <w:sz w:val="20"/>
                <w:szCs w:val="20"/>
                <w:lang w:val="es-MX" w:eastAsia="es-MX"/>
              </w:rPr>
              <w:t>9,139,780</w:t>
            </w:r>
            <w:r w:rsidRPr="0074154F">
              <w:rPr>
                <w:rFonts w:ascii="Arial" w:eastAsia="Times New Roman" w:hAnsi="Arial" w:cs="Arial"/>
                <w:color w:val="000000"/>
                <w:sz w:val="20"/>
                <w:szCs w:val="20"/>
                <w:lang w:val="es-MX" w:eastAsia="es-MX"/>
              </w:rPr>
              <w:t>)</w:t>
            </w:r>
          </w:p>
        </w:tc>
      </w:tr>
      <w:tr w:rsidR="00E23DE7" w:rsidRPr="0074154F" w14:paraId="7FD5C251" w14:textId="77777777" w:rsidTr="00E23DE7">
        <w:trPr>
          <w:trHeight w:val="177"/>
          <w:jc w:val="right"/>
        </w:trPr>
        <w:tc>
          <w:tcPr>
            <w:tcW w:w="5272" w:type="dxa"/>
            <w:tcBorders>
              <w:top w:val="nil"/>
              <w:left w:val="nil"/>
              <w:bottom w:val="nil"/>
              <w:right w:val="nil"/>
            </w:tcBorders>
            <w:shd w:val="clear" w:color="auto" w:fill="auto"/>
            <w:noWrap/>
            <w:vAlign w:val="bottom"/>
          </w:tcPr>
          <w:p w14:paraId="58F7BC70" w14:textId="77777777" w:rsidR="00E23DE7" w:rsidRPr="0074154F" w:rsidRDefault="00E23DE7" w:rsidP="00E23DE7">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3304F0C7"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2F1E696D"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6" w:space="0" w:color="auto"/>
              <w:left w:val="nil"/>
              <w:right w:val="nil"/>
            </w:tcBorders>
            <w:shd w:val="clear" w:color="auto" w:fill="auto"/>
            <w:noWrap/>
            <w:vAlign w:val="bottom"/>
          </w:tcPr>
          <w:p w14:paraId="0EC6E898" w14:textId="1224F6D8"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r>
      <w:tr w:rsidR="00E23DE7" w:rsidRPr="0074154F" w14:paraId="7396C239" w14:textId="77777777" w:rsidTr="00C000B5">
        <w:trPr>
          <w:trHeight w:val="283"/>
          <w:jc w:val="right"/>
        </w:trPr>
        <w:tc>
          <w:tcPr>
            <w:tcW w:w="5272" w:type="dxa"/>
            <w:tcBorders>
              <w:top w:val="nil"/>
              <w:left w:val="nil"/>
              <w:bottom w:val="nil"/>
              <w:right w:val="nil"/>
            </w:tcBorders>
            <w:shd w:val="clear" w:color="auto" w:fill="auto"/>
            <w:noWrap/>
            <w:vAlign w:val="bottom"/>
          </w:tcPr>
          <w:p w14:paraId="1AD5C341" w14:textId="721DA240" w:rsidR="00E23DE7" w:rsidRPr="0074154F" w:rsidRDefault="00E23DE7" w:rsidP="00E23DE7">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Total</w:t>
            </w:r>
          </w:p>
        </w:tc>
        <w:tc>
          <w:tcPr>
            <w:tcW w:w="1502" w:type="dxa"/>
            <w:tcBorders>
              <w:left w:val="nil"/>
              <w:bottom w:val="double" w:sz="4" w:space="0" w:color="auto"/>
              <w:right w:val="nil"/>
            </w:tcBorders>
            <w:shd w:val="clear" w:color="auto" w:fill="auto"/>
            <w:noWrap/>
            <w:vAlign w:val="bottom"/>
          </w:tcPr>
          <w:p w14:paraId="15B067F0" w14:textId="76262652"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55,955,704</w:t>
            </w:r>
          </w:p>
        </w:tc>
        <w:tc>
          <w:tcPr>
            <w:tcW w:w="218" w:type="dxa"/>
            <w:tcBorders>
              <w:left w:val="nil"/>
              <w:right w:val="nil"/>
            </w:tcBorders>
          </w:tcPr>
          <w:p w14:paraId="13001F66"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5184ED77" w14:textId="78F8A286"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eastAsia="es-EC"/>
              </w:rPr>
              <w:t>60,114,786</w:t>
            </w:r>
          </w:p>
        </w:tc>
      </w:tr>
      <w:tr w:rsidR="00E23DE7" w:rsidRPr="0074154F" w14:paraId="358DC1AE" w14:textId="77777777" w:rsidTr="00B219FF">
        <w:trPr>
          <w:trHeight w:val="207"/>
          <w:jc w:val="right"/>
        </w:trPr>
        <w:tc>
          <w:tcPr>
            <w:tcW w:w="5272" w:type="dxa"/>
            <w:tcBorders>
              <w:top w:val="nil"/>
              <w:left w:val="nil"/>
              <w:right w:val="nil"/>
            </w:tcBorders>
            <w:shd w:val="clear" w:color="auto" w:fill="auto"/>
            <w:noWrap/>
            <w:vAlign w:val="bottom"/>
          </w:tcPr>
          <w:p w14:paraId="6BF068D6" w14:textId="77777777" w:rsidR="00E23DE7" w:rsidRPr="0074154F" w:rsidRDefault="00E23DE7" w:rsidP="00E23DE7">
            <w:pPr>
              <w:spacing w:after="0" w:line="240" w:lineRule="auto"/>
              <w:ind w:left="-70"/>
              <w:rPr>
                <w:rFonts w:ascii="Arial" w:eastAsia="Times New Roman" w:hAnsi="Arial" w:cs="Arial"/>
                <w:color w:val="000000"/>
                <w:sz w:val="20"/>
                <w:szCs w:val="20"/>
                <w:lang w:eastAsia="es-MX"/>
              </w:rPr>
            </w:pPr>
          </w:p>
        </w:tc>
        <w:tc>
          <w:tcPr>
            <w:tcW w:w="1502" w:type="dxa"/>
            <w:tcBorders>
              <w:top w:val="double" w:sz="4" w:space="0" w:color="auto"/>
              <w:left w:val="nil"/>
              <w:right w:val="nil"/>
            </w:tcBorders>
            <w:shd w:val="clear" w:color="auto" w:fill="auto"/>
            <w:noWrap/>
            <w:vAlign w:val="bottom"/>
          </w:tcPr>
          <w:p w14:paraId="00F2CFFC"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7E219BE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double" w:sz="4" w:space="0" w:color="auto"/>
              <w:left w:val="nil"/>
              <w:right w:val="nil"/>
            </w:tcBorders>
            <w:shd w:val="clear" w:color="auto" w:fill="auto"/>
            <w:noWrap/>
            <w:vAlign w:val="bottom"/>
          </w:tcPr>
          <w:p w14:paraId="6A68122A"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r>
      <w:tr w:rsidR="00E23DE7" w:rsidRPr="0074154F" w14:paraId="078B5474" w14:textId="77777777" w:rsidTr="00B219FF">
        <w:trPr>
          <w:trHeight w:val="259"/>
          <w:jc w:val="right"/>
        </w:trPr>
        <w:tc>
          <w:tcPr>
            <w:tcW w:w="5272" w:type="dxa"/>
            <w:tcBorders>
              <w:top w:val="nil"/>
              <w:left w:val="nil"/>
              <w:bottom w:val="nil"/>
              <w:right w:val="nil"/>
            </w:tcBorders>
            <w:shd w:val="clear" w:color="auto" w:fill="auto"/>
            <w:noWrap/>
            <w:vAlign w:val="bottom"/>
          </w:tcPr>
          <w:p w14:paraId="75A341BB" w14:textId="5BDDDACD" w:rsidR="00E23DE7" w:rsidRPr="0074154F" w:rsidRDefault="00B219FF" w:rsidP="00E23DE7">
            <w:pPr>
              <w:spacing w:after="0" w:line="240" w:lineRule="auto"/>
              <w:ind w:left="-70"/>
              <w:rPr>
                <w:rFonts w:ascii="Arial" w:eastAsia="Times New Roman" w:hAnsi="Arial" w:cs="Arial"/>
                <w:b/>
                <w:bCs/>
                <w:color w:val="000000"/>
                <w:sz w:val="20"/>
                <w:szCs w:val="20"/>
                <w:u w:val="single"/>
                <w:lang w:eastAsia="es-MX"/>
              </w:rPr>
            </w:pPr>
            <w:r w:rsidRPr="00E23DE7">
              <w:rPr>
                <w:rFonts w:ascii="Arial" w:eastAsia="Times New Roman" w:hAnsi="Arial" w:cs="Arial"/>
                <w:i/>
                <w:iCs/>
                <w:color w:val="000000"/>
                <w:sz w:val="20"/>
                <w:szCs w:val="20"/>
                <w:u w:val="single"/>
                <w:lang w:eastAsia="es-MX"/>
              </w:rPr>
              <w:t>Clasificación</w:t>
            </w:r>
            <w:r w:rsidRPr="0074154F">
              <w:rPr>
                <w:rFonts w:ascii="Arial" w:eastAsia="Times New Roman" w:hAnsi="Arial" w:cs="Arial"/>
                <w:color w:val="000000"/>
                <w:sz w:val="20"/>
                <w:szCs w:val="20"/>
                <w:lang w:eastAsia="es-MX"/>
              </w:rPr>
              <w:t>:</w:t>
            </w:r>
          </w:p>
        </w:tc>
        <w:tc>
          <w:tcPr>
            <w:tcW w:w="1502" w:type="dxa"/>
            <w:tcBorders>
              <w:left w:val="nil"/>
              <w:right w:val="nil"/>
            </w:tcBorders>
            <w:shd w:val="clear" w:color="auto" w:fill="auto"/>
            <w:noWrap/>
            <w:vAlign w:val="bottom"/>
          </w:tcPr>
          <w:p w14:paraId="131DA383"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7316A6BD"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right w:val="nil"/>
            </w:tcBorders>
            <w:shd w:val="clear" w:color="auto" w:fill="auto"/>
            <w:noWrap/>
            <w:vAlign w:val="bottom"/>
          </w:tcPr>
          <w:p w14:paraId="47078BC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r>
      <w:tr w:rsidR="00E23DE7" w:rsidRPr="0074154F" w14:paraId="67915A9E" w14:textId="77777777" w:rsidTr="00E23DE7">
        <w:trPr>
          <w:trHeight w:val="283"/>
          <w:jc w:val="right"/>
        </w:trPr>
        <w:tc>
          <w:tcPr>
            <w:tcW w:w="5272" w:type="dxa"/>
            <w:tcBorders>
              <w:top w:val="nil"/>
              <w:left w:val="nil"/>
              <w:bottom w:val="nil"/>
              <w:right w:val="nil"/>
            </w:tcBorders>
            <w:shd w:val="clear" w:color="auto" w:fill="auto"/>
            <w:noWrap/>
            <w:vAlign w:val="bottom"/>
          </w:tcPr>
          <w:p w14:paraId="5348CCA7" w14:textId="40E03D00" w:rsidR="00E23DE7" w:rsidRPr="0074154F" w:rsidRDefault="00E23DE7" w:rsidP="00E23DE7">
            <w:pPr>
              <w:spacing w:after="0" w:line="240" w:lineRule="auto"/>
              <w:ind w:left="-70"/>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 xml:space="preserve">   Corriente</w:t>
            </w:r>
          </w:p>
        </w:tc>
        <w:tc>
          <w:tcPr>
            <w:tcW w:w="1502" w:type="dxa"/>
            <w:tcBorders>
              <w:left w:val="nil"/>
              <w:right w:val="nil"/>
            </w:tcBorders>
            <w:shd w:val="clear" w:color="auto" w:fill="auto"/>
            <w:noWrap/>
            <w:vAlign w:val="bottom"/>
          </w:tcPr>
          <w:p w14:paraId="2ADFFCA9" w14:textId="6739719E"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49,237,005</w:t>
            </w:r>
          </w:p>
        </w:tc>
        <w:tc>
          <w:tcPr>
            <w:tcW w:w="218" w:type="dxa"/>
            <w:tcBorders>
              <w:left w:val="nil"/>
              <w:right w:val="nil"/>
            </w:tcBorders>
          </w:tcPr>
          <w:p w14:paraId="6DEC98A3"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right w:val="nil"/>
            </w:tcBorders>
            <w:shd w:val="clear" w:color="auto" w:fill="auto"/>
            <w:noWrap/>
            <w:vAlign w:val="bottom"/>
          </w:tcPr>
          <w:p w14:paraId="28A89CBA" w14:textId="1632BC2B"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52,002,578</w:t>
            </w:r>
          </w:p>
        </w:tc>
      </w:tr>
      <w:tr w:rsidR="00E23DE7" w:rsidRPr="0074154F" w14:paraId="09D56CE1" w14:textId="77777777" w:rsidTr="00E23DE7">
        <w:trPr>
          <w:trHeight w:val="283"/>
          <w:jc w:val="right"/>
        </w:trPr>
        <w:tc>
          <w:tcPr>
            <w:tcW w:w="5272" w:type="dxa"/>
            <w:tcBorders>
              <w:top w:val="nil"/>
              <w:left w:val="nil"/>
              <w:bottom w:val="nil"/>
              <w:right w:val="nil"/>
            </w:tcBorders>
            <w:shd w:val="clear" w:color="auto" w:fill="auto"/>
            <w:noWrap/>
            <w:vAlign w:val="bottom"/>
          </w:tcPr>
          <w:p w14:paraId="29D01784" w14:textId="7636D695" w:rsidR="00E23DE7" w:rsidRPr="0074154F" w:rsidRDefault="00E23DE7" w:rsidP="00E23DE7">
            <w:pPr>
              <w:spacing w:after="0" w:line="240" w:lineRule="auto"/>
              <w:ind w:left="-70"/>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 xml:space="preserve">   No corriente </w:t>
            </w:r>
          </w:p>
        </w:tc>
        <w:tc>
          <w:tcPr>
            <w:tcW w:w="1502" w:type="dxa"/>
            <w:tcBorders>
              <w:left w:val="nil"/>
              <w:bottom w:val="single" w:sz="6" w:space="0" w:color="auto"/>
              <w:right w:val="nil"/>
            </w:tcBorders>
            <w:shd w:val="clear" w:color="auto" w:fill="auto"/>
            <w:noWrap/>
            <w:vAlign w:val="bottom"/>
          </w:tcPr>
          <w:p w14:paraId="2F22FA52" w14:textId="118E07E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6,718,699</w:t>
            </w:r>
          </w:p>
        </w:tc>
        <w:tc>
          <w:tcPr>
            <w:tcW w:w="218" w:type="dxa"/>
            <w:tcBorders>
              <w:left w:val="nil"/>
              <w:right w:val="nil"/>
            </w:tcBorders>
          </w:tcPr>
          <w:p w14:paraId="6BE9EDAF"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single" w:sz="6" w:space="0" w:color="auto"/>
              <w:right w:val="nil"/>
            </w:tcBorders>
            <w:shd w:val="clear" w:color="auto" w:fill="auto"/>
            <w:noWrap/>
            <w:vAlign w:val="bottom"/>
          </w:tcPr>
          <w:p w14:paraId="085040DF" w14:textId="05E0E2B9"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8,112,188</w:t>
            </w:r>
          </w:p>
        </w:tc>
      </w:tr>
      <w:tr w:rsidR="00E23DE7" w:rsidRPr="0074154F" w14:paraId="14C0A8A2" w14:textId="77777777" w:rsidTr="00E23DE7">
        <w:trPr>
          <w:trHeight w:val="283"/>
          <w:jc w:val="right"/>
        </w:trPr>
        <w:tc>
          <w:tcPr>
            <w:tcW w:w="5272" w:type="dxa"/>
            <w:tcBorders>
              <w:top w:val="nil"/>
              <w:left w:val="nil"/>
              <w:bottom w:val="nil"/>
              <w:right w:val="nil"/>
            </w:tcBorders>
            <w:shd w:val="clear" w:color="auto" w:fill="auto"/>
            <w:noWrap/>
            <w:vAlign w:val="bottom"/>
          </w:tcPr>
          <w:p w14:paraId="0C3BECDB" w14:textId="77777777" w:rsidR="00E23DE7" w:rsidRPr="0074154F" w:rsidRDefault="00E23DE7" w:rsidP="00E23DE7">
            <w:pPr>
              <w:spacing w:after="0" w:line="240" w:lineRule="auto"/>
              <w:ind w:left="-70"/>
              <w:rPr>
                <w:rFonts w:ascii="Arial" w:eastAsia="Times New Roman" w:hAnsi="Arial" w:cs="Arial"/>
                <w:color w:val="000000"/>
                <w:sz w:val="20"/>
                <w:szCs w:val="20"/>
                <w:lang w:eastAsia="es-MX"/>
              </w:rPr>
            </w:pPr>
          </w:p>
        </w:tc>
        <w:tc>
          <w:tcPr>
            <w:tcW w:w="1502" w:type="dxa"/>
            <w:tcBorders>
              <w:top w:val="single" w:sz="6" w:space="0" w:color="auto"/>
              <w:left w:val="nil"/>
              <w:right w:val="nil"/>
            </w:tcBorders>
            <w:shd w:val="clear" w:color="auto" w:fill="auto"/>
            <w:noWrap/>
            <w:vAlign w:val="bottom"/>
          </w:tcPr>
          <w:p w14:paraId="71FA3B1D"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27BAB229"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6" w:space="0" w:color="auto"/>
              <w:left w:val="nil"/>
              <w:right w:val="nil"/>
            </w:tcBorders>
            <w:shd w:val="clear" w:color="auto" w:fill="auto"/>
            <w:noWrap/>
            <w:vAlign w:val="bottom"/>
          </w:tcPr>
          <w:p w14:paraId="405194A7"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p>
        </w:tc>
      </w:tr>
      <w:tr w:rsidR="00E23DE7" w:rsidRPr="0074154F" w14:paraId="50733C00" w14:textId="77777777" w:rsidTr="00C000B5">
        <w:trPr>
          <w:trHeight w:val="283"/>
          <w:jc w:val="right"/>
        </w:trPr>
        <w:tc>
          <w:tcPr>
            <w:tcW w:w="5272" w:type="dxa"/>
            <w:tcBorders>
              <w:top w:val="nil"/>
              <w:left w:val="nil"/>
              <w:bottom w:val="nil"/>
              <w:right w:val="nil"/>
            </w:tcBorders>
            <w:shd w:val="clear" w:color="auto" w:fill="auto"/>
            <w:noWrap/>
            <w:vAlign w:val="bottom"/>
          </w:tcPr>
          <w:p w14:paraId="5004259E" w14:textId="3D388CB0" w:rsidR="00E23DE7" w:rsidRPr="0074154F" w:rsidRDefault="00E23DE7" w:rsidP="00E23DE7">
            <w:pPr>
              <w:spacing w:after="0" w:line="240" w:lineRule="auto"/>
              <w:ind w:left="-70"/>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Total</w:t>
            </w:r>
          </w:p>
        </w:tc>
        <w:tc>
          <w:tcPr>
            <w:tcW w:w="1502" w:type="dxa"/>
            <w:tcBorders>
              <w:left w:val="nil"/>
              <w:bottom w:val="double" w:sz="4" w:space="0" w:color="auto"/>
              <w:right w:val="nil"/>
            </w:tcBorders>
            <w:shd w:val="clear" w:color="auto" w:fill="auto"/>
            <w:noWrap/>
            <w:vAlign w:val="bottom"/>
          </w:tcPr>
          <w:p w14:paraId="4A23FDDB" w14:textId="3DF52EDB"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55,955,704</w:t>
            </w:r>
          </w:p>
        </w:tc>
        <w:tc>
          <w:tcPr>
            <w:tcW w:w="218" w:type="dxa"/>
            <w:tcBorders>
              <w:left w:val="nil"/>
              <w:right w:val="nil"/>
            </w:tcBorders>
          </w:tcPr>
          <w:p w14:paraId="61CEA421" w14:textId="77777777"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4F7B8391" w14:textId="0420982C" w:rsidR="00E23DE7" w:rsidRPr="0074154F" w:rsidRDefault="00E23DE7" w:rsidP="00E23DE7">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60,114,766</w:t>
            </w:r>
          </w:p>
        </w:tc>
      </w:tr>
    </w:tbl>
    <w:p w14:paraId="290386BB" w14:textId="098B46D5" w:rsidR="00BA2501" w:rsidRPr="0074154F" w:rsidRDefault="00BA2501" w:rsidP="00413455">
      <w:pPr>
        <w:tabs>
          <w:tab w:val="left" w:pos="1276"/>
        </w:tabs>
        <w:spacing w:after="0" w:line="240" w:lineRule="auto"/>
        <w:ind w:left="567"/>
        <w:contextualSpacing/>
        <w:jc w:val="both"/>
        <w:rPr>
          <w:rFonts w:ascii="Arial" w:hAnsi="Arial" w:cs="Arial"/>
          <w:sz w:val="12"/>
          <w:szCs w:val="12"/>
        </w:rPr>
      </w:pPr>
    </w:p>
    <w:p w14:paraId="16CA2439" w14:textId="47DE893B" w:rsidR="00BB5971" w:rsidRDefault="00BB5971" w:rsidP="00A6750A">
      <w:pPr>
        <w:pStyle w:val="ListParagraph"/>
        <w:spacing w:after="0" w:line="240" w:lineRule="auto"/>
        <w:ind w:left="851" w:right="-1" w:hanging="284"/>
        <w:contextualSpacing w:val="0"/>
        <w:jc w:val="both"/>
        <w:rPr>
          <w:rFonts w:ascii="Arial" w:hAnsi="Arial" w:cs="Arial"/>
          <w:sz w:val="20"/>
          <w:szCs w:val="20"/>
        </w:rPr>
      </w:pPr>
    </w:p>
    <w:p w14:paraId="3F4384CF" w14:textId="1C4AD404" w:rsidR="00511A9E" w:rsidRDefault="00511A9E" w:rsidP="00A6750A">
      <w:pPr>
        <w:pStyle w:val="ListParagraph"/>
        <w:spacing w:after="0" w:line="240" w:lineRule="auto"/>
        <w:ind w:left="851" w:right="-1" w:hanging="284"/>
        <w:contextualSpacing w:val="0"/>
        <w:jc w:val="both"/>
        <w:rPr>
          <w:rFonts w:ascii="Arial" w:hAnsi="Arial" w:cs="Arial"/>
          <w:sz w:val="20"/>
          <w:szCs w:val="20"/>
        </w:rPr>
      </w:pPr>
    </w:p>
    <w:p w14:paraId="7DB4569F" w14:textId="77777777" w:rsidR="00511A9E" w:rsidRPr="0074154F" w:rsidRDefault="00511A9E" w:rsidP="00A6750A">
      <w:pPr>
        <w:pStyle w:val="ListParagraph"/>
        <w:spacing w:after="0" w:line="240" w:lineRule="auto"/>
        <w:ind w:left="851" w:right="-1" w:hanging="284"/>
        <w:contextualSpacing w:val="0"/>
        <w:jc w:val="both"/>
        <w:rPr>
          <w:rFonts w:ascii="Arial" w:hAnsi="Arial" w:cs="Arial"/>
          <w:sz w:val="20"/>
          <w:szCs w:val="20"/>
        </w:rPr>
      </w:pPr>
    </w:p>
    <w:p w14:paraId="1482F148" w14:textId="099AE830" w:rsidR="00A6750A" w:rsidRPr="0074154F" w:rsidRDefault="00A6750A" w:rsidP="00A6750A">
      <w:pPr>
        <w:pStyle w:val="ListParagraph"/>
        <w:spacing w:after="0" w:line="240" w:lineRule="auto"/>
        <w:ind w:left="851" w:right="-1" w:hanging="284"/>
        <w:contextualSpacing w:val="0"/>
        <w:jc w:val="both"/>
        <w:rPr>
          <w:rFonts w:ascii="Arial" w:hAnsi="Arial" w:cs="Arial"/>
          <w:sz w:val="20"/>
          <w:szCs w:val="20"/>
        </w:rPr>
      </w:pPr>
      <w:r w:rsidRPr="0074154F">
        <w:rPr>
          <w:rFonts w:ascii="Arial" w:hAnsi="Arial" w:cs="Arial"/>
          <w:sz w:val="20"/>
          <w:szCs w:val="20"/>
        </w:rPr>
        <w:lastRenderedPageBreak/>
        <w:t>El movimiento comparativo de la antigüedad de las cuentas por cobrar clientes es como sigue:</w:t>
      </w:r>
    </w:p>
    <w:p w14:paraId="030D8B1E" w14:textId="073387DD" w:rsidR="00A6750A" w:rsidRPr="0074154F" w:rsidRDefault="00A6750A" w:rsidP="00413455">
      <w:pPr>
        <w:tabs>
          <w:tab w:val="left" w:pos="1276"/>
        </w:tabs>
        <w:spacing w:after="0" w:line="240" w:lineRule="auto"/>
        <w:ind w:left="567"/>
        <w:contextualSpacing/>
        <w:jc w:val="both"/>
        <w:rPr>
          <w:rFonts w:ascii="Arial" w:hAnsi="Arial" w:cs="Arial"/>
          <w:sz w:val="20"/>
          <w:szCs w:val="20"/>
        </w:rPr>
      </w:pPr>
    </w:p>
    <w:tbl>
      <w:tblPr>
        <w:tblW w:w="8494" w:type="dxa"/>
        <w:jc w:val="right"/>
        <w:tblCellMar>
          <w:left w:w="70" w:type="dxa"/>
          <w:right w:w="70" w:type="dxa"/>
        </w:tblCellMar>
        <w:tblLook w:val="04A0" w:firstRow="1" w:lastRow="0" w:firstColumn="1" w:lastColumn="0" w:noHBand="0" w:noVBand="1"/>
      </w:tblPr>
      <w:tblGrid>
        <w:gridCol w:w="4862"/>
        <w:gridCol w:w="2031"/>
        <w:gridCol w:w="146"/>
        <w:gridCol w:w="2031"/>
      </w:tblGrid>
      <w:tr w:rsidR="00A6750A" w:rsidRPr="0074154F" w14:paraId="51F7333B" w14:textId="77777777" w:rsidTr="002734A0">
        <w:trPr>
          <w:trHeight w:val="283"/>
          <w:jc w:val="right"/>
        </w:trPr>
        <w:tc>
          <w:tcPr>
            <w:tcW w:w="5272" w:type="dxa"/>
            <w:tcBorders>
              <w:top w:val="nil"/>
              <w:left w:val="nil"/>
              <w:bottom w:val="nil"/>
              <w:right w:val="nil"/>
            </w:tcBorders>
            <w:shd w:val="clear" w:color="auto" w:fill="auto"/>
            <w:noWrap/>
            <w:vAlign w:val="bottom"/>
            <w:hideMark/>
          </w:tcPr>
          <w:p w14:paraId="6E24922C" w14:textId="77777777" w:rsidR="00A6750A" w:rsidRPr="0074154F" w:rsidRDefault="00A6750A" w:rsidP="002734A0">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C089767" w14:textId="77777777" w:rsidR="00A6750A" w:rsidRPr="0074154F" w:rsidRDefault="00A6750A" w:rsidP="002734A0">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18" w:type="dxa"/>
            <w:tcBorders>
              <w:top w:val="nil"/>
              <w:left w:val="nil"/>
              <w:bottom w:val="nil"/>
              <w:right w:val="nil"/>
            </w:tcBorders>
          </w:tcPr>
          <w:p w14:paraId="40A4EFCF" w14:textId="77777777" w:rsidR="00A6750A" w:rsidRPr="0074154F" w:rsidRDefault="00A6750A" w:rsidP="002734A0">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1290A42E" w14:textId="77777777" w:rsidR="00A6750A" w:rsidRPr="0074154F" w:rsidRDefault="00A6750A" w:rsidP="002734A0">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A6750A" w:rsidRPr="0074154F" w14:paraId="11CFAEBA" w14:textId="77777777" w:rsidTr="009348A9">
        <w:trPr>
          <w:trHeight w:val="120"/>
          <w:jc w:val="right"/>
        </w:trPr>
        <w:tc>
          <w:tcPr>
            <w:tcW w:w="5272" w:type="dxa"/>
            <w:tcBorders>
              <w:top w:val="nil"/>
              <w:left w:val="nil"/>
              <w:bottom w:val="nil"/>
              <w:right w:val="nil"/>
            </w:tcBorders>
            <w:shd w:val="clear" w:color="auto" w:fill="auto"/>
            <w:noWrap/>
            <w:vAlign w:val="bottom"/>
            <w:hideMark/>
          </w:tcPr>
          <w:p w14:paraId="137532F5" w14:textId="77777777" w:rsidR="00A6750A" w:rsidRPr="0074154F" w:rsidRDefault="00A6750A" w:rsidP="002734A0">
            <w:pPr>
              <w:spacing w:after="0" w:line="240" w:lineRule="auto"/>
              <w:ind w:left="-70" w:right="-36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12309049" w14:textId="77777777" w:rsidR="00A6750A" w:rsidRPr="0074154F" w:rsidRDefault="00A6750A" w:rsidP="002734A0">
            <w:pPr>
              <w:spacing w:after="0" w:line="240" w:lineRule="auto"/>
              <w:ind w:left="407" w:hanging="407"/>
              <w:rPr>
                <w:rFonts w:ascii="Arial" w:eastAsia="Times New Roman" w:hAnsi="Arial" w:cs="Arial"/>
                <w:sz w:val="20"/>
                <w:szCs w:val="20"/>
                <w:lang w:eastAsia="es-EC"/>
              </w:rPr>
            </w:pPr>
          </w:p>
        </w:tc>
        <w:tc>
          <w:tcPr>
            <w:tcW w:w="218" w:type="dxa"/>
            <w:tcBorders>
              <w:top w:val="nil"/>
              <w:left w:val="nil"/>
              <w:bottom w:val="nil"/>
              <w:right w:val="nil"/>
            </w:tcBorders>
          </w:tcPr>
          <w:p w14:paraId="6C1C0B98" w14:textId="77777777" w:rsidR="00A6750A" w:rsidRPr="0074154F" w:rsidRDefault="00A6750A" w:rsidP="002734A0">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0AF5C693" w14:textId="77777777" w:rsidR="00A6750A" w:rsidRPr="0074154F" w:rsidRDefault="00A6750A" w:rsidP="002734A0">
            <w:pPr>
              <w:spacing w:after="0" w:line="240" w:lineRule="auto"/>
              <w:rPr>
                <w:rFonts w:ascii="Arial" w:eastAsia="Times New Roman" w:hAnsi="Arial" w:cs="Arial"/>
                <w:sz w:val="20"/>
                <w:szCs w:val="20"/>
                <w:lang w:eastAsia="es-EC"/>
              </w:rPr>
            </w:pPr>
          </w:p>
        </w:tc>
      </w:tr>
      <w:tr w:rsidR="00A6750A" w:rsidRPr="0074154F" w14:paraId="53B6EC02" w14:textId="77777777" w:rsidTr="009348A9">
        <w:trPr>
          <w:trHeight w:val="172"/>
          <w:jc w:val="right"/>
        </w:trPr>
        <w:tc>
          <w:tcPr>
            <w:tcW w:w="5272" w:type="dxa"/>
            <w:tcBorders>
              <w:top w:val="nil"/>
              <w:left w:val="nil"/>
              <w:bottom w:val="nil"/>
              <w:right w:val="nil"/>
            </w:tcBorders>
            <w:shd w:val="clear" w:color="auto" w:fill="auto"/>
            <w:noWrap/>
            <w:vAlign w:val="bottom"/>
          </w:tcPr>
          <w:p w14:paraId="676EC752" w14:textId="78AF3570" w:rsidR="00A6750A" w:rsidRPr="0074154F" w:rsidRDefault="00A6750A" w:rsidP="002734A0">
            <w:pPr>
              <w:spacing w:after="0" w:line="240" w:lineRule="auto"/>
              <w:ind w:left="-70"/>
              <w:rPr>
                <w:rFonts w:ascii="Arial" w:eastAsia="Times New Roman" w:hAnsi="Arial" w:cs="Arial"/>
                <w:i/>
                <w:iCs/>
                <w:color w:val="000000"/>
                <w:sz w:val="20"/>
                <w:szCs w:val="20"/>
                <w:u w:val="single"/>
                <w:lang w:val="es-MX" w:eastAsia="es-MX"/>
              </w:rPr>
            </w:pPr>
            <w:r w:rsidRPr="0074154F">
              <w:rPr>
                <w:rFonts w:ascii="Arial" w:eastAsia="Times New Roman" w:hAnsi="Arial" w:cs="Arial"/>
                <w:i/>
                <w:iCs/>
                <w:color w:val="000000"/>
                <w:sz w:val="20"/>
                <w:szCs w:val="20"/>
                <w:u w:val="single"/>
                <w:lang w:val="es-MX" w:eastAsia="es-MX"/>
              </w:rPr>
              <w:t>Por vencer</w:t>
            </w:r>
            <w:r w:rsidRPr="0074154F">
              <w:rPr>
                <w:rFonts w:ascii="Arial" w:eastAsia="Times New Roman" w:hAnsi="Arial" w:cs="Arial"/>
                <w:i/>
                <w:iCs/>
                <w:color w:val="000000"/>
                <w:sz w:val="20"/>
                <w:szCs w:val="20"/>
                <w:lang w:val="es-MX" w:eastAsia="es-MX"/>
              </w:rPr>
              <w:t>:</w:t>
            </w:r>
          </w:p>
        </w:tc>
        <w:tc>
          <w:tcPr>
            <w:tcW w:w="1502" w:type="dxa"/>
            <w:tcBorders>
              <w:top w:val="nil"/>
              <w:left w:val="nil"/>
              <w:bottom w:val="nil"/>
              <w:right w:val="nil"/>
            </w:tcBorders>
            <w:shd w:val="clear" w:color="auto" w:fill="auto"/>
            <w:noWrap/>
            <w:vAlign w:val="bottom"/>
          </w:tcPr>
          <w:p w14:paraId="1FE18602" w14:textId="79A34D58" w:rsidR="00A6750A" w:rsidRPr="0074154F" w:rsidRDefault="00E72A0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c>
          <w:tcPr>
            <w:tcW w:w="218" w:type="dxa"/>
            <w:tcBorders>
              <w:top w:val="nil"/>
              <w:left w:val="nil"/>
              <w:bottom w:val="nil"/>
              <w:right w:val="nil"/>
            </w:tcBorders>
          </w:tcPr>
          <w:p w14:paraId="29DEBFD0"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6171542B" w14:textId="0DBF1DE9"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4,823,198</w:t>
            </w:r>
          </w:p>
        </w:tc>
      </w:tr>
      <w:tr w:rsidR="000F24D2" w:rsidRPr="0074154F" w14:paraId="062F134A" w14:textId="77777777" w:rsidTr="009348A9">
        <w:trPr>
          <w:trHeight w:val="121"/>
          <w:jc w:val="right"/>
        </w:trPr>
        <w:tc>
          <w:tcPr>
            <w:tcW w:w="5272" w:type="dxa"/>
            <w:tcBorders>
              <w:top w:val="nil"/>
              <w:left w:val="nil"/>
              <w:bottom w:val="nil"/>
              <w:right w:val="nil"/>
            </w:tcBorders>
            <w:shd w:val="clear" w:color="auto" w:fill="auto"/>
            <w:noWrap/>
            <w:vAlign w:val="bottom"/>
          </w:tcPr>
          <w:p w14:paraId="2C832DA4" w14:textId="77777777" w:rsidR="000F24D2" w:rsidRPr="0074154F" w:rsidRDefault="000F24D2" w:rsidP="002734A0">
            <w:pPr>
              <w:spacing w:after="0" w:line="240" w:lineRule="auto"/>
              <w:ind w:left="-70"/>
              <w:rPr>
                <w:rFonts w:ascii="Arial" w:eastAsia="Times New Roman" w:hAnsi="Arial" w:cs="Arial"/>
                <w:i/>
                <w:iCs/>
                <w:color w:val="000000"/>
                <w:sz w:val="20"/>
                <w:szCs w:val="20"/>
                <w:u w:val="single"/>
                <w:lang w:val="es-MX" w:eastAsia="es-MX"/>
              </w:rPr>
            </w:pPr>
          </w:p>
        </w:tc>
        <w:tc>
          <w:tcPr>
            <w:tcW w:w="1502" w:type="dxa"/>
            <w:tcBorders>
              <w:top w:val="nil"/>
              <w:left w:val="nil"/>
              <w:bottom w:val="nil"/>
              <w:right w:val="nil"/>
            </w:tcBorders>
            <w:shd w:val="clear" w:color="auto" w:fill="auto"/>
            <w:noWrap/>
            <w:vAlign w:val="bottom"/>
          </w:tcPr>
          <w:p w14:paraId="3F7AC645" w14:textId="77777777" w:rsidR="000F24D2" w:rsidRPr="0074154F" w:rsidRDefault="000F24D2"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218" w:type="dxa"/>
            <w:tcBorders>
              <w:top w:val="nil"/>
              <w:left w:val="nil"/>
              <w:bottom w:val="nil"/>
              <w:right w:val="nil"/>
            </w:tcBorders>
          </w:tcPr>
          <w:p w14:paraId="641508CD" w14:textId="77777777" w:rsidR="000F24D2" w:rsidRPr="0074154F" w:rsidRDefault="000F24D2"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15FF821B" w14:textId="77777777" w:rsidR="000F24D2" w:rsidRPr="0074154F" w:rsidRDefault="000F24D2" w:rsidP="002734A0">
            <w:pPr>
              <w:tabs>
                <w:tab w:val="decimal" w:pos="1276"/>
              </w:tabs>
              <w:spacing w:after="0" w:line="240" w:lineRule="auto"/>
              <w:ind w:right="-166"/>
              <w:rPr>
                <w:rFonts w:ascii="Arial" w:eastAsia="Times New Roman" w:hAnsi="Arial" w:cs="Arial"/>
                <w:color w:val="000000"/>
                <w:sz w:val="20"/>
                <w:szCs w:val="20"/>
                <w:lang w:val="es-MX" w:eastAsia="es-MX"/>
              </w:rPr>
            </w:pPr>
          </w:p>
        </w:tc>
      </w:tr>
      <w:tr w:rsidR="00A6750A" w:rsidRPr="0074154F" w14:paraId="565A409A" w14:textId="77777777" w:rsidTr="009348A9">
        <w:trPr>
          <w:trHeight w:val="136"/>
          <w:jc w:val="right"/>
        </w:trPr>
        <w:tc>
          <w:tcPr>
            <w:tcW w:w="5272" w:type="dxa"/>
            <w:tcBorders>
              <w:top w:val="nil"/>
              <w:left w:val="nil"/>
              <w:bottom w:val="nil"/>
              <w:right w:val="nil"/>
            </w:tcBorders>
            <w:shd w:val="clear" w:color="auto" w:fill="auto"/>
            <w:noWrap/>
            <w:vAlign w:val="bottom"/>
          </w:tcPr>
          <w:p w14:paraId="2B88E244" w14:textId="74A1FD4D" w:rsidR="00A6750A" w:rsidRPr="0074154F" w:rsidRDefault="00A6750A" w:rsidP="002734A0">
            <w:pPr>
              <w:spacing w:after="0" w:line="240" w:lineRule="auto"/>
              <w:ind w:left="-70"/>
              <w:rPr>
                <w:rFonts w:ascii="Arial" w:eastAsia="Times New Roman" w:hAnsi="Arial" w:cs="Arial"/>
                <w:i/>
                <w:iCs/>
                <w:color w:val="000000"/>
                <w:sz w:val="20"/>
                <w:szCs w:val="20"/>
                <w:u w:val="single"/>
                <w:lang w:val="es-MX" w:eastAsia="es-MX"/>
              </w:rPr>
            </w:pPr>
            <w:r w:rsidRPr="0074154F">
              <w:rPr>
                <w:rFonts w:ascii="Arial" w:eastAsia="Times New Roman" w:hAnsi="Arial" w:cs="Arial"/>
                <w:i/>
                <w:iCs/>
                <w:color w:val="000000"/>
                <w:sz w:val="20"/>
                <w:szCs w:val="20"/>
                <w:u w:val="single"/>
                <w:lang w:eastAsia="es-EC"/>
              </w:rPr>
              <w:t>Vencido</w:t>
            </w:r>
            <w:r w:rsidRPr="0074154F">
              <w:rPr>
                <w:rFonts w:ascii="Arial" w:eastAsia="Times New Roman" w:hAnsi="Arial" w:cs="Arial"/>
                <w:i/>
                <w:iCs/>
                <w:color w:val="000000"/>
                <w:sz w:val="20"/>
                <w:szCs w:val="20"/>
                <w:lang w:eastAsia="es-EC"/>
              </w:rPr>
              <w:t>:</w:t>
            </w:r>
          </w:p>
        </w:tc>
        <w:tc>
          <w:tcPr>
            <w:tcW w:w="1502" w:type="dxa"/>
            <w:tcBorders>
              <w:top w:val="nil"/>
              <w:left w:val="nil"/>
              <w:bottom w:val="nil"/>
              <w:right w:val="nil"/>
            </w:tcBorders>
            <w:shd w:val="clear" w:color="auto" w:fill="auto"/>
            <w:noWrap/>
            <w:vAlign w:val="bottom"/>
          </w:tcPr>
          <w:p w14:paraId="3D5D26DE" w14:textId="5335EC80"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218" w:type="dxa"/>
            <w:tcBorders>
              <w:top w:val="nil"/>
              <w:left w:val="nil"/>
              <w:bottom w:val="nil"/>
              <w:right w:val="nil"/>
            </w:tcBorders>
          </w:tcPr>
          <w:p w14:paraId="39A8D629"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1D2CAFA0" w14:textId="0621A14E"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r>
      <w:tr w:rsidR="00A6750A" w:rsidRPr="0074154F" w14:paraId="1906DBA7" w14:textId="77777777" w:rsidTr="009348A9">
        <w:trPr>
          <w:trHeight w:val="196"/>
          <w:jc w:val="right"/>
        </w:trPr>
        <w:tc>
          <w:tcPr>
            <w:tcW w:w="5272" w:type="dxa"/>
            <w:tcBorders>
              <w:top w:val="nil"/>
              <w:left w:val="nil"/>
              <w:right w:val="nil"/>
            </w:tcBorders>
            <w:shd w:val="clear" w:color="auto" w:fill="auto"/>
            <w:noWrap/>
            <w:vAlign w:val="bottom"/>
          </w:tcPr>
          <w:p w14:paraId="5F6D259E" w14:textId="45468987" w:rsidR="00A6750A" w:rsidRPr="0074154F" w:rsidRDefault="00A6750A" w:rsidP="002734A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0 a 30 días</w:t>
            </w:r>
          </w:p>
        </w:tc>
        <w:tc>
          <w:tcPr>
            <w:tcW w:w="1502" w:type="dxa"/>
            <w:tcBorders>
              <w:top w:val="nil"/>
              <w:left w:val="nil"/>
              <w:right w:val="nil"/>
            </w:tcBorders>
            <w:shd w:val="clear" w:color="auto" w:fill="auto"/>
            <w:noWrap/>
            <w:vAlign w:val="bottom"/>
          </w:tcPr>
          <w:p w14:paraId="7948F7C9" w14:textId="1594A5CE" w:rsidR="00A6750A" w:rsidRPr="0074154F" w:rsidRDefault="00E72A0A" w:rsidP="002734A0">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8,881,990</w:t>
            </w:r>
          </w:p>
        </w:tc>
        <w:tc>
          <w:tcPr>
            <w:tcW w:w="218" w:type="dxa"/>
            <w:tcBorders>
              <w:top w:val="nil"/>
              <w:left w:val="nil"/>
              <w:right w:val="nil"/>
            </w:tcBorders>
          </w:tcPr>
          <w:p w14:paraId="7F56CE9B"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4041026D" w14:textId="5CD72432"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6,225,627</w:t>
            </w:r>
          </w:p>
        </w:tc>
      </w:tr>
      <w:tr w:rsidR="00A6750A" w:rsidRPr="0074154F" w14:paraId="2CD03AE9" w14:textId="77777777" w:rsidTr="009348A9">
        <w:trPr>
          <w:trHeight w:val="114"/>
          <w:jc w:val="right"/>
        </w:trPr>
        <w:tc>
          <w:tcPr>
            <w:tcW w:w="5272" w:type="dxa"/>
            <w:tcBorders>
              <w:top w:val="nil"/>
              <w:left w:val="nil"/>
              <w:right w:val="nil"/>
            </w:tcBorders>
            <w:shd w:val="clear" w:color="auto" w:fill="auto"/>
            <w:noWrap/>
            <w:vAlign w:val="bottom"/>
          </w:tcPr>
          <w:p w14:paraId="37255728" w14:textId="38866821" w:rsidR="00A6750A" w:rsidRPr="0074154F" w:rsidRDefault="00A6750A" w:rsidP="002734A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31 a 60 días</w:t>
            </w:r>
          </w:p>
        </w:tc>
        <w:tc>
          <w:tcPr>
            <w:tcW w:w="1502" w:type="dxa"/>
            <w:tcBorders>
              <w:top w:val="nil"/>
              <w:left w:val="nil"/>
              <w:right w:val="nil"/>
            </w:tcBorders>
            <w:shd w:val="clear" w:color="auto" w:fill="auto"/>
            <w:noWrap/>
            <w:vAlign w:val="bottom"/>
          </w:tcPr>
          <w:p w14:paraId="2E8D69EE" w14:textId="5DB2E414" w:rsidR="00A6750A" w:rsidRPr="0074154F" w:rsidRDefault="00E72A0A" w:rsidP="002734A0">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3,387,687</w:t>
            </w:r>
          </w:p>
        </w:tc>
        <w:tc>
          <w:tcPr>
            <w:tcW w:w="218" w:type="dxa"/>
            <w:tcBorders>
              <w:top w:val="nil"/>
              <w:left w:val="nil"/>
              <w:right w:val="nil"/>
            </w:tcBorders>
          </w:tcPr>
          <w:p w14:paraId="0225A57C"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794A273D" w14:textId="7C1AE36A"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210,522</w:t>
            </w:r>
          </w:p>
        </w:tc>
      </w:tr>
      <w:tr w:rsidR="00A6750A" w:rsidRPr="0074154F" w14:paraId="27297E4C" w14:textId="77777777" w:rsidTr="009348A9">
        <w:trPr>
          <w:trHeight w:val="159"/>
          <w:jc w:val="right"/>
        </w:trPr>
        <w:tc>
          <w:tcPr>
            <w:tcW w:w="5272" w:type="dxa"/>
            <w:tcBorders>
              <w:top w:val="nil"/>
              <w:left w:val="nil"/>
              <w:right w:val="nil"/>
            </w:tcBorders>
            <w:shd w:val="clear" w:color="auto" w:fill="auto"/>
            <w:noWrap/>
            <w:vAlign w:val="bottom"/>
          </w:tcPr>
          <w:p w14:paraId="4B70CED7" w14:textId="76D68662" w:rsidR="00A6750A" w:rsidRPr="0074154F" w:rsidRDefault="00A6750A" w:rsidP="002734A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61 a 90 días</w:t>
            </w:r>
          </w:p>
        </w:tc>
        <w:tc>
          <w:tcPr>
            <w:tcW w:w="1502" w:type="dxa"/>
            <w:tcBorders>
              <w:top w:val="nil"/>
              <w:left w:val="nil"/>
              <w:right w:val="nil"/>
            </w:tcBorders>
            <w:shd w:val="clear" w:color="auto" w:fill="auto"/>
            <w:noWrap/>
            <w:vAlign w:val="bottom"/>
          </w:tcPr>
          <w:p w14:paraId="41BBF1E9" w14:textId="7395CC0C" w:rsidR="00A6750A" w:rsidRPr="0074154F" w:rsidRDefault="00E72A0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4,660,975</w:t>
            </w:r>
          </w:p>
        </w:tc>
        <w:tc>
          <w:tcPr>
            <w:tcW w:w="218" w:type="dxa"/>
            <w:tcBorders>
              <w:top w:val="nil"/>
              <w:left w:val="nil"/>
              <w:right w:val="nil"/>
            </w:tcBorders>
          </w:tcPr>
          <w:p w14:paraId="623C4F62"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3EBE5757" w14:textId="6E7D527A"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217,936</w:t>
            </w:r>
          </w:p>
        </w:tc>
      </w:tr>
      <w:tr w:rsidR="00A6750A" w:rsidRPr="0074154F" w14:paraId="589A807E" w14:textId="77777777" w:rsidTr="009348A9">
        <w:trPr>
          <w:trHeight w:val="77"/>
          <w:jc w:val="right"/>
        </w:trPr>
        <w:tc>
          <w:tcPr>
            <w:tcW w:w="5272" w:type="dxa"/>
            <w:tcBorders>
              <w:top w:val="nil"/>
              <w:left w:val="nil"/>
              <w:right w:val="nil"/>
            </w:tcBorders>
            <w:shd w:val="clear" w:color="auto" w:fill="auto"/>
            <w:noWrap/>
            <w:vAlign w:val="bottom"/>
          </w:tcPr>
          <w:p w14:paraId="7DDEED57" w14:textId="23728225" w:rsidR="00A6750A" w:rsidRPr="0074154F" w:rsidRDefault="00A6750A" w:rsidP="002734A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91 a 120 días</w:t>
            </w:r>
          </w:p>
        </w:tc>
        <w:tc>
          <w:tcPr>
            <w:tcW w:w="1502" w:type="dxa"/>
            <w:tcBorders>
              <w:top w:val="nil"/>
              <w:left w:val="nil"/>
              <w:right w:val="nil"/>
            </w:tcBorders>
            <w:shd w:val="clear" w:color="auto" w:fill="auto"/>
            <w:noWrap/>
            <w:vAlign w:val="bottom"/>
          </w:tcPr>
          <w:p w14:paraId="6C442A99" w14:textId="4A64C92C" w:rsidR="00A6750A" w:rsidRPr="0074154F" w:rsidRDefault="00E72A0A" w:rsidP="002734A0">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1,801,649</w:t>
            </w:r>
          </w:p>
        </w:tc>
        <w:tc>
          <w:tcPr>
            <w:tcW w:w="218" w:type="dxa"/>
            <w:tcBorders>
              <w:top w:val="nil"/>
              <w:left w:val="nil"/>
              <w:right w:val="nil"/>
            </w:tcBorders>
          </w:tcPr>
          <w:p w14:paraId="0E232380"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751598F9" w14:textId="39869331"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1,166,178</w:t>
            </w:r>
          </w:p>
        </w:tc>
      </w:tr>
      <w:tr w:rsidR="00A6750A" w:rsidRPr="0074154F" w14:paraId="40FEAE8C" w14:textId="77777777" w:rsidTr="009348A9">
        <w:trPr>
          <w:trHeight w:val="123"/>
          <w:jc w:val="right"/>
        </w:trPr>
        <w:tc>
          <w:tcPr>
            <w:tcW w:w="5272" w:type="dxa"/>
            <w:tcBorders>
              <w:top w:val="nil"/>
              <w:left w:val="nil"/>
              <w:right w:val="nil"/>
            </w:tcBorders>
            <w:shd w:val="clear" w:color="auto" w:fill="auto"/>
            <w:noWrap/>
            <w:vAlign w:val="bottom"/>
          </w:tcPr>
          <w:p w14:paraId="72E6FB89" w14:textId="6FE852CF" w:rsidR="00A6750A" w:rsidRPr="0074154F" w:rsidRDefault="00A6750A" w:rsidP="002734A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Mas de 120 días</w:t>
            </w:r>
          </w:p>
        </w:tc>
        <w:tc>
          <w:tcPr>
            <w:tcW w:w="1502" w:type="dxa"/>
            <w:tcBorders>
              <w:top w:val="nil"/>
              <w:left w:val="nil"/>
              <w:right w:val="nil"/>
            </w:tcBorders>
            <w:shd w:val="clear" w:color="auto" w:fill="auto"/>
            <w:noWrap/>
            <w:vAlign w:val="bottom"/>
          </w:tcPr>
          <w:p w14:paraId="224CBC38" w14:textId="0AB1B877" w:rsidR="00A6750A" w:rsidRPr="0074154F" w:rsidRDefault="00E72A0A" w:rsidP="002734A0">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4,045,395</w:t>
            </w:r>
          </w:p>
        </w:tc>
        <w:tc>
          <w:tcPr>
            <w:tcW w:w="218" w:type="dxa"/>
            <w:tcBorders>
              <w:top w:val="nil"/>
              <w:left w:val="nil"/>
              <w:right w:val="nil"/>
            </w:tcBorders>
          </w:tcPr>
          <w:p w14:paraId="74DD7726"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6F30DF98" w14:textId="38C0DF46" w:rsidR="00A6750A" w:rsidRPr="0074154F" w:rsidRDefault="000F6DFA" w:rsidP="002734A0">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3,055,013</w:t>
            </w:r>
          </w:p>
        </w:tc>
      </w:tr>
      <w:tr w:rsidR="00A6750A" w:rsidRPr="0074154F" w14:paraId="665DC765" w14:textId="77777777" w:rsidTr="009348A9">
        <w:trPr>
          <w:trHeight w:val="221"/>
          <w:jc w:val="right"/>
        </w:trPr>
        <w:tc>
          <w:tcPr>
            <w:tcW w:w="5272" w:type="dxa"/>
            <w:tcBorders>
              <w:top w:val="nil"/>
              <w:left w:val="nil"/>
              <w:bottom w:val="nil"/>
              <w:right w:val="nil"/>
            </w:tcBorders>
            <w:shd w:val="clear" w:color="auto" w:fill="auto"/>
            <w:noWrap/>
            <w:vAlign w:val="bottom"/>
          </w:tcPr>
          <w:p w14:paraId="3A403B50" w14:textId="77777777" w:rsidR="00A6750A" w:rsidRPr="0074154F" w:rsidRDefault="00A6750A" w:rsidP="002734A0">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4D304839"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504F9C94"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4" w:space="0" w:color="auto"/>
              <w:left w:val="nil"/>
              <w:right w:val="nil"/>
            </w:tcBorders>
            <w:shd w:val="clear" w:color="auto" w:fill="auto"/>
            <w:noWrap/>
            <w:vAlign w:val="bottom"/>
          </w:tcPr>
          <w:p w14:paraId="1936CCDC" w14:textId="77777777" w:rsidR="00A6750A" w:rsidRPr="0074154F" w:rsidRDefault="00A6750A" w:rsidP="002734A0">
            <w:pPr>
              <w:tabs>
                <w:tab w:val="decimal" w:pos="1276"/>
              </w:tabs>
              <w:spacing w:after="0" w:line="240" w:lineRule="auto"/>
              <w:ind w:right="-166"/>
              <w:rPr>
                <w:rFonts w:ascii="Arial" w:eastAsia="Times New Roman" w:hAnsi="Arial" w:cs="Arial"/>
                <w:color w:val="000000"/>
                <w:sz w:val="20"/>
                <w:szCs w:val="20"/>
                <w:lang w:val="es-MX" w:eastAsia="es-MX"/>
              </w:rPr>
            </w:pPr>
          </w:p>
        </w:tc>
      </w:tr>
      <w:tr w:rsidR="000F6DFA" w:rsidRPr="0074154F" w14:paraId="6DF0766F" w14:textId="77777777" w:rsidTr="009348A9">
        <w:trPr>
          <w:trHeight w:val="88"/>
          <w:jc w:val="right"/>
        </w:trPr>
        <w:tc>
          <w:tcPr>
            <w:tcW w:w="5272" w:type="dxa"/>
            <w:tcBorders>
              <w:top w:val="nil"/>
              <w:left w:val="nil"/>
              <w:bottom w:val="nil"/>
              <w:right w:val="nil"/>
            </w:tcBorders>
            <w:shd w:val="clear" w:color="auto" w:fill="auto"/>
            <w:noWrap/>
            <w:vAlign w:val="bottom"/>
          </w:tcPr>
          <w:p w14:paraId="36B765BA" w14:textId="588E35AF" w:rsidR="000F6DFA" w:rsidRPr="0074154F" w:rsidRDefault="000F6DFA" w:rsidP="000F6DFA">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 xml:space="preserve">Total </w:t>
            </w:r>
          </w:p>
        </w:tc>
        <w:tc>
          <w:tcPr>
            <w:tcW w:w="1502" w:type="dxa"/>
            <w:tcBorders>
              <w:left w:val="nil"/>
              <w:bottom w:val="double" w:sz="4" w:space="0" w:color="auto"/>
              <w:right w:val="nil"/>
            </w:tcBorders>
            <w:shd w:val="clear" w:color="auto" w:fill="auto"/>
            <w:noWrap/>
            <w:vAlign w:val="bottom"/>
          </w:tcPr>
          <w:p w14:paraId="34C669F6" w14:textId="1930BCFC" w:rsidR="000F6DFA" w:rsidRPr="0074154F" w:rsidRDefault="000F6DFA" w:rsidP="000F6DFA">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val="es-MX" w:eastAsia="es-MX"/>
              </w:rPr>
              <w:t>22,777,696</w:t>
            </w:r>
          </w:p>
        </w:tc>
        <w:tc>
          <w:tcPr>
            <w:tcW w:w="218" w:type="dxa"/>
            <w:tcBorders>
              <w:left w:val="nil"/>
              <w:right w:val="nil"/>
            </w:tcBorders>
          </w:tcPr>
          <w:p w14:paraId="3ADBD098" w14:textId="77777777" w:rsidR="000F6DFA" w:rsidRPr="0074154F" w:rsidRDefault="000F6DFA" w:rsidP="000F6DFA">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1DDE22F9" w14:textId="01F6D984" w:rsidR="000F6DFA" w:rsidRPr="0074154F" w:rsidRDefault="000F6DFA" w:rsidP="000F6DFA">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15,698,474</w:t>
            </w:r>
          </w:p>
        </w:tc>
      </w:tr>
    </w:tbl>
    <w:p w14:paraId="445907EB" w14:textId="77777777" w:rsidR="00E9136E" w:rsidRPr="0074154F" w:rsidRDefault="00E9136E" w:rsidP="00413455">
      <w:pPr>
        <w:tabs>
          <w:tab w:val="left" w:pos="1276"/>
        </w:tabs>
        <w:spacing w:after="0" w:line="240" w:lineRule="auto"/>
        <w:ind w:left="567"/>
        <w:contextualSpacing/>
        <w:jc w:val="both"/>
        <w:rPr>
          <w:rFonts w:ascii="Arial" w:hAnsi="Arial" w:cs="Arial"/>
          <w:color w:val="000000" w:themeColor="text1"/>
          <w:sz w:val="20"/>
          <w:szCs w:val="20"/>
        </w:rPr>
      </w:pPr>
    </w:p>
    <w:p w14:paraId="695D1C00" w14:textId="0E4D3E3B" w:rsidR="00D50F4D" w:rsidRPr="0074154F" w:rsidRDefault="00D50F4D" w:rsidP="00413455">
      <w:pPr>
        <w:tabs>
          <w:tab w:val="left" w:pos="1276"/>
        </w:tabs>
        <w:spacing w:after="0" w:line="240" w:lineRule="auto"/>
        <w:ind w:left="567"/>
        <w:contextualSpacing/>
        <w:jc w:val="both"/>
        <w:rPr>
          <w:rFonts w:ascii="Arial" w:hAnsi="Arial" w:cs="Arial"/>
          <w:color w:val="000000" w:themeColor="text1"/>
          <w:sz w:val="20"/>
          <w:szCs w:val="20"/>
        </w:rPr>
      </w:pPr>
      <w:r w:rsidRPr="0074154F">
        <w:rPr>
          <w:rFonts w:ascii="Arial" w:hAnsi="Arial" w:cs="Arial"/>
          <w:color w:val="000000" w:themeColor="text1"/>
          <w:sz w:val="20"/>
          <w:szCs w:val="20"/>
        </w:rPr>
        <w:t>El detalle comparativo de clasificación por deudor de las cuentas por cobrar clientes es como sigue:</w:t>
      </w:r>
    </w:p>
    <w:p w14:paraId="35FF764F" w14:textId="77777777" w:rsidR="00D50F4D" w:rsidRPr="0074154F" w:rsidRDefault="00D50F4D" w:rsidP="00413455">
      <w:pPr>
        <w:tabs>
          <w:tab w:val="left" w:pos="1276"/>
        </w:tabs>
        <w:spacing w:after="0" w:line="240" w:lineRule="auto"/>
        <w:ind w:left="567"/>
        <w:contextualSpacing/>
        <w:jc w:val="both"/>
        <w:rPr>
          <w:rFonts w:ascii="Arial" w:hAnsi="Arial" w:cs="Arial"/>
          <w:b/>
          <w:bCs/>
          <w:color w:val="FF0000"/>
          <w:sz w:val="12"/>
          <w:szCs w:val="12"/>
        </w:rPr>
      </w:pPr>
    </w:p>
    <w:tbl>
      <w:tblPr>
        <w:tblW w:w="8494" w:type="dxa"/>
        <w:jc w:val="right"/>
        <w:tblCellMar>
          <w:left w:w="70" w:type="dxa"/>
          <w:right w:w="70" w:type="dxa"/>
        </w:tblCellMar>
        <w:tblLook w:val="04A0" w:firstRow="1" w:lastRow="0" w:firstColumn="1" w:lastColumn="0" w:noHBand="0" w:noVBand="1"/>
      </w:tblPr>
      <w:tblGrid>
        <w:gridCol w:w="4862"/>
        <w:gridCol w:w="2031"/>
        <w:gridCol w:w="146"/>
        <w:gridCol w:w="2031"/>
      </w:tblGrid>
      <w:tr w:rsidR="00D50F4D" w:rsidRPr="0074154F" w14:paraId="5AA1A9FA" w14:textId="77777777" w:rsidTr="008F5308">
        <w:trPr>
          <w:trHeight w:val="283"/>
          <w:jc w:val="right"/>
        </w:trPr>
        <w:tc>
          <w:tcPr>
            <w:tcW w:w="5272" w:type="dxa"/>
            <w:tcBorders>
              <w:top w:val="nil"/>
              <w:left w:val="nil"/>
              <w:bottom w:val="nil"/>
              <w:right w:val="nil"/>
            </w:tcBorders>
            <w:shd w:val="clear" w:color="auto" w:fill="auto"/>
            <w:noWrap/>
            <w:vAlign w:val="bottom"/>
            <w:hideMark/>
          </w:tcPr>
          <w:p w14:paraId="507C18F9" w14:textId="77777777" w:rsidR="00D50F4D" w:rsidRPr="0074154F" w:rsidRDefault="00D50F4D"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43D6F51A" w14:textId="7DDD8A72" w:rsidR="00D50F4D" w:rsidRPr="0074154F" w:rsidRDefault="00D50F4D" w:rsidP="008F5308">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18" w:type="dxa"/>
            <w:tcBorders>
              <w:top w:val="nil"/>
              <w:left w:val="nil"/>
              <w:bottom w:val="nil"/>
              <w:right w:val="nil"/>
            </w:tcBorders>
          </w:tcPr>
          <w:p w14:paraId="2885CED2" w14:textId="77777777" w:rsidR="00D50F4D" w:rsidRPr="0074154F" w:rsidRDefault="00D50F4D" w:rsidP="008F5308">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305C291A" w14:textId="1ECC87A2" w:rsidR="00D50F4D" w:rsidRPr="0074154F" w:rsidRDefault="00D50F4D" w:rsidP="008F5308">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D50F4D" w:rsidRPr="0074154F" w14:paraId="2AA0857A" w14:textId="77777777" w:rsidTr="00333B1D">
        <w:trPr>
          <w:trHeight w:val="120"/>
          <w:jc w:val="right"/>
        </w:trPr>
        <w:tc>
          <w:tcPr>
            <w:tcW w:w="5272" w:type="dxa"/>
            <w:tcBorders>
              <w:top w:val="nil"/>
              <w:left w:val="nil"/>
              <w:right w:val="nil"/>
            </w:tcBorders>
            <w:shd w:val="clear" w:color="auto" w:fill="auto"/>
            <w:noWrap/>
            <w:vAlign w:val="bottom"/>
            <w:hideMark/>
          </w:tcPr>
          <w:p w14:paraId="0702CC5E" w14:textId="77777777" w:rsidR="00D50F4D" w:rsidRPr="0074154F" w:rsidRDefault="00D50F4D" w:rsidP="008F5308">
            <w:pPr>
              <w:spacing w:after="0" w:line="240" w:lineRule="auto"/>
              <w:ind w:left="-70" w:right="-360"/>
              <w:rPr>
                <w:rFonts w:ascii="Arial" w:eastAsia="Times New Roman" w:hAnsi="Arial" w:cs="Arial"/>
                <w:b/>
                <w:bCs/>
                <w:color w:val="000000"/>
                <w:sz w:val="12"/>
                <w:szCs w:val="12"/>
                <w:u w:val="single"/>
                <w:lang w:eastAsia="es-EC"/>
              </w:rPr>
            </w:pPr>
          </w:p>
        </w:tc>
        <w:tc>
          <w:tcPr>
            <w:tcW w:w="1502" w:type="dxa"/>
            <w:tcBorders>
              <w:top w:val="single" w:sz="8" w:space="0" w:color="auto"/>
              <w:left w:val="nil"/>
              <w:right w:val="nil"/>
            </w:tcBorders>
            <w:shd w:val="clear" w:color="auto" w:fill="auto"/>
            <w:noWrap/>
            <w:vAlign w:val="bottom"/>
            <w:hideMark/>
          </w:tcPr>
          <w:p w14:paraId="1166DEE2" w14:textId="77777777" w:rsidR="00D50F4D" w:rsidRPr="0074154F" w:rsidRDefault="00D50F4D" w:rsidP="008F5308">
            <w:pPr>
              <w:spacing w:after="0" w:line="240" w:lineRule="auto"/>
              <w:ind w:left="407" w:hanging="407"/>
              <w:rPr>
                <w:rFonts w:ascii="Arial" w:eastAsia="Times New Roman" w:hAnsi="Arial" w:cs="Arial"/>
                <w:sz w:val="12"/>
                <w:szCs w:val="12"/>
                <w:lang w:eastAsia="es-EC"/>
              </w:rPr>
            </w:pPr>
          </w:p>
        </w:tc>
        <w:tc>
          <w:tcPr>
            <w:tcW w:w="218" w:type="dxa"/>
            <w:tcBorders>
              <w:top w:val="nil"/>
              <w:left w:val="nil"/>
              <w:right w:val="nil"/>
            </w:tcBorders>
          </w:tcPr>
          <w:p w14:paraId="32814870" w14:textId="77777777" w:rsidR="00D50F4D" w:rsidRPr="0074154F" w:rsidRDefault="00D50F4D" w:rsidP="008F5308">
            <w:pPr>
              <w:spacing w:after="0" w:line="240" w:lineRule="auto"/>
              <w:rPr>
                <w:rFonts w:ascii="Arial" w:eastAsia="Times New Roman" w:hAnsi="Arial" w:cs="Arial"/>
                <w:sz w:val="12"/>
                <w:szCs w:val="12"/>
                <w:lang w:eastAsia="es-EC"/>
              </w:rPr>
            </w:pPr>
          </w:p>
        </w:tc>
        <w:tc>
          <w:tcPr>
            <w:tcW w:w="1502" w:type="dxa"/>
            <w:tcBorders>
              <w:top w:val="single" w:sz="8" w:space="0" w:color="auto"/>
              <w:left w:val="nil"/>
              <w:right w:val="nil"/>
            </w:tcBorders>
            <w:shd w:val="clear" w:color="auto" w:fill="auto"/>
            <w:noWrap/>
            <w:vAlign w:val="bottom"/>
            <w:hideMark/>
          </w:tcPr>
          <w:p w14:paraId="24C4BD57" w14:textId="77777777" w:rsidR="00D50F4D" w:rsidRPr="0074154F" w:rsidRDefault="00D50F4D" w:rsidP="008F5308">
            <w:pPr>
              <w:spacing w:after="0" w:line="240" w:lineRule="auto"/>
              <w:rPr>
                <w:rFonts w:ascii="Arial" w:eastAsia="Times New Roman" w:hAnsi="Arial" w:cs="Arial"/>
                <w:sz w:val="12"/>
                <w:szCs w:val="12"/>
                <w:lang w:eastAsia="es-EC"/>
              </w:rPr>
            </w:pPr>
          </w:p>
        </w:tc>
      </w:tr>
      <w:tr w:rsidR="00333B1D" w:rsidRPr="0074154F" w14:paraId="1DA91FF8" w14:textId="77777777" w:rsidTr="00333B1D">
        <w:trPr>
          <w:trHeight w:val="120"/>
          <w:jc w:val="right"/>
        </w:trPr>
        <w:tc>
          <w:tcPr>
            <w:tcW w:w="5272" w:type="dxa"/>
            <w:tcBorders>
              <w:left w:val="nil"/>
              <w:right w:val="nil"/>
            </w:tcBorders>
            <w:shd w:val="clear" w:color="auto" w:fill="auto"/>
            <w:noWrap/>
            <w:vAlign w:val="bottom"/>
          </w:tcPr>
          <w:p w14:paraId="43B82013" w14:textId="2CF2A914" w:rsidR="00333B1D" w:rsidRPr="0074154F" w:rsidRDefault="00333B1D" w:rsidP="00333B1D">
            <w:pPr>
              <w:spacing w:after="0" w:line="240" w:lineRule="auto"/>
              <w:ind w:left="-70" w:right="-360"/>
              <w:rPr>
                <w:rFonts w:ascii="Arial" w:eastAsia="Times New Roman" w:hAnsi="Arial" w:cs="Arial"/>
                <w:b/>
                <w:bCs/>
                <w:color w:val="000000"/>
                <w:sz w:val="12"/>
                <w:szCs w:val="12"/>
                <w:u w:val="single"/>
                <w:lang w:eastAsia="es-EC"/>
              </w:rPr>
            </w:pPr>
            <w:r w:rsidRPr="0074154F">
              <w:rPr>
                <w:rFonts w:ascii="Arial" w:eastAsia="Times New Roman" w:hAnsi="Arial" w:cs="Arial"/>
                <w:color w:val="000000"/>
                <w:sz w:val="20"/>
                <w:szCs w:val="20"/>
                <w:lang w:val="es-MX" w:eastAsia="es-MX"/>
              </w:rPr>
              <w:t>Comercio</w:t>
            </w:r>
          </w:p>
        </w:tc>
        <w:tc>
          <w:tcPr>
            <w:tcW w:w="1502" w:type="dxa"/>
            <w:tcBorders>
              <w:left w:val="nil"/>
              <w:right w:val="nil"/>
            </w:tcBorders>
            <w:shd w:val="clear" w:color="auto" w:fill="auto"/>
            <w:noWrap/>
            <w:vAlign w:val="bottom"/>
          </w:tcPr>
          <w:p w14:paraId="09B34961" w14:textId="744D3556" w:rsidR="00333B1D" w:rsidRPr="0074154F" w:rsidRDefault="00333B1D" w:rsidP="00333B1D">
            <w:pPr>
              <w:spacing w:after="0" w:line="240" w:lineRule="auto"/>
              <w:ind w:left="472" w:right="-246" w:hanging="407"/>
              <w:jc w:val="center"/>
              <w:rPr>
                <w:rFonts w:ascii="Arial" w:eastAsia="Times New Roman" w:hAnsi="Arial" w:cs="Arial"/>
                <w:sz w:val="12"/>
                <w:szCs w:val="12"/>
                <w:lang w:eastAsia="es-EC"/>
              </w:rPr>
            </w:pPr>
            <w:r>
              <w:rPr>
                <w:rFonts w:ascii="Arial" w:eastAsia="Times New Roman" w:hAnsi="Arial" w:cs="Arial"/>
                <w:color w:val="000000"/>
                <w:sz w:val="20"/>
                <w:szCs w:val="20"/>
                <w:lang w:val="es-MX" w:eastAsia="es-MX"/>
              </w:rPr>
              <w:t>8,649,794</w:t>
            </w:r>
          </w:p>
        </w:tc>
        <w:tc>
          <w:tcPr>
            <w:tcW w:w="218" w:type="dxa"/>
            <w:tcBorders>
              <w:left w:val="nil"/>
              <w:right w:val="nil"/>
            </w:tcBorders>
          </w:tcPr>
          <w:p w14:paraId="3E12C4DD" w14:textId="77777777" w:rsidR="00333B1D" w:rsidRPr="0074154F" w:rsidRDefault="00333B1D" w:rsidP="00333B1D">
            <w:pPr>
              <w:spacing w:after="0" w:line="240" w:lineRule="auto"/>
              <w:rPr>
                <w:rFonts w:ascii="Arial" w:eastAsia="Times New Roman" w:hAnsi="Arial" w:cs="Arial"/>
                <w:sz w:val="12"/>
                <w:szCs w:val="12"/>
                <w:lang w:eastAsia="es-EC"/>
              </w:rPr>
            </w:pPr>
          </w:p>
        </w:tc>
        <w:tc>
          <w:tcPr>
            <w:tcW w:w="1502" w:type="dxa"/>
            <w:tcBorders>
              <w:left w:val="nil"/>
              <w:right w:val="nil"/>
            </w:tcBorders>
            <w:shd w:val="clear" w:color="auto" w:fill="auto"/>
            <w:noWrap/>
            <w:vAlign w:val="bottom"/>
          </w:tcPr>
          <w:p w14:paraId="711715B8" w14:textId="5104129C" w:rsidR="00333B1D" w:rsidRPr="0074154F" w:rsidRDefault="00333B1D" w:rsidP="00333B1D">
            <w:pPr>
              <w:spacing w:after="0" w:line="240" w:lineRule="auto"/>
              <w:ind w:right="-227"/>
              <w:jc w:val="center"/>
              <w:rPr>
                <w:rFonts w:ascii="Arial" w:eastAsia="Times New Roman" w:hAnsi="Arial" w:cs="Arial"/>
                <w:sz w:val="12"/>
                <w:szCs w:val="12"/>
                <w:lang w:eastAsia="es-EC"/>
              </w:rPr>
            </w:pPr>
            <w:r>
              <w:rPr>
                <w:rFonts w:ascii="Arial" w:eastAsia="Times New Roman" w:hAnsi="Arial" w:cs="Arial"/>
                <w:color w:val="000000"/>
                <w:sz w:val="20"/>
                <w:szCs w:val="20"/>
                <w:lang w:val="es-MX" w:eastAsia="es-MX"/>
              </w:rPr>
              <w:t>6,097,311</w:t>
            </w:r>
          </w:p>
        </w:tc>
      </w:tr>
      <w:tr w:rsidR="00333B1D" w:rsidRPr="0074154F" w14:paraId="24E77495" w14:textId="77777777" w:rsidTr="00306604">
        <w:trPr>
          <w:trHeight w:val="207"/>
          <w:jc w:val="right"/>
        </w:trPr>
        <w:tc>
          <w:tcPr>
            <w:tcW w:w="5272" w:type="dxa"/>
            <w:tcBorders>
              <w:left w:val="nil"/>
              <w:bottom w:val="nil"/>
              <w:right w:val="nil"/>
            </w:tcBorders>
            <w:shd w:val="clear" w:color="auto" w:fill="auto"/>
            <w:noWrap/>
            <w:vAlign w:val="bottom"/>
          </w:tcPr>
          <w:p w14:paraId="43932CA6" w14:textId="1CC8D1E2" w:rsidR="00333B1D" w:rsidRPr="0074154F" w:rsidRDefault="00333B1D" w:rsidP="00333B1D">
            <w:pPr>
              <w:spacing w:after="0" w:line="240" w:lineRule="auto"/>
              <w:ind w:left="-70" w:right="-360"/>
              <w:rPr>
                <w:rFonts w:ascii="Arial" w:eastAsia="Times New Roman" w:hAnsi="Arial" w:cs="Arial"/>
                <w:b/>
                <w:bCs/>
                <w:color w:val="000000"/>
                <w:sz w:val="12"/>
                <w:szCs w:val="12"/>
                <w:u w:val="single"/>
                <w:lang w:eastAsia="es-EC"/>
              </w:rPr>
            </w:pPr>
            <w:r w:rsidRPr="0074154F">
              <w:rPr>
                <w:rFonts w:ascii="Arial" w:eastAsia="Times New Roman" w:hAnsi="Arial" w:cs="Arial"/>
                <w:color w:val="000000"/>
                <w:sz w:val="20"/>
                <w:szCs w:val="20"/>
                <w:lang w:eastAsia="es-EC"/>
              </w:rPr>
              <w:t>Gobierno</w:t>
            </w:r>
          </w:p>
        </w:tc>
        <w:tc>
          <w:tcPr>
            <w:tcW w:w="1502" w:type="dxa"/>
            <w:tcBorders>
              <w:left w:val="nil"/>
              <w:bottom w:val="nil"/>
              <w:right w:val="nil"/>
            </w:tcBorders>
            <w:shd w:val="clear" w:color="auto" w:fill="auto"/>
            <w:noWrap/>
            <w:vAlign w:val="bottom"/>
          </w:tcPr>
          <w:p w14:paraId="0024BD7E" w14:textId="1191A241" w:rsidR="00333B1D" w:rsidRPr="0074154F" w:rsidRDefault="00333B1D" w:rsidP="00333B1D">
            <w:pPr>
              <w:spacing w:after="0" w:line="240" w:lineRule="auto"/>
              <w:ind w:left="472" w:right="-246" w:hanging="407"/>
              <w:jc w:val="center"/>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7,261,575</w:t>
            </w:r>
          </w:p>
        </w:tc>
        <w:tc>
          <w:tcPr>
            <w:tcW w:w="218" w:type="dxa"/>
            <w:tcBorders>
              <w:left w:val="nil"/>
              <w:bottom w:val="nil"/>
              <w:right w:val="nil"/>
            </w:tcBorders>
          </w:tcPr>
          <w:p w14:paraId="1C862E71" w14:textId="77777777" w:rsidR="00333B1D" w:rsidRPr="0074154F" w:rsidRDefault="00333B1D" w:rsidP="00333B1D">
            <w:pPr>
              <w:spacing w:after="0" w:line="240" w:lineRule="auto"/>
              <w:rPr>
                <w:rFonts w:ascii="Arial" w:eastAsia="Times New Roman" w:hAnsi="Arial" w:cs="Arial"/>
                <w:sz w:val="12"/>
                <w:szCs w:val="12"/>
                <w:lang w:eastAsia="es-EC"/>
              </w:rPr>
            </w:pPr>
          </w:p>
        </w:tc>
        <w:tc>
          <w:tcPr>
            <w:tcW w:w="1502" w:type="dxa"/>
            <w:tcBorders>
              <w:left w:val="nil"/>
              <w:bottom w:val="nil"/>
              <w:right w:val="nil"/>
            </w:tcBorders>
            <w:shd w:val="clear" w:color="auto" w:fill="auto"/>
            <w:noWrap/>
            <w:vAlign w:val="bottom"/>
          </w:tcPr>
          <w:p w14:paraId="62B06A36" w14:textId="532722A0" w:rsidR="00333B1D" w:rsidRPr="0074154F" w:rsidRDefault="00333B1D" w:rsidP="00333B1D">
            <w:pPr>
              <w:spacing w:after="0" w:line="240" w:lineRule="auto"/>
              <w:ind w:right="-227"/>
              <w:jc w:val="center"/>
              <w:rPr>
                <w:rFonts w:ascii="Arial" w:eastAsia="Times New Roman" w:hAnsi="Arial" w:cs="Arial"/>
                <w:sz w:val="12"/>
                <w:szCs w:val="12"/>
                <w:lang w:eastAsia="es-EC"/>
              </w:rPr>
            </w:pPr>
            <w:r w:rsidRPr="0074154F">
              <w:rPr>
                <w:rFonts w:ascii="Arial" w:eastAsia="Times New Roman" w:hAnsi="Arial" w:cs="Arial"/>
                <w:color w:val="000000"/>
                <w:sz w:val="20"/>
                <w:szCs w:val="20"/>
                <w:lang w:val="es-MX" w:eastAsia="es-MX"/>
              </w:rPr>
              <w:t>1,</w:t>
            </w:r>
            <w:r>
              <w:rPr>
                <w:rFonts w:ascii="Arial" w:eastAsia="Times New Roman" w:hAnsi="Arial" w:cs="Arial"/>
                <w:color w:val="000000"/>
                <w:sz w:val="20"/>
                <w:szCs w:val="20"/>
                <w:lang w:val="es-MX" w:eastAsia="es-MX"/>
              </w:rPr>
              <w:t>296,155</w:t>
            </w:r>
          </w:p>
        </w:tc>
      </w:tr>
      <w:tr w:rsidR="00333B1D" w:rsidRPr="0074154F" w14:paraId="5F7357FB" w14:textId="77777777" w:rsidTr="008F5308">
        <w:trPr>
          <w:trHeight w:val="172"/>
          <w:jc w:val="right"/>
        </w:trPr>
        <w:tc>
          <w:tcPr>
            <w:tcW w:w="5272" w:type="dxa"/>
            <w:tcBorders>
              <w:top w:val="nil"/>
              <w:left w:val="nil"/>
              <w:bottom w:val="nil"/>
              <w:right w:val="nil"/>
            </w:tcBorders>
            <w:shd w:val="clear" w:color="auto" w:fill="auto"/>
            <w:noWrap/>
            <w:vAlign w:val="bottom"/>
          </w:tcPr>
          <w:p w14:paraId="0092FB7B" w14:textId="05F4D3A6"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proofErr w:type="spellStart"/>
            <w:r w:rsidRPr="0074154F">
              <w:rPr>
                <w:rFonts w:ascii="Arial" w:eastAsia="Times New Roman" w:hAnsi="Arial" w:cs="Arial"/>
                <w:color w:val="000000"/>
                <w:sz w:val="20"/>
                <w:szCs w:val="20"/>
                <w:lang w:val="es-MX" w:eastAsia="es-MX"/>
              </w:rPr>
              <w:t>Retail</w:t>
            </w:r>
            <w:proofErr w:type="spellEnd"/>
          </w:p>
        </w:tc>
        <w:tc>
          <w:tcPr>
            <w:tcW w:w="1502" w:type="dxa"/>
            <w:tcBorders>
              <w:top w:val="nil"/>
              <w:left w:val="nil"/>
              <w:bottom w:val="nil"/>
              <w:right w:val="nil"/>
            </w:tcBorders>
            <w:shd w:val="clear" w:color="auto" w:fill="auto"/>
            <w:noWrap/>
            <w:vAlign w:val="bottom"/>
          </w:tcPr>
          <w:p w14:paraId="21C64639" w14:textId="1C683AA2" w:rsidR="00333B1D"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1,267,196</w:t>
            </w:r>
          </w:p>
        </w:tc>
        <w:tc>
          <w:tcPr>
            <w:tcW w:w="218" w:type="dxa"/>
            <w:tcBorders>
              <w:top w:val="nil"/>
              <w:left w:val="nil"/>
              <w:bottom w:val="nil"/>
              <w:right w:val="nil"/>
            </w:tcBorders>
          </w:tcPr>
          <w:p w14:paraId="4E80B673"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3AE43288" w14:textId="659E1C96" w:rsidR="00333B1D"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320267E7" w14:textId="77777777" w:rsidTr="008F5308">
        <w:trPr>
          <w:trHeight w:val="172"/>
          <w:jc w:val="right"/>
        </w:trPr>
        <w:tc>
          <w:tcPr>
            <w:tcW w:w="5272" w:type="dxa"/>
            <w:tcBorders>
              <w:top w:val="nil"/>
              <w:left w:val="nil"/>
              <w:bottom w:val="nil"/>
              <w:right w:val="nil"/>
            </w:tcBorders>
            <w:shd w:val="clear" w:color="auto" w:fill="auto"/>
            <w:noWrap/>
            <w:vAlign w:val="bottom"/>
          </w:tcPr>
          <w:p w14:paraId="5A1AECCF" w14:textId="64A3B265"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Educativo</w:t>
            </w:r>
          </w:p>
        </w:tc>
        <w:tc>
          <w:tcPr>
            <w:tcW w:w="1502" w:type="dxa"/>
            <w:tcBorders>
              <w:top w:val="nil"/>
              <w:left w:val="nil"/>
              <w:bottom w:val="nil"/>
              <w:right w:val="nil"/>
            </w:tcBorders>
            <w:shd w:val="clear" w:color="auto" w:fill="auto"/>
            <w:noWrap/>
            <w:vAlign w:val="bottom"/>
          </w:tcPr>
          <w:p w14:paraId="55FBA8C0" w14:textId="6ACFDFB1"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1,003,354</w:t>
            </w:r>
          </w:p>
        </w:tc>
        <w:tc>
          <w:tcPr>
            <w:tcW w:w="218" w:type="dxa"/>
            <w:tcBorders>
              <w:top w:val="nil"/>
              <w:left w:val="nil"/>
              <w:bottom w:val="nil"/>
              <w:right w:val="nil"/>
            </w:tcBorders>
          </w:tcPr>
          <w:p w14:paraId="3285A8A4"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4CA35BB7" w14:textId="76FFB224"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592,886</w:t>
            </w:r>
          </w:p>
        </w:tc>
      </w:tr>
      <w:tr w:rsidR="00333B1D" w:rsidRPr="0074154F" w14:paraId="3E8747AF" w14:textId="77777777" w:rsidTr="008F5308">
        <w:trPr>
          <w:trHeight w:val="172"/>
          <w:jc w:val="right"/>
        </w:trPr>
        <w:tc>
          <w:tcPr>
            <w:tcW w:w="5272" w:type="dxa"/>
            <w:tcBorders>
              <w:top w:val="nil"/>
              <w:left w:val="nil"/>
              <w:bottom w:val="nil"/>
              <w:right w:val="nil"/>
            </w:tcBorders>
            <w:shd w:val="clear" w:color="auto" w:fill="auto"/>
            <w:noWrap/>
            <w:vAlign w:val="bottom"/>
          </w:tcPr>
          <w:p w14:paraId="3FEED7C1" w14:textId="29F5AA57"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ISP / Carrier</w:t>
            </w:r>
          </w:p>
        </w:tc>
        <w:tc>
          <w:tcPr>
            <w:tcW w:w="1502" w:type="dxa"/>
            <w:tcBorders>
              <w:top w:val="nil"/>
              <w:left w:val="nil"/>
              <w:bottom w:val="nil"/>
              <w:right w:val="nil"/>
            </w:tcBorders>
            <w:shd w:val="clear" w:color="auto" w:fill="auto"/>
            <w:noWrap/>
            <w:vAlign w:val="bottom"/>
          </w:tcPr>
          <w:p w14:paraId="48D7E992" w14:textId="7D9F273D"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905,784</w:t>
            </w:r>
          </w:p>
        </w:tc>
        <w:tc>
          <w:tcPr>
            <w:tcW w:w="218" w:type="dxa"/>
            <w:tcBorders>
              <w:top w:val="nil"/>
              <w:left w:val="nil"/>
              <w:bottom w:val="nil"/>
              <w:right w:val="nil"/>
            </w:tcBorders>
          </w:tcPr>
          <w:p w14:paraId="1E285371"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0C15E1E2" w14:textId="50948766"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6,809,712</w:t>
            </w:r>
          </w:p>
        </w:tc>
      </w:tr>
      <w:tr w:rsidR="00333B1D" w:rsidRPr="0074154F" w14:paraId="4FDC999C" w14:textId="77777777" w:rsidTr="008F5308">
        <w:trPr>
          <w:trHeight w:val="172"/>
          <w:jc w:val="right"/>
        </w:trPr>
        <w:tc>
          <w:tcPr>
            <w:tcW w:w="5272" w:type="dxa"/>
            <w:tcBorders>
              <w:top w:val="nil"/>
              <w:left w:val="nil"/>
              <w:bottom w:val="nil"/>
              <w:right w:val="nil"/>
            </w:tcBorders>
            <w:shd w:val="clear" w:color="auto" w:fill="auto"/>
            <w:noWrap/>
            <w:vAlign w:val="bottom"/>
          </w:tcPr>
          <w:p w14:paraId="5898723E" w14:textId="2169EF37"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Servicio</w:t>
            </w:r>
          </w:p>
        </w:tc>
        <w:tc>
          <w:tcPr>
            <w:tcW w:w="1502" w:type="dxa"/>
            <w:tcBorders>
              <w:top w:val="nil"/>
              <w:left w:val="nil"/>
              <w:bottom w:val="nil"/>
              <w:right w:val="nil"/>
            </w:tcBorders>
            <w:shd w:val="clear" w:color="auto" w:fill="auto"/>
            <w:noWrap/>
            <w:vAlign w:val="bottom"/>
          </w:tcPr>
          <w:p w14:paraId="6B63939B" w14:textId="597A41C8"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725,127</w:t>
            </w:r>
          </w:p>
        </w:tc>
        <w:tc>
          <w:tcPr>
            <w:tcW w:w="218" w:type="dxa"/>
            <w:tcBorders>
              <w:top w:val="nil"/>
              <w:left w:val="nil"/>
              <w:bottom w:val="nil"/>
              <w:right w:val="nil"/>
            </w:tcBorders>
          </w:tcPr>
          <w:p w14:paraId="66228E67"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56BDF13D" w14:textId="21F78B10"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517,075</w:t>
            </w:r>
          </w:p>
        </w:tc>
      </w:tr>
      <w:tr w:rsidR="00333B1D" w:rsidRPr="0074154F" w14:paraId="39A22B14" w14:textId="77777777" w:rsidTr="008F5308">
        <w:trPr>
          <w:trHeight w:val="121"/>
          <w:jc w:val="right"/>
        </w:trPr>
        <w:tc>
          <w:tcPr>
            <w:tcW w:w="5272" w:type="dxa"/>
            <w:tcBorders>
              <w:top w:val="nil"/>
              <w:left w:val="nil"/>
              <w:bottom w:val="nil"/>
              <w:right w:val="nil"/>
            </w:tcBorders>
            <w:shd w:val="clear" w:color="auto" w:fill="auto"/>
            <w:noWrap/>
            <w:vAlign w:val="bottom"/>
          </w:tcPr>
          <w:p w14:paraId="604D9F61" w14:textId="0780A1E7"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Industria – Empresa</w:t>
            </w:r>
          </w:p>
        </w:tc>
        <w:tc>
          <w:tcPr>
            <w:tcW w:w="1502" w:type="dxa"/>
            <w:tcBorders>
              <w:top w:val="nil"/>
              <w:left w:val="nil"/>
              <w:bottom w:val="nil"/>
              <w:right w:val="nil"/>
            </w:tcBorders>
            <w:shd w:val="clear" w:color="auto" w:fill="auto"/>
            <w:noWrap/>
            <w:vAlign w:val="bottom"/>
          </w:tcPr>
          <w:p w14:paraId="1CE83E22" w14:textId="3F17A654"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439,156</w:t>
            </w:r>
          </w:p>
        </w:tc>
        <w:tc>
          <w:tcPr>
            <w:tcW w:w="218" w:type="dxa"/>
            <w:tcBorders>
              <w:top w:val="nil"/>
              <w:left w:val="nil"/>
              <w:bottom w:val="nil"/>
              <w:right w:val="nil"/>
            </w:tcBorders>
          </w:tcPr>
          <w:p w14:paraId="14A4556D"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7F6DFD7A" w14:textId="2A66508B"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56,268</w:t>
            </w:r>
          </w:p>
        </w:tc>
      </w:tr>
      <w:tr w:rsidR="00333B1D" w:rsidRPr="0074154F" w14:paraId="383C937A" w14:textId="77777777" w:rsidTr="008F5308">
        <w:trPr>
          <w:trHeight w:val="136"/>
          <w:jc w:val="right"/>
        </w:trPr>
        <w:tc>
          <w:tcPr>
            <w:tcW w:w="5272" w:type="dxa"/>
            <w:tcBorders>
              <w:top w:val="nil"/>
              <w:left w:val="nil"/>
              <w:bottom w:val="nil"/>
              <w:right w:val="nil"/>
            </w:tcBorders>
            <w:shd w:val="clear" w:color="auto" w:fill="auto"/>
            <w:noWrap/>
            <w:vAlign w:val="bottom"/>
          </w:tcPr>
          <w:p w14:paraId="1D5B7E8D" w14:textId="4E5CC61C"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Financiero</w:t>
            </w:r>
          </w:p>
        </w:tc>
        <w:tc>
          <w:tcPr>
            <w:tcW w:w="1502" w:type="dxa"/>
            <w:tcBorders>
              <w:top w:val="nil"/>
              <w:left w:val="nil"/>
              <w:bottom w:val="nil"/>
              <w:right w:val="nil"/>
            </w:tcBorders>
            <w:shd w:val="clear" w:color="auto" w:fill="auto"/>
            <w:noWrap/>
            <w:vAlign w:val="bottom"/>
          </w:tcPr>
          <w:p w14:paraId="5A12AA5B" w14:textId="08FE9682"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253,529</w:t>
            </w:r>
          </w:p>
        </w:tc>
        <w:tc>
          <w:tcPr>
            <w:tcW w:w="218" w:type="dxa"/>
            <w:tcBorders>
              <w:top w:val="nil"/>
              <w:left w:val="nil"/>
              <w:bottom w:val="nil"/>
              <w:right w:val="nil"/>
            </w:tcBorders>
          </w:tcPr>
          <w:p w14:paraId="191E5BAC"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3CAF9D91" w14:textId="58290DA4"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269,104</w:t>
            </w:r>
          </w:p>
        </w:tc>
      </w:tr>
      <w:tr w:rsidR="00333B1D" w:rsidRPr="0074154F" w14:paraId="1F57B2BF" w14:textId="77777777" w:rsidTr="008F5308">
        <w:trPr>
          <w:trHeight w:val="196"/>
          <w:jc w:val="right"/>
        </w:trPr>
        <w:tc>
          <w:tcPr>
            <w:tcW w:w="5272" w:type="dxa"/>
            <w:tcBorders>
              <w:top w:val="nil"/>
              <w:left w:val="nil"/>
              <w:right w:val="nil"/>
            </w:tcBorders>
            <w:shd w:val="clear" w:color="auto" w:fill="auto"/>
            <w:noWrap/>
            <w:vAlign w:val="bottom"/>
          </w:tcPr>
          <w:p w14:paraId="06F273F5" w14:textId="6D4EEA4F"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Restauración</w:t>
            </w:r>
          </w:p>
        </w:tc>
        <w:tc>
          <w:tcPr>
            <w:tcW w:w="1502" w:type="dxa"/>
            <w:tcBorders>
              <w:top w:val="nil"/>
              <w:left w:val="nil"/>
              <w:right w:val="nil"/>
            </w:tcBorders>
            <w:shd w:val="clear" w:color="auto" w:fill="auto"/>
            <w:noWrap/>
            <w:vAlign w:val="bottom"/>
          </w:tcPr>
          <w:p w14:paraId="1E57402B" w14:textId="3CF56744"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211,843</w:t>
            </w:r>
          </w:p>
        </w:tc>
        <w:tc>
          <w:tcPr>
            <w:tcW w:w="218" w:type="dxa"/>
            <w:tcBorders>
              <w:top w:val="nil"/>
              <w:left w:val="nil"/>
              <w:right w:val="nil"/>
            </w:tcBorders>
          </w:tcPr>
          <w:p w14:paraId="14457403"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47804805" w14:textId="2D877731"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57F61386" w14:textId="77777777" w:rsidTr="008F5308">
        <w:trPr>
          <w:trHeight w:val="114"/>
          <w:jc w:val="right"/>
        </w:trPr>
        <w:tc>
          <w:tcPr>
            <w:tcW w:w="5272" w:type="dxa"/>
            <w:tcBorders>
              <w:top w:val="nil"/>
              <w:left w:val="nil"/>
              <w:right w:val="nil"/>
            </w:tcBorders>
            <w:shd w:val="clear" w:color="auto" w:fill="auto"/>
            <w:noWrap/>
            <w:vAlign w:val="bottom"/>
          </w:tcPr>
          <w:p w14:paraId="02711571" w14:textId="0EC73E49"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Transporte</w:t>
            </w:r>
          </w:p>
        </w:tc>
        <w:tc>
          <w:tcPr>
            <w:tcW w:w="1502" w:type="dxa"/>
            <w:tcBorders>
              <w:top w:val="nil"/>
              <w:left w:val="nil"/>
              <w:right w:val="nil"/>
            </w:tcBorders>
            <w:shd w:val="clear" w:color="auto" w:fill="auto"/>
            <w:noWrap/>
            <w:vAlign w:val="bottom"/>
          </w:tcPr>
          <w:p w14:paraId="4750518A" w14:textId="1A2F9CF9"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188,013</w:t>
            </w:r>
          </w:p>
        </w:tc>
        <w:tc>
          <w:tcPr>
            <w:tcW w:w="218" w:type="dxa"/>
            <w:tcBorders>
              <w:top w:val="nil"/>
              <w:left w:val="nil"/>
              <w:right w:val="nil"/>
            </w:tcBorders>
          </w:tcPr>
          <w:p w14:paraId="6F54EB88"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27DCAD6E" w14:textId="2FA5C331"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0192B2D9" w14:textId="77777777" w:rsidTr="008F5308">
        <w:trPr>
          <w:trHeight w:val="159"/>
          <w:jc w:val="right"/>
        </w:trPr>
        <w:tc>
          <w:tcPr>
            <w:tcW w:w="5272" w:type="dxa"/>
            <w:tcBorders>
              <w:top w:val="nil"/>
              <w:left w:val="nil"/>
              <w:right w:val="nil"/>
            </w:tcBorders>
            <w:shd w:val="clear" w:color="auto" w:fill="auto"/>
            <w:noWrap/>
            <w:vAlign w:val="bottom"/>
          </w:tcPr>
          <w:p w14:paraId="1657EF39" w14:textId="5CF34E48"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Social</w:t>
            </w:r>
          </w:p>
        </w:tc>
        <w:tc>
          <w:tcPr>
            <w:tcW w:w="1502" w:type="dxa"/>
            <w:tcBorders>
              <w:top w:val="nil"/>
              <w:left w:val="nil"/>
              <w:right w:val="nil"/>
            </w:tcBorders>
            <w:shd w:val="clear" w:color="auto" w:fill="auto"/>
            <w:noWrap/>
            <w:vAlign w:val="bottom"/>
          </w:tcPr>
          <w:p w14:paraId="468114A1" w14:textId="2A2998C2"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81,413</w:t>
            </w:r>
          </w:p>
        </w:tc>
        <w:tc>
          <w:tcPr>
            <w:tcW w:w="218" w:type="dxa"/>
            <w:tcBorders>
              <w:top w:val="nil"/>
              <w:left w:val="nil"/>
              <w:right w:val="nil"/>
            </w:tcBorders>
          </w:tcPr>
          <w:p w14:paraId="610143CC"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0892C4C0" w14:textId="18D61A6E"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3A5632A7" w14:textId="77777777" w:rsidTr="008F5308">
        <w:trPr>
          <w:trHeight w:val="159"/>
          <w:jc w:val="right"/>
        </w:trPr>
        <w:tc>
          <w:tcPr>
            <w:tcW w:w="5272" w:type="dxa"/>
            <w:tcBorders>
              <w:top w:val="nil"/>
              <w:left w:val="nil"/>
              <w:right w:val="nil"/>
            </w:tcBorders>
            <w:shd w:val="clear" w:color="auto" w:fill="auto"/>
            <w:noWrap/>
            <w:vAlign w:val="bottom"/>
          </w:tcPr>
          <w:p w14:paraId="658E61E4" w14:textId="55BD733E"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Salud</w:t>
            </w:r>
          </w:p>
        </w:tc>
        <w:tc>
          <w:tcPr>
            <w:tcW w:w="1502" w:type="dxa"/>
            <w:tcBorders>
              <w:top w:val="nil"/>
              <w:left w:val="nil"/>
              <w:right w:val="nil"/>
            </w:tcBorders>
            <w:shd w:val="clear" w:color="auto" w:fill="auto"/>
            <w:noWrap/>
            <w:vAlign w:val="bottom"/>
          </w:tcPr>
          <w:p w14:paraId="224E4A10" w14:textId="7381D366"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80,</w:t>
            </w:r>
            <w:r>
              <w:rPr>
                <w:rFonts w:ascii="Arial" w:eastAsia="Times New Roman" w:hAnsi="Arial" w:cs="Arial"/>
                <w:color w:val="000000"/>
                <w:sz w:val="20"/>
                <w:szCs w:val="20"/>
                <w:lang w:val="es-MX" w:eastAsia="es-MX"/>
              </w:rPr>
              <w:t>4</w:t>
            </w:r>
            <w:r w:rsidRPr="0074154F">
              <w:rPr>
                <w:rFonts w:ascii="Arial" w:eastAsia="Times New Roman" w:hAnsi="Arial" w:cs="Arial"/>
                <w:color w:val="000000"/>
                <w:sz w:val="20"/>
                <w:szCs w:val="20"/>
                <w:lang w:val="es-MX" w:eastAsia="es-MX"/>
              </w:rPr>
              <w:t>44</w:t>
            </w:r>
          </w:p>
        </w:tc>
        <w:tc>
          <w:tcPr>
            <w:tcW w:w="218" w:type="dxa"/>
            <w:tcBorders>
              <w:top w:val="nil"/>
              <w:left w:val="nil"/>
              <w:right w:val="nil"/>
            </w:tcBorders>
          </w:tcPr>
          <w:p w14:paraId="307C004F"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2024AEE4" w14:textId="30DABC1C"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0D1A38D9" w14:textId="77777777" w:rsidTr="008F5308">
        <w:trPr>
          <w:trHeight w:val="77"/>
          <w:jc w:val="right"/>
        </w:trPr>
        <w:tc>
          <w:tcPr>
            <w:tcW w:w="5272" w:type="dxa"/>
            <w:tcBorders>
              <w:top w:val="nil"/>
              <w:left w:val="nil"/>
              <w:right w:val="nil"/>
            </w:tcBorders>
            <w:shd w:val="clear" w:color="auto" w:fill="auto"/>
            <w:noWrap/>
            <w:vAlign w:val="bottom"/>
          </w:tcPr>
          <w:p w14:paraId="73E3F20A" w14:textId="38A6FCD7" w:rsidR="00333B1D" w:rsidRPr="0074154F" w:rsidRDefault="00333B1D" w:rsidP="00333B1D">
            <w:pPr>
              <w:spacing w:after="0" w:line="240" w:lineRule="auto"/>
              <w:ind w:left="-70"/>
              <w:rPr>
                <w:rFonts w:ascii="Arial" w:eastAsia="Times New Roman" w:hAnsi="Arial" w:cs="Arial"/>
                <w:color w:val="000000"/>
                <w:sz w:val="20"/>
                <w:szCs w:val="20"/>
                <w:lang w:eastAsia="es-EC"/>
              </w:rPr>
            </w:pPr>
            <w:proofErr w:type="spellStart"/>
            <w:r w:rsidRPr="0074154F">
              <w:rPr>
                <w:rFonts w:ascii="Arial" w:eastAsia="Times New Roman" w:hAnsi="Arial" w:cs="Arial"/>
                <w:color w:val="000000"/>
                <w:sz w:val="20"/>
                <w:szCs w:val="20"/>
                <w:lang w:eastAsia="es-EC"/>
              </w:rPr>
              <w:t>Hoteleria</w:t>
            </w:r>
            <w:proofErr w:type="spellEnd"/>
          </w:p>
        </w:tc>
        <w:tc>
          <w:tcPr>
            <w:tcW w:w="1502" w:type="dxa"/>
            <w:tcBorders>
              <w:top w:val="nil"/>
              <w:left w:val="nil"/>
              <w:right w:val="nil"/>
            </w:tcBorders>
            <w:shd w:val="clear" w:color="auto" w:fill="auto"/>
            <w:noWrap/>
            <w:vAlign w:val="bottom"/>
          </w:tcPr>
          <w:p w14:paraId="0AC96738" w14:textId="20AEBE7F"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73,851</w:t>
            </w:r>
          </w:p>
        </w:tc>
        <w:tc>
          <w:tcPr>
            <w:tcW w:w="218" w:type="dxa"/>
            <w:tcBorders>
              <w:top w:val="nil"/>
              <w:left w:val="nil"/>
              <w:right w:val="nil"/>
            </w:tcBorders>
          </w:tcPr>
          <w:p w14:paraId="6B89787A"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13DFD5D0" w14:textId="526F523E"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52BC59E1" w14:textId="77777777" w:rsidTr="008F5308">
        <w:trPr>
          <w:trHeight w:val="77"/>
          <w:jc w:val="right"/>
        </w:trPr>
        <w:tc>
          <w:tcPr>
            <w:tcW w:w="5272" w:type="dxa"/>
            <w:tcBorders>
              <w:top w:val="nil"/>
              <w:left w:val="nil"/>
              <w:right w:val="nil"/>
            </w:tcBorders>
            <w:shd w:val="clear" w:color="auto" w:fill="auto"/>
            <w:noWrap/>
            <w:vAlign w:val="bottom"/>
          </w:tcPr>
          <w:p w14:paraId="099A9059" w14:textId="2B3D0173"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Residencial</w:t>
            </w:r>
          </w:p>
        </w:tc>
        <w:tc>
          <w:tcPr>
            <w:tcW w:w="1502" w:type="dxa"/>
            <w:tcBorders>
              <w:top w:val="nil"/>
              <w:left w:val="nil"/>
              <w:right w:val="nil"/>
            </w:tcBorders>
            <w:shd w:val="clear" w:color="auto" w:fill="auto"/>
            <w:noWrap/>
            <w:vAlign w:val="bottom"/>
          </w:tcPr>
          <w:p w14:paraId="09A04FEC" w14:textId="3A47A48C"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30,608</w:t>
            </w:r>
          </w:p>
        </w:tc>
        <w:tc>
          <w:tcPr>
            <w:tcW w:w="218" w:type="dxa"/>
            <w:tcBorders>
              <w:top w:val="nil"/>
              <w:left w:val="nil"/>
              <w:right w:val="nil"/>
            </w:tcBorders>
          </w:tcPr>
          <w:p w14:paraId="6626BCF1"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772B49D5" w14:textId="13B2E6B9"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w:t>
            </w:r>
          </w:p>
        </w:tc>
      </w:tr>
      <w:tr w:rsidR="00333B1D" w:rsidRPr="0074154F" w14:paraId="47A71FB9" w14:textId="77777777" w:rsidTr="008F5308">
        <w:trPr>
          <w:trHeight w:val="77"/>
          <w:jc w:val="right"/>
        </w:trPr>
        <w:tc>
          <w:tcPr>
            <w:tcW w:w="5272" w:type="dxa"/>
            <w:tcBorders>
              <w:top w:val="nil"/>
              <w:left w:val="nil"/>
              <w:right w:val="nil"/>
            </w:tcBorders>
            <w:shd w:val="clear" w:color="auto" w:fill="auto"/>
            <w:noWrap/>
            <w:vAlign w:val="bottom"/>
          </w:tcPr>
          <w:p w14:paraId="1B10CA06" w14:textId="5E6D6FEB" w:rsidR="00333B1D" w:rsidRPr="0074154F" w:rsidRDefault="00333B1D" w:rsidP="00333B1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Personal</w:t>
            </w:r>
          </w:p>
        </w:tc>
        <w:tc>
          <w:tcPr>
            <w:tcW w:w="1502" w:type="dxa"/>
            <w:tcBorders>
              <w:top w:val="nil"/>
              <w:left w:val="nil"/>
              <w:right w:val="nil"/>
            </w:tcBorders>
            <w:shd w:val="clear" w:color="auto" w:fill="auto"/>
            <w:noWrap/>
            <w:vAlign w:val="bottom"/>
          </w:tcPr>
          <w:p w14:paraId="6E230B2A" w14:textId="1B05B3C8"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12,158</w:t>
            </w:r>
          </w:p>
        </w:tc>
        <w:tc>
          <w:tcPr>
            <w:tcW w:w="218" w:type="dxa"/>
            <w:tcBorders>
              <w:top w:val="nil"/>
              <w:left w:val="nil"/>
              <w:right w:val="nil"/>
            </w:tcBorders>
          </w:tcPr>
          <w:p w14:paraId="517032EF"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585ECB39" w14:textId="47424110"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16,657</w:t>
            </w:r>
          </w:p>
        </w:tc>
      </w:tr>
      <w:tr w:rsidR="00333B1D" w:rsidRPr="0074154F" w14:paraId="2C1D9812" w14:textId="77777777" w:rsidTr="008F5308">
        <w:trPr>
          <w:trHeight w:val="77"/>
          <w:jc w:val="right"/>
        </w:trPr>
        <w:tc>
          <w:tcPr>
            <w:tcW w:w="5272" w:type="dxa"/>
            <w:tcBorders>
              <w:top w:val="nil"/>
              <w:left w:val="nil"/>
              <w:right w:val="nil"/>
            </w:tcBorders>
            <w:shd w:val="clear" w:color="auto" w:fill="auto"/>
            <w:noWrap/>
            <w:vAlign w:val="bottom"/>
          </w:tcPr>
          <w:p w14:paraId="5A5813F0" w14:textId="5F5D4CDD" w:rsidR="00333B1D" w:rsidRPr="0074154F" w:rsidRDefault="00333B1D" w:rsidP="00333B1D">
            <w:pPr>
              <w:spacing w:after="0" w:line="240" w:lineRule="auto"/>
              <w:ind w:left="-70"/>
              <w:rPr>
                <w:rFonts w:ascii="Arial" w:eastAsia="Times New Roman" w:hAnsi="Arial" w:cs="Arial"/>
                <w:color w:val="000000"/>
                <w:sz w:val="20"/>
                <w:szCs w:val="20"/>
                <w:lang w:eastAsia="es-EC"/>
              </w:rPr>
            </w:pPr>
            <w:proofErr w:type="spellStart"/>
            <w:r w:rsidRPr="0074154F">
              <w:rPr>
                <w:rFonts w:ascii="Arial" w:eastAsia="Times New Roman" w:hAnsi="Arial" w:cs="Arial"/>
                <w:color w:val="000000"/>
                <w:sz w:val="20"/>
                <w:szCs w:val="20"/>
                <w:lang w:val="es-MX" w:eastAsia="es-MX"/>
              </w:rPr>
              <w:t>Cyber</w:t>
            </w:r>
            <w:proofErr w:type="spellEnd"/>
          </w:p>
        </w:tc>
        <w:tc>
          <w:tcPr>
            <w:tcW w:w="1502" w:type="dxa"/>
            <w:tcBorders>
              <w:top w:val="nil"/>
              <w:left w:val="nil"/>
              <w:right w:val="nil"/>
            </w:tcBorders>
            <w:shd w:val="clear" w:color="auto" w:fill="auto"/>
            <w:noWrap/>
            <w:vAlign w:val="bottom"/>
          </w:tcPr>
          <w:p w14:paraId="0001D507" w14:textId="3EEF8317"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11,338</w:t>
            </w:r>
          </w:p>
        </w:tc>
        <w:tc>
          <w:tcPr>
            <w:tcW w:w="218" w:type="dxa"/>
            <w:tcBorders>
              <w:top w:val="nil"/>
              <w:left w:val="nil"/>
              <w:right w:val="nil"/>
            </w:tcBorders>
          </w:tcPr>
          <w:p w14:paraId="6156242A"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40B6490F" w14:textId="21887604"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39,753</w:t>
            </w:r>
          </w:p>
        </w:tc>
      </w:tr>
      <w:tr w:rsidR="00333B1D" w:rsidRPr="0074154F" w14:paraId="30237F3F" w14:textId="77777777" w:rsidTr="008F5308">
        <w:trPr>
          <w:trHeight w:val="123"/>
          <w:jc w:val="right"/>
        </w:trPr>
        <w:tc>
          <w:tcPr>
            <w:tcW w:w="5272" w:type="dxa"/>
            <w:tcBorders>
              <w:top w:val="nil"/>
              <w:left w:val="nil"/>
              <w:right w:val="nil"/>
            </w:tcBorders>
            <w:shd w:val="clear" w:color="auto" w:fill="auto"/>
            <w:noWrap/>
            <w:vAlign w:val="bottom"/>
          </w:tcPr>
          <w:p w14:paraId="42039DB8" w14:textId="10AE7642"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Otros</w:t>
            </w:r>
          </w:p>
        </w:tc>
        <w:tc>
          <w:tcPr>
            <w:tcW w:w="1502" w:type="dxa"/>
            <w:tcBorders>
              <w:top w:val="nil"/>
              <w:left w:val="nil"/>
              <w:right w:val="nil"/>
            </w:tcBorders>
            <w:shd w:val="clear" w:color="auto" w:fill="auto"/>
            <w:noWrap/>
            <w:vAlign w:val="bottom"/>
          </w:tcPr>
          <w:p w14:paraId="1FC68139" w14:textId="1ACBB02F" w:rsidR="00333B1D" w:rsidRPr="0074154F" w:rsidRDefault="00333B1D" w:rsidP="00333B1D">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1,5</w:t>
            </w:r>
            <w:r>
              <w:rPr>
                <w:rFonts w:ascii="Arial" w:eastAsia="Times New Roman" w:hAnsi="Arial" w:cs="Arial"/>
                <w:sz w:val="20"/>
                <w:szCs w:val="20"/>
                <w:lang w:eastAsia="es-EC"/>
              </w:rPr>
              <w:t>82,513</w:t>
            </w:r>
          </w:p>
        </w:tc>
        <w:tc>
          <w:tcPr>
            <w:tcW w:w="218" w:type="dxa"/>
            <w:tcBorders>
              <w:top w:val="nil"/>
              <w:left w:val="nil"/>
              <w:right w:val="nil"/>
            </w:tcBorders>
          </w:tcPr>
          <w:p w14:paraId="1D583855"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5C75D970" w14:textId="7F0A51F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3,553</w:t>
            </w:r>
          </w:p>
        </w:tc>
      </w:tr>
      <w:tr w:rsidR="00333B1D" w:rsidRPr="0074154F" w14:paraId="1FE28C39" w14:textId="77777777" w:rsidTr="008F5308">
        <w:trPr>
          <w:trHeight w:val="221"/>
          <w:jc w:val="right"/>
        </w:trPr>
        <w:tc>
          <w:tcPr>
            <w:tcW w:w="5272" w:type="dxa"/>
            <w:tcBorders>
              <w:top w:val="nil"/>
              <w:left w:val="nil"/>
              <w:bottom w:val="nil"/>
              <w:right w:val="nil"/>
            </w:tcBorders>
            <w:shd w:val="clear" w:color="auto" w:fill="auto"/>
            <w:noWrap/>
            <w:vAlign w:val="bottom"/>
          </w:tcPr>
          <w:p w14:paraId="5CD55A65" w14:textId="77777777" w:rsidR="00333B1D" w:rsidRPr="0074154F" w:rsidRDefault="00333B1D" w:rsidP="00333B1D">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7FF9AB9B"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28394E20"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4" w:space="0" w:color="auto"/>
              <w:left w:val="nil"/>
              <w:right w:val="nil"/>
            </w:tcBorders>
            <w:shd w:val="clear" w:color="auto" w:fill="auto"/>
            <w:noWrap/>
            <w:vAlign w:val="bottom"/>
          </w:tcPr>
          <w:p w14:paraId="3976DBFF"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r>
      <w:tr w:rsidR="00333B1D" w:rsidRPr="0074154F" w14:paraId="7F8A05FE" w14:textId="77777777" w:rsidTr="008F5308">
        <w:trPr>
          <w:trHeight w:val="88"/>
          <w:jc w:val="right"/>
        </w:trPr>
        <w:tc>
          <w:tcPr>
            <w:tcW w:w="5272" w:type="dxa"/>
            <w:tcBorders>
              <w:top w:val="nil"/>
              <w:left w:val="nil"/>
              <w:bottom w:val="nil"/>
              <w:right w:val="nil"/>
            </w:tcBorders>
            <w:shd w:val="clear" w:color="auto" w:fill="auto"/>
            <w:noWrap/>
            <w:vAlign w:val="bottom"/>
          </w:tcPr>
          <w:p w14:paraId="512A1E3A" w14:textId="77777777" w:rsidR="00333B1D" w:rsidRPr="0074154F" w:rsidRDefault="00333B1D" w:rsidP="00333B1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 xml:space="preserve">Total </w:t>
            </w:r>
          </w:p>
        </w:tc>
        <w:tc>
          <w:tcPr>
            <w:tcW w:w="1502" w:type="dxa"/>
            <w:tcBorders>
              <w:left w:val="nil"/>
              <w:bottom w:val="double" w:sz="4" w:space="0" w:color="auto"/>
              <w:right w:val="nil"/>
            </w:tcBorders>
            <w:shd w:val="clear" w:color="auto" w:fill="auto"/>
            <w:noWrap/>
            <w:vAlign w:val="bottom"/>
          </w:tcPr>
          <w:p w14:paraId="57D687C3" w14:textId="40A9FD38"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22,776,696</w:t>
            </w:r>
          </w:p>
        </w:tc>
        <w:tc>
          <w:tcPr>
            <w:tcW w:w="218" w:type="dxa"/>
            <w:tcBorders>
              <w:left w:val="nil"/>
              <w:right w:val="nil"/>
            </w:tcBorders>
          </w:tcPr>
          <w:p w14:paraId="5C2324DF"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4B4A6178" w14:textId="7652AA41"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15,698,474</w:t>
            </w:r>
          </w:p>
        </w:tc>
      </w:tr>
      <w:tr w:rsidR="00333B1D" w:rsidRPr="0074154F" w14:paraId="08219157" w14:textId="77777777" w:rsidTr="008F5308">
        <w:trPr>
          <w:trHeight w:val="283"/>
          <w:jc w:val="right"/>
        </w:trPr>
        <w:tc>
          <w:tcPr>
            <w:tcW w:w="5272" w:type="dxa"/>
            <w:tcBorders>
              <w:top w:val="nil"/>
              <w:left w:val="nil"/>
              <w:bottom w:val="nil"/>
              <w:right w:val="nil"/>
            </w:tcBorders>
            <w:shd w:val="clear" w:color="auto" w:fill="auto"/>
            <w:noWrap/>
            <w:vAlign w:val="bottom"/>
          </w:tcPr>
          <w:p w14:paraId="6D14D376" w14:textId="77777777" w:rsidR="00333B1D" w:rsidRPr="0074154F" w:rsidRDefault="00333B1D" w:rsidP="00333B1D">
            <w:pPr>
              <w:spacing w:after="0" w:line="240" w:lineRule="auto"/>
              <w:ind w:left="-70"/>
              <w:rPr>
                <w:rFonts w:ascii="Arial" w:eastAsia="Times New Roman" w:hAnsi="Arial" w:cs="Arial"/>
                <w:color w:val="000000"/>
                <w:sz w:val="20"/>
                <w:szCs w:val="20"/>
                <w:lang w:eastAsia="es-MX"/>
              </w:rPr>
            </w:pPr>
          </w:p>
        </w:tc>
        <w:tc>
          <w:tcPr>
            <w:tcW w:w="1502" w:type="dxa"/>
            <w:tcBorders>
              <w:top w:val="double" w:sz="4" w:space="0" w:color="auto"/>
              <w:left w:val="nil"/>
              <w:right w:val="nil"/>
            </w:tcBorders>
            <w:shd w:val="clear" w:color="auto" w:fill="auto"/>
            <w:noWrap/>
            <w:vAlign w:val="bottom"/>
          </w:tcPr>
          <w:p w14:paraId="53014F2D"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74474E2E"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double" w:sz="4" w:space="0" w:color="auto"/>
              <w:left w:val="nil"/>
              <w:right w:val="nil"/>
            </w:tcBorders>
            <w:shd w:val="clear" w:color="auto" w:fill="auto"/>
            <w:noWrap/>
            <w:vAlign w:val="bottom"/>
          </w:tcPr>
          <w:p w14:paraId="6E8F3CEF" w14:textId="77777777" w:rsidR="00333B1D" w:rsidRPr="0074154F" w:rsidRDefault="00333B1D" w:rsidP="00333B1D">
            <w:pPr>
              <w:tabs>
                <w:tab w:val="decimal" w:pos="1276"/>
              </w:tabs>
              <w:spacing w:after="0" w:line="240" w:lineRule="auto"/>
              <w:ind w:right="-166"/>
              <w:rPr>
                <w:rFonts w:ascii="Arial" w:eastAsia="Times New Roman" w:hAnsi="Arial" w:cs="Arial"/>
                <w:color w:val="000000"/>
                <w:sz w:val="20"/>
                <w:szCs w:val="20"/>
                <w:lang w:eastAsia="es-EC"/>
              </w:rPr>
            </w:pPr>
          </w:p>
        </w:tc>
      </w:tr>
    </w:tbl>
    <w:p w14:paraId="169CAAB9" w14:textId="3C757A27" w:rsidR="00122A3E" w:rsidRPr="0074154F" w:rsidRDefault="00BA7F25" w:rsidP="00413455">
      <w:pPr>
        <w:tabs>
          <w:tab w:val="left" w:pos="1276"/>
        </w:tabs>
        <w:spacing w:after="0" w:line="240" w:lineRule="auto"/>
        <w:ind w:left="567"/>
        <w:contextualSpacing/>
        <w:jc w:val="both"/>
        <w:rPr>
          <w:rFonts w:ascii="Arial" w:hAnsi="Arial" w:cs="Arial"/>
          <w:sz w:val="20"/>
          <w:szCs w:val="20"/>
        </w:rPr>
      </w:pPr>
      <w:r w:rsidRPr="0074154F">
        <w:rPr>
          <w:rFonts w:ascii="Arial" w:hAnsi="Arial" w:cs="Arial"/>
          <w:sz w:val="20"/>
          <w:szCs w:val="20"/>
        </w:rPr>
        <w:t>Al 31 de diciembre de</w:t>
      </w:r>
      <w:r w:rsidR="006B2541" w:rsidRPr="0074154F">
        <w:rPr>
          <w:rFonts w:ascii="Arial" w:hAnsi="Arial" w:cs="Arial"/>
          <w:sz w:val="20"/>
          <w:szCs w:val="20"/>
        </w:rPr>
        <w:t>l</w:t>
      </w:r>
      <w:r w:rsidRPr="0074154F">
        <w:rPr>
          <w:rFonts w:ascii="Arial" w:hAnsi="Arial" w:cs="Arial"/>
          <w:sz w:val="20"/>
          <w:szCs w:val="20"/>
        </w:rPr>
        <w:t xml:space="preserve"> 20</w:t>
      </w:r>
      <w:r w:rsidR="00F34EF7" w:rsidRPr="0074154F">
        <w:rPr>
          <w:rFonts w:ascii="Arial" w:hAnsi="Arial" w:cs="Arial"/>
          <w:sz w:val="20"/>
          <w:szCs w:val="20"/>
        </w:rPr>
        <w:t>20</w:t>
      </w:r>
      <w:r w:rsidRPr="0074154F">
        <w:rPr>
          <w:rFonts w:ascii="Arial" w:hAnsi="Arial" w:cs="Arial"/>
          <w:sz w:val="20"/>
          <w:szCs w:val="20"/>
        </w:rPr>
        <w:t>:</w:t>
      </w:r>
      <w:r w:rsidR="00B26EA0" w:rsidRPr="0074154F">
        <w:rPr>
          <w:rFonts w:ascii="Arial" w:hAnsi="Arial" w:cs="Arial"/>
          <w:sz w:val="20"/>
          <w:szCs w:val="20"/>
        </w:rPr>
        <w:t xml:space="preserve">  </w:t>
      </w:r>
    </w:p>
    <w:p w14:paraId="5DA4EFAE" w14:textId="13411935" w:rsidR="00BA7F25" w:rsidRPr="0074154F" w:rsidRDefault="00BA7F25" w:rsidP="00413455">
      <w:pPr>
        <w:tabs>
          <w:tab w:val="left" w:pos="1276"/>
        </w:tabs>
        <w:spacing w:after="0" w:line="240" w:lineRule="auto"/>
        <w:ind w:left="567"/>
        <w:contextualSpacing/>
        <w:jc w:val="both"/>
        <w:rPr>
          <w:rFonts w:ascii="Arial" w:hAnsi="Arial" w:cs="Arial"/>
          <w:sz w:val="20"/>
          <w:szCs w:val="20"/>
        </w:rPr>
      </w:pPr>
    </w:p>
    <w:p w14:paraId="55095705" w14:textId="19F5F07E" w:rsidR="00D03008" w:rsidRPr="0074154F" w:rsidRDefault="008115AC" w:rsidP="00413455">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Clientes,</w:t>
      </w:r>
      <w:r w:rsidR="004802B1" w:rsidRPr="0074154F">
        <w:rPr>
          <w:rFonts w:ascii="Arial" w:hAnsi="Arial" w:cs="Arial"/>
          <w:sz w:val="20"/>
          <w:szCs w:val="20"/>
        </w:rPr>
        <w:t xml:space="preserve"> re</w:t>
      </w:r>
      <w:r w:rsidR="00434904" w:rsidRPr="0074154F">
        <w:rPr>
          <w:rFonts w:ascii="Arial" w:hAnsi="Arial" w:cs="Arial"/>
          <w:sz w:val="20"/>
          <w:szCs w:val="20"/>
        </w:rPr>
        <w:t>presenta</w:t>
      </w:r>
      <w:r w:rsidR="009B5255" w:rsidRPr="0074154F">
        <w:rPr>
          <w:rFonts w:ascii="Arial" w:hAnsi="Arial" w:cs="Arial"/>
          <w:sz w:val="20"/>
          <w:szCs w:val="20"/>
        </w:rPr>
        <w:t>n</w:t>
      </w:r>
      <w:r w:rsidR="00434904" w:rsidRPr="0074154F">
        <w:rPr>
          <w:rFonts w:ascii="Arial" w:hAnsi="Arial" w:cs="Arial"/>
          <w:sz w:val="20"/>
          <w:szCs w:val="20"/>
        </w:rPr>
        <w:t xml:space="preserve"> </w:t>
      </w:r>
      <w:r w:rsidRPr="0074154F">
        <w:rPr>
          <w:rFonts w:ascii="Arial" w:hAnsi="Arial" w:cs="Arial"/>
          <w:sz w:val="20"/>
          <w:szCs w:val="20"/>
        </w:rPr>
        <w:t xml:space="preserve">prestación a portadoras de </w:t>
      </w:r>
      <w:r w:rsidR="00434904" w:rsidRPr="0074154F">
        <w:rPr>
          <w:rFonts w:ascii="Arial" w:hAnsi="Arial" w:cs="Arial"/>
          <w:sz w:val="20"/>
          <w:szCs w:val="20"/>
        </w:rPr>
        <w:t xml:space="preserve">servicios </w:t>
      </w:r>
      <w:r w:rsidRPr="0074154F">
        <w:rPr>
          <w:rFonts w:ascii="Arial" w:hAnsi="Arial" w:cs="Arial"/>
          <w:sz w:val="20"/>
          <w:szCs w:val="20"/>
        </w:rPr>
        <w:t xml:space="preserve">de internet, </w:t>
      </w:r>
      <w:r w:rsidR="000D1F39">
        <w:rPr>
          <w:rFonts w:ascii="Arial" w:hAnsi="Arial" w:cs="Arial"/>
          <w:sz w:val="20"/>
          <w:szCs w:val="20"/>
        </w:rPr>
        <w:t xml:space="preserve">transmisión de datos, </w:t>
      </w:r>
      <w:r w:rsidRPr="0074154F">
        <w:rPr>
          <w:rFonts w:ascii="Arial" w:hAnsi="Arial" w:cs="Arial"/>
          <w:sz w:val="20"/>
          <w:szCs w:val="20"/>
        </w:rPr>
        <w:t>terminaciones de puntos de red y servicios de data center</w:t>
      </w:r>
      <w:r w:rsidR="00434904" w:rsidRPr="0074154F">
        <w:rPr>
          <w:rFonts w:ascii="Arial" w:hAnsi="Arial" w:cs="Arial"/>
          <w:sz w:val="20"/>
          <w:szCs w:val="20"/>
        </w:rPr>
        <w:t xml:space="preserve"> pendientes de facturar </w:t>
      </w:r>
      <w:r w:rsidR="00000ED8" w:rsidRPr="0074154F">
        <w:rPr>
          <w:rFonts w:ascii="Arial" w:hAnsi="Arial" w:cs="Arial"/>
          <w:sz w:val="20"/>
          <w:szCs w:val="20"/>
        </w:rPr>
        <w:t xml:space="preserve">los cuales </w:t>
      </w:r>
      <w:r w:rsidRPr="0074154F">
        <w:rPr>
          <w:rFonts w:ascii="Arial" w:hAnsi="Arial" w:cs="Arial"/>
          <w:sz w:val="20"/>
          <w:szCs w:val="20"/>
        </w:rPr>
        <w:t>tienen vencimientos promedios de hasta 60 días promedios</w:t>
      </w:r>
      <w:r w:rsidR="00000ED8" w:rsidRPr="0074154F">
        <w:rPr>
          <w:rFonts w:ascii="Arial" w:hAnsi="Arial" w:cs="Arial"/>
          <w:sz w:val="20"/>
          <w:szCs w:val="20"/>
        </w:rPr>
        <w:t xml:space="preserve"> y no generan intereses</w:t>
      </w:r>
      <w:r w:rsidR="00F8038A" w:rsidRPr="0074154F">
        <w:rPr>
          <w:rFonts w:ascii="Arial" w:hAnsi="Arial" w:cs="Arial"/>
          <w:sz w:val="20"/>
          <w:szCs w:val="20"/>
        </w:rPr>
        <w:t>.</w:t>
      </w:r>
    </w:p>
    <w:p w14:paraId="53D35644" w14:textId="445D204D" w:rsidR="00F8038A" w:rsidRPr="0074154F" w:rsidRDefault="00F8038A" w:rsidP="00F8038A">
      <w:pPr>
        <w:pStyle w:val="ListParagraph"/>
        <w:spacing w:after="0" w:line="240" w:lineRule="auto"/>
        <w:ind w:left="993" w:right="-1"/>
        <w:contextualSpacing w:val="0"/>
        <w:jc w:val="both"/>
        <w:rPr>
          <w:rFonts w:ascii="Arial" w:hAnsi="Arial" w:cs="Arial"/>
          <w:sz w:val="20"/>
          <w:szCs w:val="20"/>
        </w:rPr>
      </w:pPr>
    </w:p>
    <w:p w14:paraId="43AD0CBA" w14:textId="5FBF0CD1" w:rsidR="001457B7" w:rsidRPr="0074154F" w:rsidRDefault="001457B7" w:rsidP="00F8038A">
      <w:pPr>
        <w:pStyle w:val="ListParagraph"/>
        <w:spacing w:after="0" w:line="240" w:lineRule="auto"/>
        <w:ind w:left="993" w:right="-1"/>
        <w:contextualSpacing w:val="0"/>
        <w:jc w:val="both"/>
        <w:rPr>
          <w:rFonts w:ascii="Arial" w:hAnsi="Arial" w:cs="Arial"/>
          <w:sz w:val="20"/>
          <w:szCs w:val="20"/>
        </w:rPr>
      </w:pPr>
      <w:r w:rsidRPr="0074154F">
        <w:rPr>
          <w:rFonts w:ascii="Arial" w:hAnsi="Arial" w:cs="Arial"/>
          <w:sz w:val="20"/>
          <w:szCs w:val="20"/>
        </w:rPr>
        <w:t xml:space="preserve">Para el año 2020 </w:t>
      </w:r>
      <w:r w:rsidR="000D1F39">
        <w:rPr>
          <w:rFonts w:ascii="Arial" w:hAnsi="Arial" w:cs="Arial"/>
          <w:sz w:val="20"/>
          <w:szCs w:val="20"/>
        </w:rPr>
        <w:t xml:space="preserve">la Compañía y su relacionada </w:t>
      </w:r>
      <w:r w:rsidRPr="0074154F">
        <w:rPr>
          <w:rFonts w:ascii="Arial" w:hAnsi="Arial" w:cs="Arial"/>
          <w:sz w:val="20"/>
          <w:szCs w:val="20"/>
        </w:rPr>
        <w:t>realizó recuperación de cartera por US$4</w:t>
      </w:r>
      <w:r w:rsidR="000D1F39">
        <w:rPr>
          <w:rFonts w:ascii="Arial" w:hAnsi="Arial" w:cs="Arial"/>
          <w:sz w:val="20"/>
          <w:szCs w:val="20"/>
        </w:rPr>
        <w:t>5</w:t>
      </w:r>
      <w:r w:rsidRPr="0074154F">
        <w:rPr>
          <w:rFonts w:ascii="Arial" w:hAnsi="Arial" w:cs="Arial"/>
          <w:sz w:val="20"/>
          <w:szCs w:val="20"/>
        </w:rPr>
        <w:t xml:space="preserve"> millones derivados de servicios de internet y prestación de portadores de telecomunicaciones</w:t>
      </w:r>
      <w:r w:rsidR="000D1F39">
        <w:rPr>
          <w:rFonts w:ascii="Arial" w:hAnsi="Arial" w:cs="Arial"/>
          <w:sz w:val="20"/>
          <w:szCs w:val="20"/>
        </w:rPr>
        <w:t xml:space="preserve"> y servicios de red</w:t>
      </w:r>
      <w:r w:rsidRPr="0074154F">
        <w:rPr>
          <w:rFonts w:ascii="Arial" w:hAnsi="Arial" w:cs="Arial"/>
          <w:sz w:val="20"/>
          <w:szCs w:val="20"/>
        </w:rPr>
        <w:t>.</w:t>
      </w:r>
    </w:p>
    <w:p w14:paraId="5F68542C" w14:textId="1EBAE116" w:rsidR="001457B7" w:rsidRDefault="001457B7" w:rsidP="00F8038A">
      <w:pPr>
        <w:pStyle w:val="ListParagraph"/>
        <w:spacing w:after="0" w:line="240" w:lineRule="auto"/>
        <w:ind w:left="993" w:right="-1"/>
        <w:contextualSpacing w:val="0"/>
        <w:jc w:val="both"/>
        <w:rPr>
          <w:rFonts w:ascii="Arial" w:hAnsi="Arial" w:cs="Arial"/>
          <w:sz w:val="20"/>
          <w:szCs w:val="20"/>
        </w:rPr>
      </w:pPr>
    </w:p>
    <w:p w14:paraId="65EA6296" w14:textId="32229D76" w:rsidR="006524F9" w:rsidRPr="0074154F" w:rsidRDefault="006524F9" w:rsidP="006524F9">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 xml:space="preserve">Negocios y Telefonía </w:t>
      </w:r>
      <w:proofErr w:type="spellStart"/>
      <w:r w:rsidRPr="0074154F">
        <w:rPr>
          <w:rFonts w:ascii="Arial" w:hAnsi="Arial" w:cs="Arial"/>
          <w:sz w:val="20"/>
          <w:szCs w:val="20"/>
        </w:rPr>
        <w:t>Nedetel</w:t>
      </w:r>
      <w:proofErr w:type="spellEnd"/>
      <w:r w:rsidRPr="0074154F">
        <w:rPr>
          <w:rFonts w:ascii="Arial" w:hAnsi="Arial" w:cs="Arial"/>
          <w:sz w:val="20"/>
          <w:szCs w:val="20"/>
        </w:rPr>
        <w:t xml:space="preserve"> S.A. corresponden a la prestación de servicios por capacidades de internet los cuales quedaron pendientes de cobros y se entregaron letras de cambio </w:t>
      </w:r>
      <w:r w:rsidR="00E543DB" w:rsidRPr="0074154F">
        <w:rPr>
          <w:rFonts w:ascii="Arial" w:hAnsi="Arial" w:cs="Arial"/>
          <w:sz w:val="20"/>
          <w:szCs w:val="20"/>
        </w:rPr>
        <w:t xml:space="preserve">como garantías de cobros </w:t>
      </w:r>
      <w:r w:rsidRPr="0074154F">
        <w:rPr>
          <w:rFonts w:ascii="Arial" w:hAnsi="Arial" w:cs="Arial"/>
          <w:sz w:val="20"/>
          <w:szCs w:val="20"/>
        </w:rPr>
        <w:t>con vencimientos el 14 de junio del 2021. Durante el año 2021</w:t>
      </w:r>
      <w:r w:rsidR="00E9136E" w:rsidRPr="0074154F">
        <w:rPr>
          <w:rFonts w:ascii="Arial" w:hAnsi="Arial" w:cs="Arial"/>
          <w:sz w:val="20"/>
          <w:szCs w:val="20"/>
        </w:rPr>
        <w:t xml:space="preserve">, </w:t>
      </w:r>
      <w:r w:rsidRPr="0074154F">
        <w:rPr>
          <w:rFonts w:ascii="Arial" w:hAnsi="Arial" w:cs="Arial"/>
          <w:sz w:val="20"/>
          <w:szCs w:val="20"/>
        </w:rPr>
        <w:t xml:space="preserve">se gestionaron cobranzas en el mes de enero por US$3.1 millones y en el mes de marzo por US$1.7 millones </w:t>
      </w:r>
    </w:p>
    <w:p w14:paraId="167CCEB6" w14:textId="4D12E28D" w:rsidR="006524F9" w:rsidRPr="0074154F" w:rsidRDefault="006524F9" w:rsidP="00F8038A">
      <w:pPr>
        <w:pStyle w:val="ListParagraph"/>
        <w:spacing w:after="0" w:line="240" w:lineRule="auto"/>
        <w:ind w:left="993" w:right="-1"/>
        <w:contextualSpacing w:val="0"/>
        <w:jc w:val="both"/>
        <w:rPr>
          <w:rFonts w:ascii="Arial" w:hAnsi="Arial" w:cs="Arial"/>
          <w:sz w:val="20"/>
          <w:szCs w:val="20"/>
        </w:rPr>
      </w:pPr>
    </w:p>
    <w:p w14:paraId="6DE380EE" w14:textId="6EE8D328" w:rsidR="00E543DB" w:rsidRPr="0074154F" w:rsidRDefault="00E543DB" w:rsidP="00EA0DD1">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Servicios de Gestión Inmobiliaria del Sector Público, corresponden a</w:t>
      </w:r>
      <w:r w:rsidR="00E9136E" w:rsidRPr="0074154F">
        <w:rPr>
          <w:rFonts w:ascii="Arial" w:hAnsi="Arial" w:cs="Arial"/>
          <w:sz w:val="20"/>
          <w:szCs w:val="20"/>
        </w:rPr>
        <w:t xml:space="preserve">l saldo por recuperar relacionado con los </w:t>
      </w:r>
      <w:r w:rsidRPr="0074154F">
        <w:rPr>
          <w:rFonts w:ascii="Arial" w:hAnsi="Arial" w:cs="Arial"/>
          <w:sz w:val="20"/>
          <w:szCs w:val="20"/>
        </w:rPr>
        <w:t xml:space="preserve">depósitos entregados por la intervención </w:t>
      </w:r>
      <w:r w:rsidR="00E9136E" w:rsidRPr="0074154F">
        <w:rPr>
          <w:rFonts w:ascii="Arial" w:hAnsi="Arial" w:cs="Arial"/>
          <w:sz w:val="20"/>
          <w:szCs w:val="20"/>
        </w:rPr>
        <w:t xml:space="preserve">al </w:t>
      </w:r>
      <w:r w:rsidR="0065282D" w:rsidRPr="0074154F">
        <w:rPr>
          <w:rFonts w:ascii="Arial" w:hAnsi="Arial" w:cs="Arial"/>
          <w:sz w:val="20"/>
          <w:szCs w:val="20"/>
        </w:rPr>
        <w:t>Grupo</w:t>
      </w:r>
      <w:r w:rsidR="00E9136E" w:rsidRPr="0074154F">
        <w:rPr>
          <w:rFonts w:ascii="Arial" w:hAnsi="Arial" w:cs="Arial"/>
          <w:sz w:val="20"/>
          <w:szCs w:val="20"/>
        </w:rPr>
        <w:t xml:space="preserve"> desde el año 2019 por el caso de la </w:t>
      </w:r>
      <w:r w:rsidRPr="0074154F">
        <w:rPr>
          <w:rFonts w:ascii="Arial" w:hAnsi="Arial" w:cs="Arial"/>
          <w:sz w:val="20"/>
          <w:szCs w:val="20"/>
        </w:rPr>
        <w:t>instalación del cable submarino</w:t>
      </w:r>
      <w:r w:rsidR="00E9136E" w:rsidRPr="0074154F">
        <w:rPr>
          <w:rFonts w:ascii="Arial" w:hAnsi="Arial" w:cs="Arial"/>
          <w:sz w:val="20"/>
          <w:szCs w:val="20"/>
        </w:rPr>
        <w:t xml:space="preserve">, ver Nota </w:t>
      </w:r>
      <w:r w:rsidR="00D877D4" w:rsidRPr="0074154F">
        <w:rPr>
          <w:rFonts w:ascii="Arial" w:hAnsi="Arial" w:cs="Arial"/>
          <w:sz w:val="20"/>
          <w:szCs w:val="20"/>
        </w:rPr>
        <w:t>27.</w:t>
      </w:r>
    </w:p>
    <w:p w14:paraId="093E185A" w14:textId="5BE5C5C6" w:rsidR="00FD32FB" w:rsidRPr="0074154F" w:rsidRDefault="00FD32FB" w:rsidP="00FD32FB">
      <w:pPr>
        <w:pStyle w:val="ListParagraph"/>
        <w:spacing w:after="0" w:line="240" w:lineRule="auto"/>
        <w:ind w:left="993" w:right="-1"/>
        <w:contextualSpacing w:val="0"/>
        <w:jc w:val="both"/>
        <w:rPr>
          <w:rFonts w:ascii="Arial" w:hAnsi="Arial" w:cs="Arial"/>
          <w:sz w:val="18"/>
          <w:szCs w:val="18"/>
        </w:rPr>
      </w:pPr>
    </w:p>
    <w:p w14:paraId="6CC58230" w14:textId="77777777" w:rsidR="00C15C6E" w:rsidRDefault="001E339A" w:rsidP="00EA0DD1">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lastRenderedPageBreak/>
        <w:t xml:space="preserve">Municipios, corresponden a valores retenidos por varios Gobiernos Autónomos Descentralizados por conceptos de tasas municipales, uso de ocupación de espacio aéreo, suelo y subsuelo en redes y demás infraestructuras de las Compañías de telecomunicaciones </w:t>
      </w:r>
      <w:proofErr w:type="gramStart"/>
      <w:r w:rsidR="000E6E1D" w:rsidRPr="0074154F">
        <w:rPr>
          <w:rFonts w:ascii="Arial" w:hAnsi="Arial" w:cs="Arial"/>
          <w:sz w:val="20"/>
          <w:szCs w:val="20"/>
        </w:rPr>
        <w:t>de acuerdo a</w:t>
      </w:r>
      <w:proofErr w:type="gramEnd"/>
      <w:r w:rsidR="000E6E1D" w:rsidRPr="0074154F">
        <w:rPr>
          <w:rFonts w:ascii="Arial" w:hAnsi="Arial" w:cs="Arial"/>
          <w:sz w:val="20"/>
          <w:szCs w:val="20"/>
        </w:rPr>
        <w:t xml:space="preserve"> lo que indica el art. 567 del Código Orgánico de Organización Territorial, Autonomías y Descentralización</w:t>
      </w:r>
      <w:r w:rsidR="00FD32FB" w:rsidRPr="0074154F">
        <w:rPr>
          <w:rFonts w:ascii="Arial" w:hAnsi="Arial" w:cs="Arial"/>
          <w:sz w:val="20"/>
          <w:szCs w:val="20"/>
        </w:rPr>
        <w:t>.</w:t>
      </w:r>
      <w:r w:rsidR="000E6E1D" w:rsidRPr="0074154F">
        <w:rPr>
          <w:rFonts w:ascii="Arial" w:hAnsi="Arial" w:cs="Arial"/>
          <w:sz w:val="20"/>
          <w:szCs w:val="20"/>
        </w:rPr>
        <w:t xml:space="preserve"> </w:t>
      </w:r>
    </w:p>
    <w:p w14:paraId="70206B0A" w14:textId="77777777" w:rsidR="00C15C6E" w:rsidRPr="00C15C6E" w:rsidRDefault="00C15C6E" w:rsidP="00C15C6E">
      <w:pPr>
        <w:pStyle w:val="ListParagraph"/>
        <w:rPr>
          <w:rFonts w:ascii="Arial" w:hAnsi="Arial" w:cs="Arial"/>
          <w:sz w:val="20"/>
          <w:szCs w:val="20"/>
        </w:rPr>
      </w:pPr>
    </w:p>
    <w:p w14:paraId="5CA16E98" w14:textId="23B4DE6B" w:rsidR="001E339A" w:rsidRPr="0074154F" w:rsidRDefault="00E9136E" w:rsidP="00C15C6E">
      <w:pPr>
        <w:pStyle w:val="ListParagraph"/>
        <w:spacing w:after="0" w:line="240" w:lineRule="auto"/>
        <w:ind w:left="993" w:right="-1"/>
        <w:contextualSpacing w:val="0"/>
        <w:jc w:val="both"/>
        <w:rPr>
          <w:rFonts w:ascii="Arial" w:hAnsi="Arial" w:cs="Arial"/>
          <w:sz w:val="20"/>
          <w:szCs w:val="20"/>
        </w:rPr>
      </w:pPr>
      <w:r w:rsidRPr="0074154F">
        <w:rPr>
          <w:rFonts w:ascii="Arial" w:hAnsi="Arial" w:cs="Arial"/>
          <w:sz w:val="20"/>
          <w:szCs w:val="20"/>
        </w:rPr>
        <w:t xml:space="preserve">A la fecha de emisión de este informe, </w:t>
      </w:r>
      <w:r w:rsidR="0065282D" w:rsidRPr="0074154F">
        <w:rPr>
          <w:rFonts w:ascii="Arial" w:hAnsi="Arial" w:cs="Arial"/>
          <w:sz w:val="20"/>
          <w:szCs w:val="20"/>
        </w:rPr>
        <w:t>el Grupo</w:t>
      </w:r>
      <w:r w:rsidR="00FD32FB" w:rsidRPr="0074154F">
        <w:rPr>
          <w:rFonts w:ascii="Arial" w:hAnsi="Arial" w:cs="Arial"/>
          <w:sz w:val="20"/>
          <w:szCs w:val="20"/>
        </w:rPr>
        <w:t xml:space="preserve"> </w:t>
      </w:r>
      <w:r w:rsidR="001F3EAB" w:rsidRPr="0074154F">
        <w:rPr>
          <w:rFonts w:ascii="Arial" w:hAnsi="Arial" w:cs="Arial"/>
          <w:sz w:val="20"/>
          <w:szCs w:val="20"/>
        </w:rPr>
        <w:t>continua en trámite de recuperación por medio de sus asesores legales.</w:t>
      </w:r>
    </w:p>
    <w:p w14:paraId="68E05207" w14:textId="22AA5310" w:rsidR="00B83564" w:rsidRPr="0074154F" w:rsidRDefault="00B83564" w:rsidP="00B83564">
      <w:pPr>
        <w:pStyle w:val="ListParagraph"/>
        <w:rPr>
          <w:rFonts w:ascii="Arial" w:hAnsi="Arial" w:cs="Arial"/>
          <w:sz w:val="20"/>
          <w:szCs w:val="20"/>
        </w:rPr>
      </w:pPr>
    </w:p>
    <w:p w14:paraId="62AF6022" w14:textId="7036A1B0" w:rsidR="00617CB6" w:rsidRDefault="00617CB6" w:rsidP="00EA0DD1">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 xml:space="preserve">Anticipos </w:t>
      </w:r>
      <w:r w:rsidR="005725D4" w:rsidRPr="0074154F">
        <w:rPr>
          <w:rFonts w:ascii="Arial" w:hAnsi="Arial" w:cs="Arial"/>
          <w:sz w:val="20"/>
          <w:szCs w:val="20"/>
        </w:rPr>
        <w:t>a proveedores</w:t>
      </w:r>
      <w:r w:rsidR="008F3EFE" w:rsidRPr="0074154F">
        <w:rPr>
          <w:rFonts w:ascii="Arial" w:hAnsi="Arial" w:cs="Arial"/>
          <w:sz w:val="20"/>
          <w:szCs w:val="20"/>
        </w:rPr>
        <w:t xml:space="preserve">, </w:t>
      </w:r>
      <w:r w:rsidRPr="0074154F">
        <w:rPr>
          <w:rFonts w:ascii="Arial" w:hAnsi="Arial" w:cs="Arial"/>
          <w:sz w:val="20"/>
          <w:szCs w:val="20"/>
        </w:rPr>
        <w:t xml:space="preserve">corresponde </w:t>
      </w:r>
      <w:r w:rsidR="00350E7D" w:rsidRPr="0074154F">
        <w:rPr>
          <w:rFonts w:ascii="Arial" w:hAnsi="Arial" w:cs="Arial"/>
          <w:sz w:val="20"/>
          <w:szCs w:val="20"/>
        </w:rPr>
        <w:t xml:space="preserve">principalmente </w:t>
      </w:r>
      <w:r w:rsidR="008F3EFE" w:rsidRPr="0074154F">
        <w:rPr>
          <w:rFonts w:ascii="Arial" w:hAnsi="Arial" w:cs="Arial"/>
          <w:sz w:val="20"/>
          <w:szCs w:val="20"/>
        </w:rPr>
        <w:t>a desembolsos realizado</w:t>
      </w:r>
      <w:r w:rsidR="002F0920" w:rsidRPr="0074154F">
        <w:rPr>
          <w:rFonts w:ascii="Arial" w:hAnsi="Arial" w:cs="Arial"/>
          <w:sz w:val="20"/>
          <w:szCs w:val="20"/>
        </w:rPr>
        <w:t>s</w:t>
      </w:r>
      <w:r w:rsidR="008F3EFE" w:rsidRPr="0074154F">
        <w:rPr>
          <w:rFonts w:ascii="Arial" w:hAnsi="Arial" w:cs="Arial"/>
          <w:sz w:val="20"/>
          <w:szCs w:val="20"/>
        </w:rPr>
        <w:t xml:space="preserve"> a</w:t>
      </w:r>
      <w:r w:rsidR="002F0920" w:rsidRPr="0074154F">
        <w:rPr>
          <w:rFonts w:ascii="Arial" w:hAnsi="Arial" w:cs="Arial"/>
          <w:sz w:val="20"/>
          <w:szCs w:val="20"/>
        </w:rPr>
        <w:t xml:space="preserve"> </w:t>
      </w:r>
      <w:r w:rsidR="008F3EFE" w:rsidRPr="0074154F">
        <w:rPr>
          <w:rFonts w:ascii="Arial" w:hAnsi="Arial" w:cs="Arial"/>
          <w:sz w:val="20"/>
          <w:szCs w:val="20"/>
        </w:rPr>
        <w:t xml:space="preserve">para garantizar </w:t>
      </w:r>
      <w:r w:rsidR="00350E7D" w:rsidRPr="0074154F">
        <w:rPr>
          <w:rFonts w:ascii="Arial" w:hAnsi="Arial" w:cs="Arial"/>
          <w:sz w:val="20"/>
          <w:szCs w:val="20"/>
        </w:rPr>
        <w:t xml:space="preserve">futuras </w:t>
      </w:r>
      <w:r w:rsidRPr="0074154F">
        <w:rPr>
          <w:rFonts w:ascii="Arial" w:hAnsi="Arial" w:cs="Arial"/>
          <w:sz w:val="20"/>
          <w:szCs w:val="20"/>
        </w:rPr>
        <w:t xml:space="preserve">compras de equipos </w:t>
      </w:r>
      <w:r w:rsidR="00EE6A66" w:rsidRPr="0074154F">
        <w:rPr>
          <w:rFonts w:ascii="Arial" w:hAnsi="Arial" w:cs="Arial"/>
          <w:sz w:val="20"/>
          <w:szCs w:val="20"/>
        </w:rPr>
        <w:t xml:space="preserve">para servicios de red e internet </w:t>
      </w:r>
      <w:r w:rsidR="006016D3" w:rsidRPr="0074154F">
        <w:rPr>
          <w:rFonts w:ascii="Arial" w:hAnsi="Arial" w:cs="Arial"/>
          <w:sz w:val="20"/>
          <w:szCs w:val="20"/>
        </w:rPr>
        <w:t xml:space="preserve">(para proporcionar servicios de telecomunicaciones, transmisiones y señales de redes) </w:t>
      </w:r>
      <w:r w:rsidRPr="0074154F">
        <w:rPr>
          <w:rFonts w:ascii="Arial" w:hAnsi="Arial" w:cs="Arial"/>
          <w:sz w:val="20"/>
          <w:szCs w:val="20"/>
        </w:rPr>
        <w:t>los cuales serán entregados durante el año 2021.</w:t>
      </w:r>
    </w:p>
    <w:p w14:paraId="5E5EE264" w14:textId="77777777" w:rsidR="000D033A" w:rsidRPr="000D033A" w:rsidRDefault="000D033A" w:rsidP="000D033A">
      <w:pPr>
        <w:pStyle w:val="ListParagraph"/>
        <w:rPr>
          <w:rFonts w:ascii="Arial" w:hAnsi="Arial" w:cs="Arial"/>
          <w:sz w:val="20"/>
          <w:szCs w:val="20"/>
        </w:rPr>
      </w:pPr>
    </w:p>
    <w:p w14:paraId="7AE5D665" w14:textId="320F38E9" w:rsidR="000D033A" w:rsidRPr="0074154F" w:rsidRDefault="000D033A" w:rsidP="00EA0DD1">
      <w:pPr>
        <w:pStyle w:val="ListParagraph"/>
        <w:numPr>
          <w:ilvl w:val="0"/>
          <w:numId w:val="2"/>
        </w:numPr>
        <w:spacing w:after="0" w:line="240" w:lineRule="auto"/>
        <w:ind w:left="993" w:right="-1" w:hanging="426"/>
        <w:contextualSpacing w:val="0"/>
        <w:jc w:val="both"/>
        <w:rPr>
          <w:rFonts w:ascii="Arial" w:hAnsi="Arial" w:cs="Arial"/>
          <w:sz w:val="20"/>
          <w:szCs w:val="20"/>
        </w:rPr>
      </w:pPr>
      <w:r>
        <w:rPr>
          <w:rFonts w:ascii="Arial" w:hAnsi="Arial" w:cs="Arial"/>
          <w:sz w:val="20"/>
          <w:szCs w:val="20"/>
        </w:rPr>
        <w:t>Cartera diferida, corresponden principalmente a clientes pendientes de cobro que durante la pandemia originada por el “</w:t>
      </w:r>
      <w:proofErr w:type="spellStart"/>
      <w:r>
        <w:rPr>
          <w:rFonts w:ascii="Arial" w:hAnsi="Arial" w:cs="Arial"/>
          <w:sz w:val="20"/>
          <w:szCs w:val="20"/>
        </w:rPr>
        <w:t>Covid</w:t>
      </w:r>
      <w:proofErr w:type="spellEnd"/>
      <w:r>
        <w:rPr>
          <w:rFonts w:ascii="Arial" w:hAnsi="Arial" w:cs="Arial"/>
          <w:sz w:val="20"/>
          <w:szCs w:val="20"/>
        </w:rPr>
        <w:t xml:space="preserve"> 19” se </w:t>
      </w:r>
      <w:r w:rsidR="000D1F39">
        <w:rPr>
          <w:rFonts w:ascii="Arial" w:hAnsi="Arial" w:cs="Arial"/>
          <w:sz w:val="20"/>
          <w:szCs w:val="20"/>
        </w:rPr>
        <w:t>otorgaron</w:t>
      </w:r>
      <w:r>
        <w:rPr>
          <w:rFonts w:ascii="Arial" w:hAnsi="Arial" w:cs="Arial"/>
          <w:sz w:val="20"/>
          <w:szCs w:val="20"/>
        </w:rPr>
        <w:t xml:space="preserve"> facilidades de pago y que se estima su cobrabilidad para el año 2021. </w:t>
      </w:r>
    </w:p>
    <w:p w14:paraId="39111B61" w14:textId="77777777" w:rsidR="00A6750A" w:rsidRPr="0074154F" w:rsidRDefault="00A6750A" w:rsidP="00617CB6">
      <w:pPr>
        <w:pStyle w:val="ListParagraph"/>
        <w:rPr>
          <w:rFonts w:ascii="Arial" w:hAnsi="Arial" w:cs="Arial"/>
          <w:sz w:val="20"/>
          <w:szCs w:val="20"/>
        </w:rPr>
      </w:pPr>
    </w:p>
    <w:p w14:paraId="6BEC5E59" w14:textId="6807EA59" w:rsidR="008F5308" w:rsidRPr="0074154F" w:rsidRDefault="008E252D" w:rsidP="00A06D7F">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 xml:space="preserve">El movimiento </w:t>
      </w:r>
      <w:r w:rsidR="001536A1" w:rsidRPr="0074154F">
        <w:rPr>
          <w:rFonts w:ascii="Arial" w:hAnsi="Arial" w:cs="Arial"/>
          <w:sz w:val="20"/>
          <w:szCs w:val="20"/>
        </w:rPr>
        <w:t xml:space="preserve">comparativo </w:t>
      </w:r>
      <w:r w:rsidRPr="0074154F">
        <w:rPr>
          <w:rFonts w:ascii="Arial" w:hAnsi="Arial" w:cs="Arial"/>
          <w:sz w:val="20"/>
          <w:szCs w:val="20"/>
        </w:rPr>
        <w:t xml:space="preserve">de la provisión </w:t>
      </w:r>
      <w:r w:rsidR="009D5FD0" w:rsidRPr="0074154F">
        <w:rPr>
          <w:rFonts w:ascii="Arial" w:hAnsi="Arial" w:cs="Arial"/>
          <w:sz w:val="20"/>
          <w:szCs w:val="20"/>
        </w:rPr>
        <w:t xml:space="preserve">de cuentas incobrables y </w:t>
      </w:r>
      <w:r w:rsidRPr="0074154F">
        <w:rPr>
          <w:rFonts w:ascii="Arial" w:hAnsi="Arial" w:cs="Arial"/>
          <w:sz w:val="20"/>
          <w:szCs w:val="20"/>
        </w:rPr>
        <w:t>deterioro</w:t>
      </w:r>
      <w:r w:rsidR="009D5FD0" w:rsidRPr="0074154F">
        <w:rPr>
          <w:rFonts w:ascii="Arial" w:hAnsi="Arial" w:cs="Arial"/>
          <w:sz w:val="20"/>
          <w:szCs w:val="20"/>
        </w:rPr>
        <w:t xml:space="preserve"> de otras cuentas por cobrar</w:t>
      </w:r>
      <w:r w:rsidRPr="0074154F">
        <w:rPr>
          <w:rFonts w:ascii="Arial" w:hAnsi="Arial" w:cs="Arial"/>
          <w:sz w:val="20"/>
          <w:szCs w:val="20"/>
        </w:rPr>
        <w:t xml:space="preserve"> es como sigue:</w:t>
      </w:r>
      <w:r w:rsidR="00927101" w:rsidRPr="0074154F">
        <w:rPr>
          <w:rFonts w:ascii="Arial" w:hAnsi="Arial" w:cs="Arial"/>
          <w:sz w:val="20"/>
          <w:szCs w:val="20"/>
        </w:rPr>
        <w:t xml:space="preserve"> </w:t>
      </w:r>
      <w:r w:rsidR="001F2B09" w:rsidRPr="0074154F">
        <w:rPr>
          <w:rFonts w:ascii="Arial" w:hAnsi="Arial" w:cs="Arial"/>
          <w:sz w:val="20"/>
          <w:szCs w:val="20"/>
        </w:rPr>
        <w:t xml:space="preserve">  </w:t>
      </w:r>
    </w:p>
    <w:p w14:paraId="2E17B3E3" w14:textId="73ECE3AB" w:rsidR="00EB2AD5" w:rsidRPr="0074154F" w:rsidRDefault="00EB2AD5" w:rsidP="00EB2AD5">
      <w:pPr>
        <w:spacing w:after="0" w:line="240" w:lineRule="auto"/>
        <w:ind w:left="993" w:right="-1"/>
        <w:jc w:val="both"/>
        <w:rPr>
          <w:rFonts w:ascii="Arial" w:hAnsi="Arial" w:cs="Arial"/>
          <w:b/>
          <w:bCs/>
          <w:i/>
          <w:iCs/>
          <w:sz w:val="20"/>
          <w:szCs w:val="20"/>
          <w:u w:val="single"/>
        </w:rPr>
      </w:pPr>
    </w:p>
    <w:tbl>
      <w:tblPr>
        <w:tblW w:w="8068" w:type="dxa"/>
        <w:jc w:val="right"/>
        <w:tblCellMar>
          <w:left w:w="70" w:type="dxa"/>
          <w:right w:w="70" w:type="dxa"/>
        </w:tblCellMar>
        <w:tblLook w:val="04A0" w:firstRow="1" w:lastRow="0" w:firstColumn="1" w:lastColumn="0" w:noHBand="0" w:noVBand="1"/>
      </w:tblPr>
      <w:tblGrid>
        <w:gridCol w:w="4680"/>
        <w:gridCol w:w="2122"/>
        <w:gridCol w:w="146"/>
        <w:gridCol w:w="2122"/>
      </w:tblGrid>
      <w:tr w:rsidR="006016D3" w:rsidRPr="0074154F" w14:paraId="20C06B59" w14:textId="77777777" w:rsidTr="00E9136E">
        <w:trPr>
          <w:trHeight w:val="283"/>
          <w:jc w:val="right"/>
        </w:trPr>
        <w:tc>
          <w:tcPr>
            <w:tcW w:w="4846" w:type="dxa"/>
            <w:tcBorders>
              <w:top w:val="nil"/>
              <w:left w:val="nil"/>
              <w:bottom w:val="nil"/>
              <w:right w:val="nil"/>
            </w:tcBorders>
            <w:shd w:val="clear" w:color="auto" w:fill="auto"/>
            <w:noWrap/>
            <w:vAlign w:val="bottom"/>
            <w:hideMark/>
          </w:tcPr>
          <w:p w14:paraId="03D3C731" w14:textId="77777777" w:rsidR="006016D3" w:rsidRPr="0074154F" w:rsidRDefault="006016D3" w:rsidP="004C20D4">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6E8D5467" w14:textId="77777777" w:rsidR="006016D3" w:rsidRPr="0074154F" w:rsidRDefault="006016D3" w:rsidP="004C20D4">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18" w:type="dxa"/>
            <w:tcBorders>
              <w:top w:val="nil"/>
              <w:left w:val="nil"/>
              <w:bottom w:val="nil"/>
              <w:right w:val="nil"/>
            </w:tcBorders>
          </w:tcPr>
          <w:p w14:paraId="3EEBE232" w14:textId="77777777" w:rsidR="006016D3" w:rsidRPr="0074154F" w:rsidRDefault="006016D3" w:rsidP="004C20D4">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7A516C9B" w14:textId="77777777" w:rsidR="006016D3" w:rsidRPr="0074154F" w:rsidRDefault="006016D3" w:rsidP="004C20D4">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6016D3" w:rsidRPr="0074154F" w14:paraId="405B7DD5" w14:textId="77777777" w:rsidTr="00E9136E">
        <w:trPr>
          <w:trHeight w:val="120"/>
          <w:jc w:val="right"/>
        </w:trPr>
        <w:tc>
          <w:tcPr>
            <w:tcW w:w="4846" w:type="dxa"/>
            <w:tcBorders>
              <w:top w:val="nil"/>
              <w:left w:val="nil"/>
              <w:bottom w:val="nil"/>
              <w:right w:val="nil"/>
            </w:tcBorders>
            <w:shd w:val="clear" w:color="auto" w:fill="auto"/>
            <w:noWrap/>
            <w:vAlign w:val="bottom"/>
            <w:hideMark/>
          </w:tcPr>
          <w:p w14:paraId="10E304AF" w14:textId="77777777" w:rsidR="006016D3" w:rsidRPr="0074154F" w:rsidRDefault="006016D3" w:rsidP="004C20D4">
            <w:pPr>
              <w:spacing w:after="0" w:line="240" w:lineRule="auto"/>
              <w:ind w:left="-70" w:right="-36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70376EC2" w14:textId="77777777" w:rsidR="006016D3" w:rsidRPr="0074154F" w:rsidRDefault="006016D3" w:rsidP="004C20D4">
            <w:pPr>
              <w:spacing w:after="0" w:line="240" w:lineRule="auto"/>
              <w:ind w:left="407" w:hanging="407"/>
              <w:rPr>
                <w:rFonts w:ascii="Arial" w:eastAsia="Times New Roman" w:hAnsi="Arial" w:cs="Arial"/>
                <w:sz w:val="20"/>
                <w:szCs w:val="20"/>
                <w:lang w:eastAsia="es-EC"/>
              </w:rPr>
            </w:pPr>
          </w:p>
        </w:tc>
        <w:tc>
          <w:tcPr>
            <w:tcW w:w="218" w:type="dxa"/>
            <w:tcBorders>
              <w:top w:val="nil"/>
              <w:left w:val="nil"/>
              <w:bottom w:val="nil"/>
              <w:right w:val="nil"/>
            </w:tcBorders>
          </w:tcPr>
          <w:p w14:paraId="19A109BB" w14:textId="77777777" w:rsidR="006016D3" w:rsidRPr="0074154F" w:rsidRDefault="006016D3" w:rsidP="004C20D4">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51FF0B25" w14:textId="77777777" w:rsidR="006016D3" w:rsidRPr="0074154F" w:rsidRDefault="006016D3" w:rsidP="004C20D4">
            <w:pPr>
              <w:spacing w:after="0" w:line="240" w:lineRule="auto"/>
              <w:rPr>
                <w:rFonts w:ascii="Arial" w:eastAsia="Times New Roman" w:hAnsi="Arial" w:cs="Arial"/>
                <w:sz w:val="20"/>
                <w:szCs w:val="20"/>
                <w:lang w:eastAsia="es-EC"/>
              </w:rPr>
            </w:pPr>
          </w:p>
        </w:tc>
      </w:tr>
      <w:tr w:rsidR="006016D3" w:rsidRPr="0074154F" w14:paraId="70C6AAA0" w14:textId="77777777" w:rsidTr="00E9136E">
        <w:trPr>
          <w:trHeight w:val="172"/>
          <w:jc w:val="right"/>
        </w:trPr>
        <w:tc>
          <w:tcPr>
            <w:tcW w:w="4846" w:type="dxa"/>
            <w:tcBorders>
              <w:top w:val="nil"/>
              <w:left w:val="nil"/>
              <w:bottom w:val="nil"/>
              <w:right w:val="nil"/>
            </w:tcBorders>
            <w:shd w:val="clear" w:color="auto" w:fill="auto"/>
            <w:noWrap/>
            <w:vAlign w:val="bottom"/>
          </w:tcPr>
          <w:p w14:paraId="10F723BB" w14:textId="77B12CEB" w:rsidR="006016D3" w:rsidRPr="0074154F" w:rsidRDefault="006016D3" w:rsidP="006016D3">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Saldo inicial del año</w:t>
            </w:r>
          </w:p>
        </w:tc>
        <w:tc>
          <w:tcPr>
            <w:tcW w:w="1502" w:type="dxa"/>
            <w:tcBorders>
              <w:top w:val="nil"/>
              <w:left w:val="nil"/>
              <w:bottom w:val="nil"/>
              <w:right w:val="nil"/>
            </w:tcBorders>
            <w:shd w:val="clear" w:color="auto" w:fill="auto"/>
            <w:noWrap/>
            <w:vAlign w:val="bottom"/>
          </w:tcPr>
          <w:p w14:paraId="74227E1E" w14:textId="6F3862B0" w:rsidR="006016D3" w:rsidRPr="0074154F" w:rsidRDefault="00A570EF" w:rsidP="006016D3">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9,139,780</w:t>
            </w:r>
          </w:p>
        </w:tc>
        <w:tc>
          <w:tcPr>
            <w:tcW w:w="218" w:type="dxa"/>
            <w:tcBorders>
              <w:top w:val="nil"/>
              <w:left w:val="nil"/>
              <w:bottom w:val="nil"/>
              <w:right w:val="nil"/>
            </w:tcBorders>
          </w:tcPr>
          <w:p w14:paraId="6A4D4626"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31890662" w14:textId="3B1BD16D" w:rsidR="006016D3" w:rsidRPr="0074154F" w:rsidRDefault="00A570EF" w:rsidP="006016D3">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8,952,189</w:t>
            </w:r>
          </w:p>
        </w:tc>
      </w:tr>
      <w:tr w:rsidR="006016D3" w:rsidRPr="0074154F" w14:paraId="3AD66F52" w14:textId="77777777" w:rsidTr="00E9136E">
        <w:trPr>
          <w:trHeight w:val="121"/>
          <w:jc w:val="right"/>
        </w:trPr>
        <w:tc>
          <w:tcPr>
            <w:tcW w:w="4846" w:type="dxa"/>
            <w:tcBorders>
              <w:top w:val="nil"/>
              <w:left w:val="nil"/>
              <w:bottom w:val="nil"/>
              <w:right w:val="nil"/>
            </w:tcBorders>
            <w:shd w:val="clear" w:color="auto" w:fill="auto"/>
            <w:noWrap/>
            <w:vAlign w:val="bottom"/>
          </w:tcPr>
          <w:p w14:paraId="108CB1D7" w14:textId="379CA215" w:rsidR="006016D3" w:rsidRPr="0074154F" w:rsidRDefault="006016D3" w:rsidP="006016D3">
            <w:pPr>
              <w:spacing w:after="0" w:line="240" w:lineRule="auto"/>
              <w:ind w:left="-70"/>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008F465F" w14:textId="6CAC546A"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218" w:type="dxa"/>
            <w:tcBorders>
              <w:top w:val="nil"/>
              <w:left w:val="nil"/>
              <w:bottom w:val="nil"/>
              <w:right w:val="nil"/>
            </w:tcBorders>
          </w:tcPr>
          <w:p w14:paraId="138B6602"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65D516BE" w14:textId="2EB672EE"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r>
      <w:tr w:rsidR="006016D3" w:rsidRPr="0074154F" w14:paraId="3F6E0664" w14:textId="77777777" w:rsidTr="00042CF7">
        <w:trPr>
          <w:trHeight w:val="136"/>
          <w:jc w:val="right"/>
        </w:trPr>
        <w:tc>
          <w:tcPr>
            <w:tcW w:w="4846" w:type="dxa"/>
            <w:tcBorders>
              <w:top w:val="nil"/>
              <w:left w:val="nil"/>
              <w:bottom w:val="nil"/>
              <w:right w:val="nil"/>
            </w:tcBorders>
            <w:shd w:val="clear" w:color="auto" w:fill="auto"/>
            <w:noWrap/>
            <w:vAlign w:val="bottom"/>
          </w:tcPr>
          <w:p w14:paraId="4F797B59" w14:textId="51D4D4BA" w:rsidR="006016D3" w:rsidRPr="0074154F" w:rsidRDefault="006016D3" w:rsidP="006016D3">
            <w:pPr>
              <w:spacing w:after="0" w:line="240" w:lineRule="auto"/>
              <w:ind w:left="-70"/>
              <w:rPr>
                <w:rFonts w:ascii="Arial" w:eastAsia="Times New Roman" w:hAnsi="Arial" w:cs="Arial"/>
                <w:color w:val="000000"/>
                <w:sz w:val="20"/>
                <w:szCs w:val="20"/>
                <w:lang w:val="es-MX" w:eastAsia="es-MX"/>
              </w:rPr>
            </w:pPr>
            <w:r w:rsidRPr="0074154F">
              <w:rPr>
                <w:rFonts w:ascii="Arial" w:hAnsi="Arial" w:cs="Arial"/>
                <w:sz w:val="20"/>
                <w:szCs w:val="20"/>
                <w:lang w:eastAsia="es-EC"/>
              </w:rPr>
              <w:t>Provisión</w:t>
            </w:r>
          </w:p>
        </w:tc>
        <w:tc>
          <w:tcPr>
            <w:tcW w:w="1502" w:type="dxa"/>
            <w:tcBorders>
              <w:top w:val="nil"/>
              <w:left w:val="nil"/>
              <w:right w:val="nil"/>
            </w:tcBorders>
            <w:shd w:val="clear" w:color="auto" w:fill="auto"/>
            <w:noWrap/>
            <w:vAlign w:val="bottom"/>
          </w:tcPr>
          <w:p w14:paraId="027DE804" w14:textId="0D5A3B2B" w:rsidR="006016D3" w:rsidRPr="0074154F" w:rsidRDefault="00A570EF" w:rsidP="006016D3">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821,181</w:t>
            </w:r>
          </w:p>
        </w:tc>
        <w:tc>
          <w:tcPr>
            <w:tcW w:w="218" w:type="dxa"/>
            <w:tcBorders>
              <w:top w:val="nil"/>
              <w:left w:val="nil"/>
              <w:right w:val="nil"/>
            </w:tcBorders>
          </w:tcPr>
          <w:p w14:paraId="333A9D66"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6AB51185" w14:textId="5197B361" w:rsidR="006016D3" w:rsidRPr="0074154F" w:rsidRDefault="00A570EF" w:rsidP="006016D3">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302,041</w:t>
            </w:r>
          </w:p>
        </w:tc>
      </w:tr>
      <w:tr w:rsidR="006016D3" w:rsidRPr="0074154F" w14:paraId="1987D169" w14:textId="77777777" w:rsidTr="00042CF7">
        <w:trPr>
          <w:trHeight w:val="196"/>
          <w:jc w:val="right"/>
        </w:trPr>
        <w:tc>
          <w:tcPr>
            <w:tcW w:w="4846" w:type="dxa"/>
            <w:tcBorders>
              <w:top w:val="nil"/>
              <w:left w:val="nil"/>
              <w:right w:val="nil"/>
            </w:tcBorders>
            <w:shd w:val="clear" w:color="auto" w:fill="auto"/>
            <w:noWrap/>
            <w:vAlign w:val="bottom"/>
          </w:tcPr>
          <w:p w14:paraId="7AF7F374" w14:textId="6CF1CDD1" w:rsidR="006016D3" w:rsidRPr="0074154F" w:rsidRDefault="006016D3" w:rsidP="006016D3">
            <w:pPr>
              <w:spacing w:after="0" w:line="240" w:lineRule="auto"/>
              <w:ind w:left="-70"/>
              <w:rPr>
                <w:rFonts w:ascii="Arial" w:eastAsia="Times New Roman" w:hAnsi="Arial" w:cs="Arial"/>
                <w:color w:val="000000"/>
                <w:sz w:val="20"/>
                <w:szCs w:val="20"/>
                <w:lang w:eastAsia="es-EC"/>
              </w:rPr>
            </w:pPr>
            <w:r w:rsidRPr="0074154F">
              <w:rPr>
                <w:rFonts w:ascii="Arial" w:hAnsi="Arial" w:cs="Arial"/>
                <w:sz w:val="20"/>
                <w:szCs w:val="20"/>
                <w:lang w:eastAsia="es-EC"/>
              </w:rPr>
              <w:t>Reverso</w:t>
            </w:r>
          </w:p>
        </w:tc>
        <w:tc>
          <w:tcPr>
            <w:tcW w:w="1502" w:type="dxa"/>
            <w:tcBorders>
              <w:top w:val="nil"/>
              <w:left w:val="nil"/>
              <w:bottom w:val="single" w:sz="6" w:space="0" w:color="auto"/>
              <w:right w:val="nil"/>
            </w:tcBorders>
            <w:shd w:val="clear" w:color="auto" w:fill="auto"/>
            <w:noWrap/>
            <w:vAlign w:val="bottom"/>
          </w:tcPr>
          <w:p w14:paraId="1543B423" w14:textId="3F81AF8F" w:rsidR="006016D3" w:rsidRPr="0074154F" w:rsidRDefault="00A570EF" w:rsidP="006016D3">
            <w:pPr>
              <w:tabs>
                <w:tab w:val="decimal" w:pos="1276"/>
              </w:tabs>
              <w:spacing w:after="0" w:line="240" w:lineRule="auto"/>
              <w:ind w:right="-166"/>
              <w:rPr>
                <w:rFonts w:ascii="Arial" w:eastAsia="Times New Roman" w:hAnsi="Arial" w:cs="Arial"/>
                <w:sz w:val="20"/>
                <w:szCs w:val="20"/>
                <w:lang w:eastAsia="es-EC"/>
              </w:rPr>
            </w:pPr>
            <w:r>
              <w:rPr>
                <w:rFonts w:ascii="Arial" w:eastAsia="Times New Roman" w:hAnsi="Arial" w:cs="Arial"/>
                <w:sz w:val="20"/>
                <w:szCs w:val="20"/>
                <w:lang w:eastAsia="es-EC"/>
              </w:rPr>
              <w:t>(225,885)</w:t>
            </w:r>
          </w:p>
        </w:tc>
        <w:tc>
          <w:tcPr>
            <w:tcW w:w="218" w:type="dxa"/>
            <w:tcBorders>
              <w:top w:val="nil"/>
              <w:left w:val="nil"/>
              <w:right w:val="nil"/>
            </w:tcBorders>
          </w:tcPr>
          <w:p w14:paraId="61625417"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single" w:sz="6" w:space="0" w:color="auto"/>
              <w:right w:val="nil"/>
            </w:tcBorders>
            <w:shd w:val="clear" w:color="auto" w:fill="auto"/>
            <w:noWrap/>
            <w:vAlign w:val="bottom"/>
          </w:tcPr>
          <w:p w14:paraId="1440EB19" w14:textId="1F1355DC" w:rsidR="006016D3" w:rsidRPr="0074154F" w:rsidRDefault="00A570EF" w:rsidP="006016D3">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(114,450)</w:t>
            </w:r>
          </w:p>
        </w:tc>
      </w:tr>
      <w:tr w:rsidR="006016D3" w:rsidRPr="0074154F" w14:paraId="4502F32B" w14:textId="77777777" w:rsidTr="00042CF7">
        <w:trPr>
          <w:trHeight w:val="221"/>
          <w:jc w:val="right"/>
        </w:trPr>
        <w:tc>
          <w:tcPr>
            <w:tcW w:w="4846" w:type="dxa"/>
            <w:tcBorders>
              <w:top w:val="nil"/>
              <w:left w:val="nil"/>
              <w:bottom w:val="nil"/>
              <w:right w:val="nil"/>
            </w:tcBorders>
            <w:shd w:val="clear" w:color="auto" w:fill="auto"/>
            <w:noWrap/>
            <w:vAlign w:val="bottom"/>
          </w:tcPr>
          <w:p w14:paraId="35DD8FF4" w14:textId="3BAD74E7" w:rsidR="006016D3" w:rsidRPr="0074154F" w:rsidRDefault="006016D3" w:rsidP="006016D3">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tcPr>
          <w:p w14:paraId="0FE861FB" w14:textId="635DEF33"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61038198"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6" w:space="0" w:color="auto"/>
              <w:left w:val="nil"/>
              <w:right w:val="nil"/>
            </w:tcBorders>
            <w:shd w:val="clear" w:color="auto" w:fill="auto"/>
            <w:noWrap/>
            <w:vAlign w:val="bottom"/>
          </w:tcPr>
          <w:p w14:paraId="5E8F92E3"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r>
      <w:tr w:rsidR="00A570EF" w:rsidRPr="0074154F" w14:paraId="18991299" w14:textId="77777777" w:rsidTr="00DE55A7">
        <w:trPr>
          <w:trHeight w:val="88"/>
          <w:jc w:val="right"/>
        </w:trPr>
        <w:tc>
          <w:tcPr>
            <w:tcW w:w="4846" w:type="dxa"/>
            <w:tcBorders>
              <w:top w:val="nil"/>
              <w:left w:val="nil"/>
              <w:bottom w:val="nil"/>
              <w:right w:val="nil"/>
            </w:tcBorders>
            <w:shd w:val="clear" w:color="auto" w:fill="auto"/>
            <w:noWrap/>
            <w:vAlign w:val="bottom"/>
          </w:tcPr>
          <w:p w14:paraId="1D379742" w14:textId="7D78CC8D" w:rsidR="00A570EF" w:rsidRPr="0074154F" w:rsidRDefault="00A570EF" w:rsidP="00A570E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Saldo final del año</w:t>
            </w:r>
          </w:p>
        </w:tc>
        <w:tc>
          <w:tcPr>
            <w:tcW w:w="1502" w:type="dxa"/>
            <w:tcBorders>
              <w:left w:val="nil"/>
              <w:bottom w:val="double" w:sz="4" w:space="0" w:color="auto"/>
              <w:right w:val="nil"/>
            </w:tcBorders>
            <w:shd w:val="clear" w:color="auto" w:fill="auto"/>
            <w:noWrap/>
            <w:vAlign w:val="bottom"/>
          </w:tcPr>
          <w:p w14:paraId="78B28242" w14:textId="60875EAC" w:rsidR="00A570EF" w:rsidRPr="0074154F" w:rsidRDefault="00A570EF" w:rsidP="00A570EF">
            <w:pPr>
              <w:tabs>
                <w:tab w:val="decimal" w:pos="1276"/>
              </w:tabs>
              <w:spacing w:after="0" w:line="240" w:lineRule="auto"/>
              <w:ind w:right="-166"/>
              <w:rPr>
                <w:rFonts w:ascii="Arial" w:eastAsia="Times New Roman" w:hAnsi="Arial" w:cs="Arial"/>
                <w:color w:val="000000"/>
                <w:sz w:val="20"/>
                <w:szCs w:val="20"/>
                <w:lang w:eastAsia="es-EC"/>
              </w:rPr>
            </w:pPr>
            <w:r>
              <w:rPr>
                <w:rFonts w:ascii="Arial" w:eastAsia="Times New Roman" w:hAnsi="Arial" w:cs="Arial"/>
                <w:sz w:val="20"/>
                <w:szCs w:val="20"/>
                <w:lang w:eastAsia="es-EC"/>
              </w:rPr>
              <w:t>9,735,076</w:t>
            </w:r>
          </w:p>
        </w:tc>
        <w:tc>
          <w:tcPr>
            <w:tcW w:w="218" w:type="dxa"/>
            <w:tcBorders>
              <w:left w:val="nil"/>
              <w:right w:val="nil"/>
            </w:tcBorders>
          </w:tcPr>
          <w:p w14:paraId="733C2286" w14:textId="77777777" w:rsidR="00A570EF" w:rsidRPr="0074154F" w:rsidRDefault="00A570EF" w:rsidP="00A570EF">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650554F4" w14:textId="15C8D3B1" w:rsidR="00A570EF" w:rsidRPr="0074154F" w:rsidRDefault="00A570EF" w:rsidP="00A570EF">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9,139,780</w:t>
            </w:r>
          </w:p>
        </w:tc>
      </w:tr>
      <w:tr w:rsidR="006016D3" w:rsidRPr="0074154F" w14:paraId="153720C9" w14:textId="77777777" w:rsidTr="00E9136E">
        <w:trPr>
          <w:trHeight w:val="283"/>
          <w:jc w:val="right"/>
        </w:trPr>
        <w:tc>
          <w:tcPr>
            <w:tcW w:w="4846" w:type="dxa"/>
            <w:tcBorders>
              <w:top w:val="nil"/>
              <w:left w:val="nil"/>
              <w:bottom w:val="nil"/>
              <w:right w:val="nil"/>
            </w:tcBorders>
            <w:shd w:val="clear" w:color="auto" w:fill="auto"/>
            <w:noWrap/>
            <w:vAlign w:val="bottom"/>
          </w:tcPr>
          <w:p w14:paraId="436B3805" w14:textId="77777777" w:rsidR="006016D3" w:rsidRPr="0074154F" w:rsidRDefault="006016D3" w:rsidP="006016D3">
            <w:pPr>
              <w:spacing w:after="0" w:line="240" w:lineRule="auto"/>
              <w:ind w:left="-70"/>
              <w:rPr>
                <w:rFonts w:ascii="Arial" w:eastAsia="Times New Roman" w:hAnsi="Arial" w:cs="Arial"/>
                <w:color w:val="000000"/>
                <w:sz w:val="20"/>
                <w:szCs w:val="20"/>
                <w:lang w:eastAsia="es-MX"/>
              </w:rPr>
            </w:pPr>
          </w:p>
        </w:tc>
        <w:tc>
          <w:tcPr>
            <w:tcW w:w="1502" w:type="dxa"/>
            <w:tcBorders>
              <w:top w:val="double" w:sz="4" w:space="0" w:color="auto"/>
              <w:left w:val="nil"/>
              <w:right w:val="nil"/>
            </w:tcBorders>
            <w:shd w:val="clear" w:color="auto" w:fill="auto"/>
            <w:noWrap/>
            <w:vAlign w:val="bottom"/>
          </w:tcPr>
          <w:p w14:paraId="0350F9C0"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5489FDBC"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double" w:sz="4" w:space="0" w:color="auto"/>
              <w:left w:val="nil"/>
              <w:right w:val="nil"/>
            </w:tcBorders>
            <w:shd w:val="clear" w:color="auto" w:fill="auto"/>
            <w:noWrap/>
            <w:vAlign w:val="bottom"/>
          </w:tcPr>
          <w:p w14:paraId="4CD7FDF9" w14:textId="77777777" w:rsidR="006016D3" w:rsidRPr="0074154F" w:rsidRDefault="006016D3" w:rsidP="006016D3">
            <w:pPr>
              <w:tabs>
                <w:tab w:val="decimal" w:pos="1276"/>
              </w:tabs>
              <w:spacing w:after="0" w:line="240" w:lineRule="auto"/>
              <w:ind w:right="-166"/>
              <w:rPr>
                <w:rFonts w:ascii="Arial" w:eastAsia="Times New Roman" w:hAnsi="Arial" w:cs="Arial"/>
                <w:color w:val="000000"/>
                <w:sz w:val="20"/>
                <w:szCs w:val="20"/>
                <w:lang w:eastAsia="es-EC"/>
              </w:rPr>
            </w:pPr>
          </w:p>
        </w:tc>
      </w:tr>
    </w:tbl>
    <w:p w14:paraId="16BC5FBF" w14:textId="77777777" w:rsidR="00E77A69" w:rsidRDefault="006524F9" w:rsidP="006524F9">
      <w:pPr>
        <w:ind w:left="567"/>
        <w:jc w:val="both"/>
        <w:rPr>
          <w:rFonts w:ascii="Arial" w:hAnsi="Arial" w:cs="Arial"/>
          <w:sz w:val="20"/>
          <w:szCs w:val="20"/>
        </w:rPr>
      </w:pPr>
      <w:r w:rsidRPr="0074154F">
        <w:rPr>
          <w:rFonts w:ascii="Arial" w:hAnsi="Arial" w:cs="Arial"/>
          <w:sz w:val="20"/>
          <w:szCs w:val="20"/>
        </w:rPr>
        <w:t xml:space="preserve">Al cierre del año, </w:t>
      </w:r>
      <w:r w:rsidR="000B56AA">
        <w:rPr>
          <w:rFonts w:ascii="Arial" w:hAnsi="Arial" w:cs="Arial"/>
          <w:sz w:val="20"/>
          <w:szCs w:val="20"/>
        </w:rPr>
        <w:t>la Compañía y su relacionada</w:t>
      </w:r>
      <w:r w:rsidRPr="0074154F">
        <w:rPr>
          <w:rFonts w:ascii="Arial" w:hAnsi="Arial" w:cs="Arial"/>
          <w:sz w:val="20"/>
          <w:szCs w:val="20"/>
        </w:rPr>
        <w:t xml:space="preserve"> realiz</w:t>
      </w:r>
      <w:r w:rsidR="00E9136E" w:rsidRPr="0074154F">
        <w:rPr>
          <w:rFonts w:ascii="Arial" w:hAnsi="Arial" w:cs="Arial"/>
          <w:sz w:val="20"/>
          <w:szCs w:val="20"/>
        </w:rPr>
        <w:t>ó</w:t>
      </w:r>
      <w:r w:rsidRPr="0074154F">
        <w:rPr>
          <w:rFonts w:ascii="Arial" w:hAnsi="Arial" w:cs="Arial"/>
          <w:sz w:val="20"/>
          <w:szCs w:val="20"/>
        </w:rPr>
        <w:t xml:space="preserve"> un análisis de cartera y probabilidad de cobro, y de conformidad a su política vigente los importes facturados y pendientes de cobro a sus clientes cuyos saldos tiene una antigüedad mayor a 360 días se clasificaron US$</w:t>
      </w:r>
      <w:r w:rsidR="00FC26E3">
        <w:rPr>
          <w:rFonts w:ascii="Arial" w:hAnsi="Arial" w:cs="Arial"/>
          <w:sz w:val="20"/>
          <w:szCs w:val="20"/>
        </w:rPr>
        <w:t>9</w:t>
      </w:r>
      <w:r w:rsidR="00E9136E" w:rsidRPr="0074154F">
        <w:rPr>
          <w:rFonts w:ascii="Arial" w:hAnsi="Arial" w:cs="Arial"/>
          <w:sz w:val="20"/>
          <w:szCs w:val="20"/>
        </w:rPr>
        <w:t>.</w:t>
      </w:r>
      <w:r w:rsidR="00FC26E3">
        <w:rPr>
          <w:rFonts w:ascii="Arial" w:hAnsi="Arial" w:cs="Arial"/>
          <w:sz w:val="20"/>
          <w:szCs w:val="20"/>
        </w:rPr>
        <w:t>7</w:t>
      </w:r>
      <w:r w:rsidR="00E9136E" w:rsidRPr="0074154F">
        <w:rPr>
          <w:rFonts w:ascii="Arial" w:hAnsi="Arial" w:cs="Arial"/>
          <w:sz w:val="20"/>
          <w:szCs w:val="20"/>
        </w:rPr>
        <w:t xml:space="preserve"> millones </w:t>
      </w:r>
      <w:r w:rsidRPr="0074154F">
        <w:rPr>
          <w:rFonts w:ascii="Arial" w:hAnsi="Arial" w:cs="Arial"/>
          <w:sz w:val="20"/>
          <w:szCs w:val="20"/>
        </w:rPr>
        <w:t xml:space="preserve">como de dudosa recuperación, los cuales fueron provisionados. </w:t>
      </w:r>
    </w:p>
    <w:p w14:paraId="0DBE5C07" w14:textId="09F85408" w:rsidR="006524F9" w:rsidRPr="0074154F" w:rsidRDefault="006524F9" w:rsidP="006524F9">
      <w:pPr>
        <w:ind w:left="567"/>
        <w:jc w:val="both"/>
        <w:rPr>
          <w:rFonts w:ascii="Arial" w:hAnsi="Arial" w:cs="Arial"/>
          <w:sz w:val="20"/>
          <w:szCs w:val="20"/>
          <w:lang w:eastAsia="es-EC"/>
        </w:rPr>
      </w:pPr>
      <w:r w:rsidRPr="0074154F">
        <w:rPr>
          <w:rFonts w:ascii="Arial" w:hAnsi="Arial" w:cs="Arial"/>
          <w:sz w:val="20"/>
          <w:szCs w:val="20"/>
        </w:rPr>
        <w:t>Durante el primer trimestre del año 2021, se recuperaron cuentas por cobrar por US$</w:t>
      </w:r>
      <w:r w:rsidR="00145446" w:rsidRPr="0074154F">
        <w:rPr>
          <w:rFonts w:ascii="Arial" w:hAnsi="Arial" w:cs="Arial"/>
          <w:sz w:val="20"/>
          <w:szCs w:val="20"/>
        </w:rPr>
        <w:t>46</w:t>
      </w:r>
      <w:r w:rsidR="006D6806" w:rsidRPr="0074154F">
        <w:rPr>
          <w:rFonts w:ascii="Arial" w:hAnsi="Arial" w:cs="Arial"/>
          <w:sz w:val="20"/>
          <w:szCs w:val="20"/>
        </w:rPr>
        <w:t>.</w:t>
      </w:r>
      <w:r w:rsidR="00145446" w:rsidRPr="0074154F">
        <w:rPr>
          <w:rFonts w:ascii="Arial" w:hAnsi="Arial" w:cs="Arial"/>
          <w:sz w:val="20"/>
          <w:szCs w:val="20"/>
        </w:rPr>
        <w:t>4</w:t>
      </w:r>
      <w:r w:rsidR="006D6806" w:rsidRPr="0074154F">
        <w:rPr>
          <w:rFonts w:ascii="Arial" w:hAnsi="Arial" w:cs="Arial"/>
          <w:sz w:val="20"/>
          <w:szCs w:val="20"/>
        </w:rPr>
        <w:t xml:space="preserve"> millones</w:t>
      </w:r>
    </w:p>
    <w:p w14:paraId="1818BEDC" w14:textId="1A353DDC" w:rsidR="00E31185" w:rsidRPr="0074154F" w:rsidRDefault="00405116" w:rsidP="006E39C1">
      <w:pPr>
        <w:spacing w:after="0" w:line="240" w:lineRule="auto"/>
        <w:ind w:left="567"/>
        <w:jc w:val="both"/>
        <w:rPr>
          <w:rFonts w:ascii="Arial" w:hAnsi="Arial" w:cs="Arial"/>
          <w:sz w:val="20"/>
          <w:szCs w:val="20"/>
          <w:lang w:eastAsia="es-EC"/>
        </w:rPr>
      </w:pPr>
      <w:r w:rsidRPr="0074154F">
        <w:rPr>
          <w:rFonts w:ascii="Arial" w:hAnsi="Arial" w:cs="Arial"/>
          <w:sz w:val="20"/>
          <w:szCs w:val="20"/>
          <w:lang w:eastAsia="es-EC"/>
        </w:rPr>
        <w:t xml:space="preserve">Durante el año 2020, </w:t>
      </w:r>
      <w:r w:rsidR="00D82FF7">
        <w:rPr>
          <w:rFonts w:ascii="Arial" w:hAnsi="Arial" w:cs="Arial"/>
          <w:sz w:val="20"/>
          <w:szCs w:val="20"/>
          <w:lang w:eastAsia="es-EC"/>
        </w:rPr>
        <w:t>la Compañía y su relacionada</w:t>
      </w:r>
      <w:r w:rsidRPr="0074154F">
        <w:rPr>
          <w:rFonts w:ascii="Arial" w:hAnsi="Arial" w:cs="Arial"/>
          <w:sz w:val="20"/>
          <w:szCs w:val="20"/>
          <w:lang w:eastAsia="es-EC"/>
        </w:rPr>
        <w:t xml:space="preserve"> </w:t>
      </w:r>
      <w:r w:rsidR="001536A1" w:rsidRPr="0074154F">
        <w:rPr>
          <w:rFonts w:ascii="Arial" w:hAnsi="Arial" w:cs="Arial"/>
          <w:color w:val="000000" w:themeColor="text1"/>
          <w:sz w:val="20"/>
          <w:szCs w:val="20"/>
          <w:lang w:eastAsia="es-EC"/>
        </w:rPr>
        <w:t>reconoció en los resultados del año</w:t>
      </w:r>
      <w:r w:rsidR="001536A1" w:rsidRPr="0074154F">
        <w:rPr>
          <w:rFonts w:ascii="Arial" w:hAnsi="Arial" w:cs="Arial"/>
          <w:b/>
          <w:bCs/>
          <w:color w:val="FF0000"/>
          <w:sz w:val="20"/>
          <w:szCs w:val="20"/>
          <w:lang w:eastAsia="es-EC"/>
        </w:rPr>
        <w:t xml:space="preserve"> </w:t>
      </w:r>
      <w:r w:rsidRPr="0074154F">
        <w:rPr>
          <w:rFonts w:ascii="Arial" w:hAnsi="Arial" w:cs="Arial"/>
          <w:sz w:val="20"/>
          <w:szCs w:val="20"/>
          <w:lang w:eastAsia="es-EC"/>
        </w:rPr>
        <w:t>provisión para cuentas incobrables clientes por US$</w:t>
      </w:r>
      <w:r w:rsidR="00782439">
        <w:rPr>
          <w:rFonts w:ascii="Arial" w:hAnsi="Arial" w:cs="Arial"/>
          <w:sz w:val="20"/>
          <w:szCs w:val="20"/>
          <w:lang w:eastAsia="es-EC"/>
        </w:rPr>
        <w:t>697</w:t>
      </w:r>
      <w:r w:rsidRPr="0074154F">
        <w:rPr>
          <w:rFonts w:ascii="Arial" w:hAnsi="Arial" w:cs="Arial"/>
          <w:sz w:val="20"/>
          <w:szCs w:val="20"/>
          <w:lang w:eastAsia="es-EC"/>
        </w:rPr>
        <w:t>,</w:t>
      </w:r>
      <w:r w:rsidR="00782439">
        <w:rPr>
          <w:rFonts w:ascii="Arial" w:hAnsi="Arial" w:cs="Arial"/>
          <w:sz w:val="20"/>
          <w:szCs w:val="20"/>
          <w:lang w:eastAsia="es-EC"/>
        </w:rPr>
        <w:t>12</w:t>
      </w:r>
      <w:r w:rsidRPr="0074154F">
        <w:rPr>
          <w:rFonts w:ascii="Arial" w:hAnsi="Arial" w:cs="Arial"/>
          <w:sz w:val="20"/>
          <w:szCs w:val="20"/>
          <w:lang w:eastAsia="es-EC"/>
        </w:rPr>
        <w:t>1 y deterioro para cuentas por cobrar diversas por US$1</w:t>
      </w:r>
      <w:r w:rsidR="0045032D">
        <w:rPr>
          <w:rFonts w:ascii="Arial" w:hAnsi="Arial" w:cs="Arial"/>
          <w:sz w:val="20"/>
          <w:szCs w:val="20"/>
          <w:lang w:eastAsia="es-EC"/>
        </w:rPr>
        <w:t>2</w:t>
      </w:r>
      <w:r w:rsidRPr="0074154F">
        <w:rPr>
          <w:rFonts w:ascii="Arial" w:hAnsi="Arial" w:cs="Arial"/>
          <w:sz w:val="20"/>
          <w:szCs w:val="20"/>
          <w:lang w:eastAsia="es-EC"/>
        </w:rPr>
        <w:t>4,060</w:t>
      </w:r>
      <w:r w:rsidR="006C7A2D" w:rsidRPr="0074154F">
        <w:rPr>
          <w:rFonts w:ascii="Arial" w:hAnsi="Arial" w:cs="Arial"/>
          <w:sz w:val="20"/>
          <w:szCs w:val="20"/>
          <w:lang w:eastAsia="es-EC"/>
        </w:rPr>
        <w:t xml:space="preserve">, ver </w:t>
      </w:r>
      <w:r w:rsidR="00E9136E" w:rsidRPr="0074154F">
        <w:rPr>
          <w:rFonts w:ascii="Arial" w:hAnsi="Arial" w:cs="Arial"/>
          <w:sz w:val="20"/>
          <w:szCs w:val="20"/>
          <w:lang w:eastAsia="es-EC"/>
        </w:rPr>
        <w:t>N</w:t>
      </w:r>
      <w:r w:rsidR="006C7A2D" w:rsidRPr="0074154F">
        <w:rPr>
          <w:rFonts w:ascii="Arial" w:hAnsi="Arial" w:cs="Arial"/>
          <w:sz w:val="20"/>
          <w:szCs w:val="20"/>
          <w:lang w:eastAsia="es-EC"/>
        </w:rPr>
        <w:t>ota 2</w:t>
      </w:r>
      <w:r w:rsidR="00250A39" w:rsidRPr="0074154F">
        <w:rPr>
          <w:rFonts w:ascii="Arial" w:hAnsi="Arial" w:cs="Arial"/>
          <w:sz w:val="20"/>
          <w:szCs w:val="20"/>
          <w:lang w:eastAsia="es-EC"/>
        </w:rPr>
        <w:t>7</w:t>
      </w:r>
      <w:r w:rsidR="006C7A2D" w:rsidRPr="0074154F">
        <w:rPr>
          <w:rFonts w:ascii="Arial" w:hAnsi="Arial" w:cs="Arial"/>
          <w:sz w:val="20"/>
          <w:szCs w:val="20"/>
          <w:lang w:eastAsia="es-EC"/>
        </w:rPr>
        <w:t>.</w:t>
      </w:r>
    </w:p>
    <w:p w14:paraId="5DD8712F" w14:textId="77777777" w:rsidR="00EB2AD5" w:rsidRPr="0074154F" w:rsidRDefault="00EB2AD5" w:rsidP="00E9136E">
      <w:pPr>
        <w:spacing w:after="0" w:line="240" w:lineRule="auto"/>
        <w:ind w:left="993" w:right="-1"/>
        <w:jc w:val="both"/>
        <w:rPr>
          <w:rFonts w:ascii="Arial" w:hAnsi="Arial" w:cs="Arial"/>
          <w:b/>
          <w:bCs/>
          <w:i/>
          <w:iCs/>
          <w:sz w:val="20"/>
          <w:szCs w:val="20"/>
          <w:u w:val="single"/>
        </w:rPr>
      </w:pPr>
    </w:p>
    <w:p w14:paraId="2B72BFB0" w14:textId="2FE2D9D5" w:rsidR="00441F43" w:rsidRPr="0074154F" w:rsidRDefault="009859F0" w:rsidP="00E9136E">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INVERSIONES TEMPORALES</w:t>
      </w:r>
      <w:r w:rsidR="003E6ED5" w:rsidRPr="0074154F">
        <w:rPr>
          <w:rFonts w:ascii="Arial" w:hAnsi="Arial" w:cs="Arial"/>
          <w:sz w:val="20"/>
          <w:u w:val="single"/>
          <w:lang w:val="es-EC" w:eastAsia="es-EC"/>
        </w:rPr>
        <w:t xml:space="preserve"> </w:t>
      </w:r>
    </w:p>
    <w:p w14:paraId="6C6867F3" w14:textId="77777777" w:rsidR="009859F0" w:rsidRPr="00E77A69" w:rsidRDefault="009859F0" w:rsidP="00E9136E">
      <w:pPr>
        <w:pStyle w:val="ListParagraph"/>
        <w:spacing w:after="0" w:line="240" w:lineRule="auto"/>
        <w:ind w:left="567" w:right="-1"/>
        <w:contextualSpacing w:val="0"/>
        <w:jc w:val="both"/>
        <w:rPr>
          <w:rFonts w:ascii="Arial" w:hAnsi="Arial" w:cs="Arial"/>
          <w:sz w:val="18"/>
          <w:szCs w:val="18"/>
        </w:rPr>
      </w:pPr>
    </w:p>
    <w:p w14:paraId="78CCEBF6" w14:textId="77777777" w:rsidR="00E77A69" w:rsidRDefault="005C2EAF" w:rsidP="00413455">
      <w:pPr>
        <w:pStyle w:val="ListParagraph"/>
        <w:spacing w:after="0" w:line="240" w:lineRule="auto"/>
        <w:ind w:left="567" w:right="-1"/>
        <w:contextualSpacing w:val="0"/>
        <w:jc w:val="both"/>
        <w:rPr>
          <w:rFonts w:ascii="Arial" w:hAnsi="Arial" w:cs="Arial"/>
          <w:sz w:val="20"/>
          <w:szCs w:val="20"/>
        </w:rPr>
      </w:pPr>
      <w:r w:rsidRPr="0074154F">
        <w:rPr>
          <w:rFonts w:ascii="Arial" w:hAnsi="Arial" w:cs="Arial"/>
          <w:sz w:val="20"/>
          <w:szCs w:val="20"/>
        </w:rPr>
        <w:t>Al 31 de diciembre del 20</w:t>
      </w:r>
      <w:r w:rsidR="00BC461D" w:rsidRPr="0074154F">
        <w:rPr>
          <w:rFonts w:ascii="Arial" w:hAnsi="Arial" w:cs="Arial"/>
          <w:sz w:val="20"/>
          <w:szCs w:val="20"/>
        </w:rPr>
        <w:t>20</w:t>
      </w:r>
      <w:r w:rsidR="007A041A" w:rsidRPr="0074154F">
        <w:rPr>
          <w:rFonts w:ascii="Arial" w:hAnsi="Arial" w:cs="Arial"/>
          <w:sz w:val="20"/>
          <w:szCs w:val="20"/>
        </w:rPr>
        <w:t>, r</w:t>
      </w:r>
      <w:r w:rsidR="009859F0" w:rsidRPr="0074154F">
        <w:rPr>
          <w:rFonts w:ascii="Arial" w:hAnsi="Arial" w:cs="Arial"/>
          <w:sz w:val="20"/>
          <w:szCs w:val="20"/>
        </w:rPr>
        <w:t xml:space="preserve">epresentan </w:t>
      </w:r>
      <w:r w:rsidR="00AA56D9" w:rsidRPr="0074154F">
        <w:rPr>
          <w:rFonts w:ascii="Arial" w:hAnsi="Arial" w:cs="Arial"/>
          <w:sz w:val="20"/>
          <w:szCs w:val="20"/>
        </w:rPr>
        <w:t xml:space="preserve">inversiones </w:t>
      </w:r>
      <w:r w:rsidR="008F3EFE" w:rsidRPr="0074154F">
        <w:rPr>
          <w:rFonts w:ascii="Arial" w:hAnsi="Arial" w:cs="Arial"/>
          <w:sz w:val="20"/>
          <w:szCs w:val="20"/>
        </w:rPr>
        <w:t xml:space="preserve">en </w:t>
      </w:r>
      <w:r w:rsidR="006B5EE9" w:rsidRPr="0074154F">
        <w:rPr>
          <w:rFonts w:ascii="Arial" w:hAnsi="Arial" w:cs="Arial"/>
          <w:sz w:val="20"/>
          <w:szCs w:val="20"/>
        </w:rPr>
        <w:t xml:space="preserve">10 </w:t>
      </w:r>
      <w:r w:rsidR="008F3EFE" w:rsidRPr="0074154F">
        <w:rPr>
          <w:rFonts w:ascii="Arial" w:hAnsi="Arial" w:cs="Arial"/>
          <w:sz w:val="20"/>
          <w:szCs w:val="20"/>
        </w:rPr>
        <w:t>títulos</w:t>
      </w:r>
      <w:r w:rsidR="008F3EFE" w:rsidRPr="0074154F">
        <w:rPr>
          <w:rFonts w:ascii="Arial" w:hAnsi="Arial" w:cs="Arial"/>
          <w:b/>
          <w:bCs/>
          <w:color w:val="FF0000"/>
          <w:sz w:val="20"/>
          <w:szCs w:val="20"/>
        </w:rPr>
        <w:t xml:space="preserve"> </w:t>
      </w:r>
      <w:r w:rsidR="008F3EFE" w:rsidRPr="0074154F">
        <w:rPr>
          <w:rFonts w:ascii="Arial" w:hAnsi="Arial" w:cs="Arial"/>
          <w:sz w:val="20"/>
          <w:szCs w:val="20"/>
        </w:rPr>
        <w:t xml:space="preserve">valores que permanecen </w:t>
      </w:r>
      <w:r w:rsidR="00AA56D9" w:rsidRPr="0074154F">
        <w:rPr>
          <w:rFonts w:ascii="Arial" w:hAnsi="Arial" w:cs="Arial"/>
          <w:sz w:val="20"/>
          <w:szCs w:val="20"/>
        </w:rPr>
        <w:t xml:space="preserve">hasta su vencimiento por </w:t>
      </w:r>
      <w:r w:rsidR="007A041A" w:rsidRPr="0074154F">
        <w:rPr>
          <w:rFonts w:ascii="Arial" w:hAnsi="Arial" w:cs="Arial"/>
          <w:sz w:val="20"/>
          <w:szCs w:val="20"/>
        </w:rPr>
        <w:t>US$</w:t>
      </w:r>
      <w:r w:rsidR="00A22513" w:rsidRPr="0074154F">
        <w:rPr>
          <w:rFonts w:ascii="Arial" w:hAnsi="Arial" w:cs="Arial"/>
          <w:sz w:val="20"/>
          <w:szCs w:val="20"/>
        </w:rPr>
        <w:t>3</w:t>
      </w:r>
      <w:r w:rsidR="007A041A" w:rsidRPr="0074154F">
        <w:rPr>
          <w:rFonts w:ascii="Arial" w:hAnsi="Arial" w:cs="Arial"/>
          <w:sz w:val="20"/>
          <w:szCs w:val="20"/>
        </w:rPr>
        <w:t>.</w:t>
      </w:r>
      <w:r w:rsidR="00BC461D" w:rsidRPr="0074154F">
        <w:rPr>
          <w:rFonts w:ascii="Arial" w:hAnsi="Arial" w:cs="Arial"/>
          <w:sz w:val="20"/>
          <w:szCs w:val="20"/>
        </w:rPr>
        <w:t>1</w:t>
      </w:r>
      <w:r w:rsidR="007A041A" w:rsidRPr="0074154F">
        <w:rPr>
          <w:rFonts w:ascii="Arial" w:hAnsi="Arial" w:cs="Arial"/>
          <w:sz w:val="20"/>
          <w:szCs w:val="20"/>
        </w:rPr>
        <w:t xml:space="preserve"> millones (US$</w:t>
      </w:r>
      <w:r w:rsidR="00BC461D" w:rsidRPr="0074154F">
        <w:rPr>
          <w:rFonts w:ascii="Arial" w:hAnsi="Arial" w:cs="Arial"/>
          <w:sz w:val="20"/>
          <w:szCs w:val="20"/>
        </w:rPr>
        <w:t>3</w:t>
      </w:r>
      <w:r w:rsidR="007A041A" w:rsidRPr="0074154F">
        <w:rPr>
          <w:rFonts w:ascii="Arial" w:hAnsi="Arial" w:cs="Arial"/>
          <w:sz w:val="20"/>
          <w:szCs w:val="20"/>
        </w:rPr>
        <w:t>.</w:t>
      </w:r>
      <w:r w:rsidR="00A22513" w:rsidRPr="0074154F">
        <w:rPr>
          <w:rFonts w:ascii="Arial" w:hAnsi="Arial" w:cs="Arial"/>
          <w:sz w:val="20"/>
          <w:szCs w:val="20"/>
        </w:rPr>
        <w:t>3</w:t>
      </w:r>
      <w:r w:rsidR="007A041A" w:rsidRPr="0074154F">
        <w:rPr>
          <w:rFonts w:ascii="Arial" w:hAnsi="Arial" w:cs="Arial"/>
          <w:sz w:val="20"/>
          <w:szCs w:val="20"/>
        </w:rPr>
        <w:t xml:space="preserve"> millones en el año 201</w:t>
      </w:r>
      <w:r w:rsidR="00BC461D" w:rsidRPr="0074154F">
        <w:rPr>
          <w:rFonts w:ascii="Arial" w:hAnsi="Arial" w:cs="Arial"/>
          <w:sz w:val="20"/>
          <w:szCs w:val="20"/>
        </w:rPr>
        <w:t>9</w:t>
      </w:r>
      <w:r w:rsidR="007A041A" w:rsidRPr="0074154F">
        <w:rPr>
          <w:rFonts w:ascii="Arial" w:hAnsi="Arial" w:cs="Arial"/>
          <w:sz w:val="20"/>
          <w:szCs w:val="20"/>
        </w:rPr>
        <w:t xml:space="preserve">) </w:t>
      </w:r>
      <w:r w:rsidR="00AA56D9" w:rsidRPr="0074154F">
        <w:rPr>
          <w:rFonts w:ascii="Arial" w:hAnsi="Arial" w:cs="Arial"/>
          <w:sz w:val="20"/>
          <w:szCs w:val="20"/>
        </w:rPr>
        <w:t xml:space="preserve">en certificados de depósitos a plazo con </w:t>
      </w:r>
      <w:r w:rsidR="00D84FAB" w:rsidRPr="0074154F">
        <w:rPr>
          <w:rFonts w:ascii="Arial" w:hAnsi="Arial" w:cs="Arial"/>
          <w:sz w:val="20"/>
          <w:szCs w:val="20"/>
        </w:rPr>
        <w:t>seis</w:t>
      </w:r>
      <w:r w:rsidR="00092B16" w:rsidRPr="0074154F">
        <w:rPr>
          <w:rFonts w:ascii="Arial" w:hAnsi="Arial" w:cs="Arial"/>
          <w:b/>
          <w:bCs/>
          <w:color w:val="FF0000"/>
          <w:sz w:val="20"/>
          <w:szCs w:val="20"/>
        </w:rPr>
        <w:t xml:space="preserve"> </w:t>
      </w:r>
      <w:r w:rsidR="00AA56D9" w:rsidRPr="0074154F">
        <w:rPr>
          <w:rFonts w:ascii="Arial" w:hAnsi="Arial" w:cs="Arial"/>
          <w:sz w:val="20"/>
          <w:szCs w:val="20"/>
        </w:rPr>
        <w:t xml:space="preserve">instituciones financieras locales cuyos vencimientos son </w:t>
      </w:r>
      <w:r w:rsidR="00232A39" w:rsidRPr="0074154F">
        <w:rPr>
          <w:rFonts w:ascii="Arial" w:hAnsi="Arial" w:cs="Arial"/>
          <w:sz w:val="20"/>
          <w:szCs w:val="20"/>
        </w:rPr>
        <w:t xml:space="preserve">hasta </w:t>
      </w:r>
      <w:r w:rsidR="006B7205" w:rsidRPr="0074154F">
        <w:rPr>
          <w:rFonts w:ascii="Arial" w:hAnsi="Arial" w:cs="Arial"/>
          <w:sz w:val="20"/>
          <w:szCs w:val="20"/>
        </w:rPr>
        <w:t>noviembre</w:t>
      </w:r>
      <w:r w:rsidR="00232A39" w:rsidRPr="0074154F">
        <w:rPr>
          <w:rFonts w:ascii="Arial" w:hAnsi="Arial" w:cs="Arial"/>
          <w:sz w:val="20"/>
          <w:szCs w:val="20"/>
        </w:rPr>
        <w:t xml:space="preserve"> del </w:t>
      </w:r>
      <w:r w:rsidR="00AA56D9" w:rsidRPr="0074154F">
        <w:rPr>
          <w:rFonts w:ascii="Arial" w:hAnsi="Arial" w:cs="Arial"/>
          <w:sz w:val="20"/>
          <w:szCs w:val="20"/>
        </w:rPr>
        <w:t xml:space="preserve">año </w:t>
      </w:r>
      <w:r w:rsidR="00232A39" w:rsidRPr="0074154F">
        <w:rPr>
          <w:rFonts w:ascii="Arial" w:hAnsi="Arial" w:cs="Arial"/>
          <w:sz w:val="20"/>
          <w:szCs w:val="20"/>
        </w:rPr>
        <w:t>202</w:t>
      </w:r>
      <w:r w:rsidR="00BC461D" w:rsidRPr="0074154F">
        <w:rPr>
          <w:rFonts w:ascii="Arial" w:hAnsi="Arial" w:cs="Arial"/>
          <w:sz w:val="20"/>
          <w:szCs w:val="20"/>
        </w:rPr>
        <w:t>1</w:t>
      </w:r>
      <w:r w:rsidR="00232A39" w:rsidRPr="0074154F">
        <w:rPr>
          <w:rFonts w:ascii="Arial" w:hAnsi="Arial" w:cs="Arial"/>
          <w:sz w:val="20"/>
          <w:szCs w:val="20"/>
        </w:rPr>
        <w:t xml:space="preserve"> </w:t>
      </w:r>
      <w:r w:rsidR="007A041A" w:rsidRPr="0074154F">
        <w:rPr>
          <w:rFonts w:ascii="Arial" w:hAnsi="Arial" w:cs="Arial"/>
          <w:sz w:val="20"/>
          <w:szCs w:val="20"/>
        </w:rPr>
        <w:t>(</w:t>
      </w:r>
      <w:r w:rsidR="00551EA2" w:rsidRPr="0074154F">
        <w:rPr>
          <w:rFonts w:ascii="Arial" w:hAnsi="Arial" w:cs="Arial"/>
          <w:sz w:val="20"/>
          <w:szCs w:val="20"/>
        </w:rPr>
        <w:t xml:space="preserve">para el año 2019 vencimiento promedio </w:t>
      </w:r>
      <w:r w:rsidR="00AA56D9" w:rsidRPr="0074154F">
        <w:rPr>
          <w:rFonts w:ascii="Arial" w:hAnsi="Arial" w:cs="Arial"/>
          <w:sz w:val="20"/>
          <w:szCs w:val="20"/>
        </w:rPr>
        <w:t xml:space="preserve">hasta </w:t>
      </w:r>
      <w:r w:rsidR="00BC461D" w:rsidRPr="0074154F">
        <w:rPr>
          <w:rFonts w:ascii="Arial" w:hAnsi="Arial" w:cs="Arial"/>
          <w:sz w:val="20"/>
          <w:szCs w:val="20"/>
        </w:rPr>
        <w:t>dic</w:t>
      </w:r>
      <w:r w:rsidR="00AA56D9" w:rsidRPr="0074154F">
        <w:rPr>
          <w:rFonts w:ascii="Arial" w:hAnsi="Arial" w:cs="Arial"/>
          <w:sz w:val="20"/>
          <w:szCs w:val="20"/>
        </w:rPr>
        <w:t>iembre del año 20</w:t>
      </w:r>
      <w:r w:rsidR="006B5EE9" w:rsidRPr="0074154F">
        <w:rPr>
          <w:rFonts w:ascii="Arial" w:hAnsi="Arial" w:cs="Arial"/>
          <w:sz w:val="20"/>
          <w:szCs w:val="20"/>
        </w:rPr>
        <w:t>20</w:t>
      </w:r>
      <w:r w:rsidR="00AA56D9" w:rsidRPr="0074154F">
        <w:rPr>
          <w:rFonts w:ascii="Arial" w:hAnsi="Arial" w:cs="Arial"/>
          <w:sz w:val="20"/>
          <w:szCs w:val="20"/>
        </w:rPr>
        <w:t xml:space="preserve">) </w:t>
      </w:r>
      <w:r w:rsidR="007A041A" w:rsidRPr="0074154F">
        <w:rPr>
          <w:rFonts w:ascii="Arial" w:hAnsi="Arial" w:cs="Arial"/>
          <w:sz w:val="20"/>
          <w:szCs w:val="20"/>
        </w:rPr>
        <w:t xml:space="preserve">los cuales generan rendimientos a una tasa de interés promedio </w:t>
      </w:r>
      <w:r w:rsidR="00AD7FEA" w:rsidRPr="0074154F">
        <w:rPr>
          <w:rFonts w:ascii="Arial" w:hAnsi="Arial" w:cs="Arial"/>
          <w:sz w:val="20"/>
          <w:szCs w:val="20"/>
        </w:rPr>
        <w:t>anual</w:t>
      </w:r>
      <w:r w:rsidR="00232A39" w:rsidRPr="0074154F">
        <w:rPr>
          <w:rFonts w:ascii="Arial" w:hAnsi="Arial" w:cs="Arial"/>
          <w:sz w:val="20"/>
          <w:szCs w:val="20"/>
        </w:rPr>
        <w:t xml:space="preserve"> del </w:t>
      </w:r>
      <w:r w:rsidR="002733C8" w:rsidRPr="0074154F">
        <w:rPr>
          <w:rFonts w:ascii="Arial" w:hAnsi="Arial" w:cs="Arial"/>
          <w:sz w:val="20"/>
          <w:szCs w:val="20"/>
        </w:rPr>
        <w:t>5</w:t>
      </w:r>
      <w:r w:rsidR="00AA56D9" w:rsidRPr="0074154F">
        <w:rPr>
          <w:rFonts w:ascii="Arial" w:hAnsi="Arial" w:cs="Arial"/>
          <w:sz w:val="20"/>
          <w:szCs w:val="20"/>
        </w:rPr>
        <w:t>.</w:t>
      </w:r>
      <w:r w:rsidR="002733C8" w:rsidRPr="0074154F">
        <w:rPr>
          <w:rFonts w:ascii="Arial" w:hAnsi="Arial" w:cs="Arial"/>
          <w:sz w:val="20"/>
          <w:szCs w:val="20"/>
        </w:rPr>
        <w:t>30</w:t>
      </w:r>
      <w:r w:rsidR="00AA56D9" w:rsidRPr="0074154F">
        <w:rPr>
          <w:rFonts w:ascii="Arial" w:hAnsi="Arial" w:cs="Arial"/>
          <w:sz w:val="20"/>
          <w:szCs w:val="20"/>
        </w:rPr>
        <w:t>% (</w:t>
      </w:r>
      <w:r w:rsidR="00D84FAB" w:rsidRPr="0074154F">
        <w:rPr>
          <w:rFonts w:ascii="Arial" w:hAnsi="Arial" w:cs="Arial"/>
          <w:sz w:val="20"/>
          <w:szCs w:val="20"/>
        </w:rPr>
        <w:t>4</w:t>
      </w:r>
      <w:r w:rsidR="00AA56D9" w:rsidRPr="0074154F">
        <w:rPr>
          <w:rFonts w:ascii="Arial" w:hAnsi="Arial" w:cs="Arial"/>
          <w:sz w:val="20"/>
          <w:szCs w:val="20"/>
        </w:rPr>
        <w:t>.</w:t>
      </w:r>
      <w:r w:rsidR="00BC461D" w:rsidRPr="0074154F">
        <w:rPr>
          <w:rFonts w:ascii="Arial" w:hAnsi="Arial" w:cs="Arial"/>
          <w:sz w:val="20"/>
          <w:szCs w:val="20"/>
        </w:rPr>
        <w:t>1</w:t>
      </w:r>
      <w:r w:rsidR="00D84FAB" w:rsidRPr="0074154F">
        <w:rPr>
          <w:rFonts w:ascii="Arial" w:hAnsi="Arial" w:cs="Arial"/>
          <w:sz w:val="20"/>
          <w:szCs w:val="20"/>
        </w:rPr>
        <w:t>5</w:t>
      </w:r>
      <w:r w:rsidR="006B5EE9" w:rsidRPr="0074154F">
        <w:rPr>
          <w:rFonts w:ascii="Arial" w:hAnsi="Arial" w:cs="Arial"/>
          <w:color w:val="000000" w:themeColor="text1"/>
          <w:sz w:val="20"/>
          <w:szCs w:val="20"/>
        </w:rPr>
        <w:t>%</w:t>
      </w:r>
      <w:r w:rsidR="006B5EE9" w:rsidRPr="0074154F">
        <w:rPr>
          <w:rFonts w:ascii="Arial" w:hAnsi="Arial" w:cs="Arial"/>
          <w:sz w:val="20"/>
          <w:szCs w:val="20"/>
        </w:rPr>
        <w:t xml:space="preserve"> </w:t>
      </w:r>
      <w:r w:rsidR="00AA56D9" w:rsidRPr="0074154F">
        <w:rPr>
          <w:rFonts w:ascii="Arial" w:hAnsi="Arial" w:cs="Arial"/>
          <w:sz w:val="20"/>
          <w:szCs w:val="20"/>
        </w:rPr>
        <w:t>promedio anual en el año 201</w:t>
      </w:r>
      <w:r w:rsidR="00BC461D" w:rsidRPr="0074154F">
        <w:rPr>
          <w:rFonts w:ascii="Arial" w:hAnsi="Arial" w:cs="Arial"/>
          <w:sz w:val="20"/>
          <w:szCs w:val="20"/>
        </w:rPr>
        <w:t>9</w:t>
      </w:r>
      <w:r w:rsidR="00AA56D9" w:rsidRPr="0074154F">
        <w:rPr>
          <w:rFonts w:ascii="Arial" w:hAnsi="Arial" w:cs="Arial"/>
          <w:sz w:val="20"/>
          <w:szCs w:val="20"/>
        </w:rPr>
        <w:t xml:space="preserve">). </w:t>
      </w:r>
      <w:r w:rsidR="00F45B95" w:rsidRPr="0074154F">
        <w:rPr>
          <w:rFonts w:ascii="Arial" w:hAnsi="Arial" w:cs="Arial"/>
          <w:sz w:val="20"/>
          <w:szCs w:val="20"/>
        </w:rPr>
        <w:t xml:space="preserve"> </w:t>
      </w:r>
    </w:p>
    <w:p w14:paraId="5B9F5121" w14:textId="77777777" w:rsidR="00E77A69" w:rsidRDefault="00E77A69" w:rsidP="00413455">
      <w:pPr>
        <w:pStyle w:val="ListParagraph"/>
        <w:spacing w:after="0" w:line="240" w:lineRule="auto"/>
        <w:ind w:left="567" w:right="-1"/>
        <w:contextualSpacing w:val="0"/>
        <w:jc w:val="both"/>
        <w:rPr>
          <w:rFonts w:ascii="Arial" w:hAnsi="Arial" w:cs="Arial"/>
          <w:sz w:val="20"/>
          <w:szCs w:val="20"/>
        </w:rPr>
      </w:pPr>
    </w:p>
    <w:p w14:paraId="32B39EB3" w14:textId="6885446F" w:rsidR="008016D1" w:rsidRPr="0074154F" w:rsidRDefault="00AA56D9" w:rsidP="00413455">
      <w:pPr>
        <w:pStyle w:val="ListParagraph"/>
        <w:spacing w:after="0" w:line="240" w:lineRule="auto"/>
        <w:ind w:left="567" w:right="-1"/>
        <w:contextualSpacing w:val="0"/>
        <w:jc w:val="both"/>
        <w:rPr>
          <w:rFonts w:ascii="Arial" w:hAnsi="Arial" w:cs="Arial"/>
          <w:sz w:val="20"/>
          <w:szCs w:val="20"/>
        </w:rPr>
      </w:pPr>
      <w:r w:rsidRPr="0074154F">
        <w:rPr>
          <w:rFonts w:ascii="Arial" w:hAnsi="Arial" w:cs="Arial"/>
          <w:sz w:val="20"/>
          <w:szCs w:val="20"/>
        </w:rPr>
        <w:t>Durante el año 20</w:t>
      </w:r>
      <w:r w:rsidR="00447773" w:rsidRPr="0074154F">
        <w:rPr>
          <w:rFonts w:ascii="Arial" w:hAnsi="Arial" w:cs="Arial"/>
          <w:sz w:val="20"/>
          <w:szCs w:val="20"/>
        </w:rPr>
        <w:t>20</w:t>
      </w:r>
      <w:r w:rsidRPr="0074154F">
        <w:rPr>
          <w:rFonts w:ascii="Arial" w:hAnsi="Arial" w:cs="Arial"/>
          <w:sz w:val="20"/>
          <w:szCs w:val="20"/>
        </w:rPr>
        <w:t xml:space="preserve">, </w:t>
      </w:r>
      <w:r w:rsidR="006E39C1" w:rsidRPr="0074154F">
        <w:rPr>
          <w:rFonts w:ascii="Arial" w:hAnsi="Arial" w:cs="Arial"/>
          <w:sz w:val="20"/>
          <w:szCs w:val="20"/>
        </w:rPr>
        <w:t>el Grupo</w:t>
      </w:r>
      <w:r w:rsidRPr="0074154F">
        <w:rPr>
          <w:rFonts w:ascii="Arial" w:hAnsi="Arial" w:cs="Arial"/>
          <w:sz w:val="20"/>
          <w:szCs w:val="20"/>
        </w:rPr>
        <w:t xml:space="preserve"> registró en los resultados del ejercicio US$</w:t>
      </w:r>
      <w:r w:rsidR="00B35E29" w:rsidRPr="0074154F">
        <w:rPr>
          <w:rFonts w:ascii="Arial" w:hAnsi="Arial" w:cs="Arial"/>
          <w:sz w:val="20"/>
          <w:szCs w:val="20"/>
        </w:rPr>
        <w:t>97</w:t>
      </w:r>
      <w:r w:rsidR="007036D8" w:rsidRPr="0074154F">
        <w:rPr>
          <w:rFonts w:ascii="Arial" w:hAnsi="Arial" w:cs="Arial"/>
          <w:sz w:val="20"/>
          <w:szCs w:val="20"/>
        </w:rPr>
        <w:t>,</w:t>
      </w:r>
      <w:r w:rsidR="00B35E29" w:rsidRPr="0074154F">
        <w:rPr>
          <w:rFonts w:ascii="Arial" w:hAnsi="Arial" w:cs="Arial"/>
          <w:sz w:val="20"/>
          <w:szCs w:val="20"/>
        </w:rPr>
        <w:t>358</w:t>
      </w:r>
      <w:r w:rsidR="00E9136E" w:rsidRPr="0074154F">
        <w:rPr>
          <w:rFonts w:ascii="Arial" w:hAnsi="Arial" w:cs="Arial"/>
          <w:sz w:val="20"/>
          <w:szCs w:val="20"/>
        </w:rPr>
        <w:t xml:space="preserve"> </w:t>
      </w:r>
      <w:r w:rsidRPr="0074154F">
        <w:rPr>
          <w:rFonts w:ascii="Arial" w:hAnsi="Arial" w:cs="Arial"/>
          <w:sz w:val="20"/>
          <w:szCs w:val="20"/>
        </w:rPr>
        <w:t>(US$</w:t>
      </w:r>
      <w:r w:rsidR="007036D8" w:rsidRPr="0074154F">
        <w:rPr>
          <w:rFonts w:ascii="Arial" w:hAnsi="Arial" w:cs="Arial"/>
          <w:sz w:val="20"/>
          <w:szCs w:val="20"/>
        </w:rPr>
        <w:t>64</w:t>
      </w:r>
      <w:r w:rsidR="00B721D3" w:rsidRPr="0074154F">
        <w:rPr>
          <w:rFonts w:ascii="Arial" w:hAnsi="Arial" w:cs="Arial"/>
          <w:sz w:val="20"/>
          <w:szCs w:val="20"/>
        </w:rPr>
        <w:t>,</w:t>
      </w:r>
      <w:r w:rsidR="007036D8" w:rsidRPr="0074154F">
        <w:rPr>
          <w:rFonts w:ascii="Arial" w:hAnsi="Arial" w:cs="Arial"/>
          <w:sz w:val="20"/>
          <w:szCs w:val="20"/>
        </w:rPr>
        <w:t>813</w:t>
      </w:r>
      <w:r w:rsidRPr="0074154F">
        <w:rPr>
          <w:rFonts w:ascii="Arial" w:hAnsi="Arial" w:cs="Arial"/>
          <w:sz w:val="20"/>
          <w:szCs w:val="20"/>
        </w:rPr>
        <w:t xml:space="preserve"> en el año 201</w:t>
      </w:r>
      <w:r w:rsidR="00B721D3" w:rsidRPr="0074154F">
        <w:rPr>
          <w:rFonts w:ascii="Arial" w:hAnsi="Arial" w:cs="Arial"/>
          <w:sz w:val="20"/>
          <w:szCs w:val="20"/>
        </w:rPr>
        <w:t>9</w:t>
      </w:r>
      <w:r w:rsidRPr="0074154F">
        <w:rPr>
          <w:rFonts w:ascii="Arial" w:hAnsi="Arial" w:cs="Arial"/>
          <w:sz w:val="20"/>
          <w:szCs w:val="20"/>
        </w:rPr>
        <w:t xml:space="preserve">) como rendimientos financieros relacionados con </w:t>
      </w:r>
      <w:r w:rsidR="00D30AC5" w:rsidRPr="0074154F">
        <w:rPr>
          <w:rFonts w:ascii="Arial" w:hAnsi="Arial" w:cs="Arial"/>
          <w:sz w:val="20"/>
          <w:szCs w:val="20"/>
        </w:rPr>
        <w:t>a las</w:t>
      </w:r>
      <w:r w:rsidRPr="0074154F">
        <w:rPr>
          <w:rFonts w:ascii="Arial" w:hAnsi="Arial" w:cs="Arial"/>
          <w:sz w:val="20"/>
          <w:szCs w:val="20"/>
        </w:rPr>
        <w:t xml:space="preserve"> inversiones</w:t>
      </w:r>
      <w:r w:rsidR="008F3EFE" w:rsidRPr="0074154F">
        <w:rPr>
          <w:rFonts w:ascii="Arial" w:hAnsi="Arial" w:cs="Arial"/>
          <w:sz w:val="20"/>
          <w:szCs w:val="20"/>
        </w:rPr>
        <w:t xml:space="preserve"> en títulos</w:t>
      </w:r>
      <w:r w:rsidR="00D30AC5" w:rsidRPr="0074154F">
        <w:rPr>
          <w:rFonts w:ascii="Arial" w:hAnsi="Arial" w:cs="Arial"/>
          <w:sz w:val="20"/>
          <w:szCs w:val="20"/>
        </w:rPr>
        <w:t xml:space="preserve"> de valores. </w:t>
      </w:r>
    </w:p>
    <w:p w14:paraId="5F858B62" w14:textId="53B1D5A3" w:rsidR="004C1D06" w:rsidRDefault="004C1D06" w:rsidP="00413455">
      <w:pPr>
        <w:pStyle w:val="ListParagraph"/>
        <w:spacing w:after="0" w:line="240" w:lineRule="auto"/>
        <w:ind w:left="567" w:right="-1"/>
        <w:contextualSpacing w:val="0"/>
        <w:jc w:val="both"/>
        <w:rPr>
          <w:rFonts w:ascii="Arial" w:hAnsi="Arial" w:cs="Arial"/>
          <w:sz w:val="18"/>
          <w:szCs w:val="18"/>
        </w:rPr>
      </w:pPr>
    </w:p>
    <w:p w14:paraId="685DB158" w14:textId="6D6962B8" w:rsidR="00E77A69" w:rsidRDefault="00E77A69" w:rsidP="00413455">
      <w:pPr>
        <w:pStyle w:val="ListParagraph"/>
        <w:spacing w:after="0" w:line="240" w:lineRule="auto"/>
        <w:ind w:left="567" w:right="-1"/>
        <w:contextualSpacing w:val="0"/>
        <w:jc w:val="both"/>
        <w:rPr>
          <w:rFonts w:ascii="Arial" w:hAnsi="Arial" w:cs="Arial"/>
          <w:sz w:val="18"/>
          <w:szCs w:val="18"/>
        </w:rPr>
      </w:pPr>
    </w:p>
    <w:p w14:paraId="7EFD204E" w14:textId="4FCD4D17" w:rsidR="00E77A69" w:rsidRDefault="00E77A69" w:rsidP="00413455">
      <w:pPr>
        <w:pStyle w:val="ListParagraph"/>
        <w:spacing w:after="0" w:line="240" w:lineRule="auto"/>
        <w:ind w:left="567" w:right="-1"/>
        <w:contextualSpacing w:val="0"/>
        <w:jc w:val="both"/>
        <w:rPr>
          <w:rFonts w:ascii="Arial" w:hAnsi="Arial" w:cs="Arial"/>
          <w:sz w:val="18"/>
          <w:szCs w:val="18"/>
        </w:rPr>
      </w:pPr>
    </w:p>
    <w:p w14:paraId="121355D5" w14:textId="0AD08421" w:rsidR="00E77A69" w:rsidRDefault="00E77A69" w:rsidP="00413455">
      <w:pPr>
        <w:pStyle w:val="ListParagraph"/>
        <w:spacing w:after="0" w:line="240" w:lineRule="auto"/>
        <w:ind w:left="567" w:right="-1"/>
        <w:contextualSpacing w:val="0"/>
        <w:jc w:val="both"/>
        <w:rPr>
          <w:rFonts w:ascii="Arial" w:hAnsi="Arial" w:cs="Arial"/>
          <w:sz w:val="18"/>
          <w:szCs w:val="18"/>
        </w:rPr>
      </w:pPr>
    </w:p>
    <w:p w14:paraId="7C699EDB" w14:textId="7B003296" w:rsidR="00E77A69" w:rsidRDefault="00E77A69" w:rsidP="00413455">
      <w:pPr>
        <w:pStyle w:val="ListParagraph"/>
        <w:spacing w:after="0" w:line="240" w:lineRule="auto"/>
        <w:ind w:left="567" w:right="-1"/>
        <w:contextualSpacing w:val="0"/>
        <w:jc w:val="both"/>
        <w:rPr>
          <w:rFonts w:ascii="Arial" w:hAnsi="Arial" w:cs="Arial"/>
          <w:sz w:val="18"/>
          <w:szCs w:val="18"/>
        </w:rPr>
      </w:pPr>
    </w:p>
    <w:p w14:paraId="51A1AE96" w14:textId="3A9681FC" w:rsidR="00E77A69" w:rsidRPr="00C15C6E" w:rsidRDefault="00C15C6E" w:rsidP="00C15C6E">
      <w:pPr>
        <w:pStyle w:val="ListParagraph"/>
        <w:spacing w:after="0" w:line="240" w:lineRule="auto"/>
        <w:ind w:left="567" w:right="-1"/>
        <w:contextualSpacing w:val="0"/>
        <w:jc w:val="center"/>
        <w:rPr>
          <w:rFonts w:ascii="Arial" w:hAnsi="Arial" w:cs="Arial"/>
          <w:b/>
          <w:bCs/>
          <w:sz w:val="20"/>
          <w:szCs w:val="20"/>
        </w:rPr>
      </w:pPr>
      <w:r w:rsidRPr="00C15C6E">
        <w:rPr>
          <w:rFonts w:ascii="Arial" w:hAnsi="Arial" w:cs="Arial"/>
          <w:b/>
          <w:bCs/>
          <w:sz w:val="20"/>
          <w:szCs w:val="20"/>
        </w:rPr>
        <w:t>ESPACIO EN BLANCO</w:t>
      </w:r>
    </w:p>
    <w:p w14:paraId="47DAFD15" w14:textId="3E9F4B32" w:rsidR="00C22908" w:rsidRPr="0074154F" w:rsidRDefault="00C22908"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INVENTARIOS</w:t>
      </w:r>
      <w:r w:rsidR="0063764D" w:rsidRPr="0074154F">
        <w:rPr>
          <w:rFonts w:ascii="Arial" w:hAnsi="Arial" w:cs="Arial"/>
          <w:sz w:val="20"/>
          <w:u w:val="single"/>
          <w:lang w:val="es-EC" w:eastAsia="es-EC"/>
        </w:rPr>
        <w:t xml:space="preserve"> </w:t>
      </w:r>
    </w:p>
    <w:p w14:paraId="372BF189" w14:textId="3E81AFAA" w:rsidR="00C22908" w:rsidRPr="0074154F" w:rsidRDefault="00C22908" w:rsidP="00413455">
      <w:pPr>
        <w:pStyle w:val="ListParagraph"/>
        <w:spacing w:after="0" w:line="240" w:lineRule="auto"/>
        <w:ind w:left="567" w:right="-1"/>
        <w:contextualSpacing w:val="0"/>
        <w:jc w:val="both"/>
        <w:rPr>
          <w:rFonts w:ascii="Arial" w:hAnsi="Arial" w:cs="Arial"/>
          <w:sz w:val="20"/>
          <w:szCs w:val="20"/>
        </w:rPr>
      </w:pPr>
    </w:p>
    <w:tbl>
      <w:tblPr>
        <w:tblW w:w="8494" w:type="dxa"/>
        <w:jc w:val="right"/>
        <w:tblCellMar>
          <w:left w:w="70" w:type="dxa"/>
          <w:right w:w="70" w:type="dxa"/>
        </w:tblCellMar>
        <w:tblLook w:val="04A0" w:firstRow="1" w:lastRow="0" w:firstColumn="1" w:lastColumn="0" w:noHBand="0" w:noVBand="1"/>
      </w:tblPr>
      <w:tblGrid>
        <w:gridCol w:w="4862"/>
        <w:gridCol w:w="2031"/>
        <w:gridCol w:w="146"/>
        <w:gridCol w:w="2031"/>
      </w:tblGrid>
      <w:tr w:rsidR="00CD2DF8" w:rsidRPr="0074154F" w14:paraId="011ECDA3" w14:textId="77777777" w:rsidTr="004C20D4">
        <w:trPr>
          <w:trHeight w:val="283"/>
          <w:jc w:val="right"/>
        </w:trPr>
        <w:tc>
          <w:tcPr>
            <w:tcW w:w="5272" w:type="dxa"/>
            <w:tcBorders>
              <w:top w:val="nil"/>
              <w:left w:val="nil"/>
              <w:bottom w:val="nil"/>
              <w:right w:val="nil"/>
            </w:tcBorders>
            <w:shd w:val="clear" w:color="auto" w:fill="auto"/>
            <w:noWrap/>
            <w:vAlign w:val="bottom"/>
            <w:hideMark/>
          </w:tcPr>
          <w:p w14:paraId="3D65FE5C" w14:textId="77777777" w:rsidR="00CD2DF8" w:rsidRPr="0074154F" w:rsidRDefault="00CD2DF8" w:rsidP="004C20D4">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CDBE1C6" w14:textId="4661D16C" w:rsidR="00CD2DF8" w:rsidRPr="0074154F" w:rsidRDefault="00EB4F8C" w:rsidP="004C20D4">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w:t>
            </w:r>
            <w:r w:rsidR="00CD2DF8" w:rsidRPr="0074154F">
              <w:rPr>
                <w:rFonts w:ascii="Arial" w:eastAsia="Times New Roman" w:hAnsi="Arial" w:cs="Arial"/>
                <w:b/>
                <w:bCs/>
                <w:color w:val="000000"/>
                <w:sz w:val="20"/>
                <w:szCs w:val="20"/>
                <w:lang w:eastAsia="es-EC"/>
              </w:rPr>
              <w:t>2020</w:t>
            </w:r>
          </w:p>
        </w:tc>
        <w:tc>
          <w:tcPr>
            <w:tcW w:w="218" w:type="dxa"/>
            <w:tcBorders>
              <w:top w:val="nil"/>
              <w:left w:val="nil"/>
              <w:bottom w:val="nil"/>
              <w:right w:val="nil"/>
            </w:tcBorders>
          </w:tcPr>
          <w:p w14:paraId="6A710DF1" w14:textId="77777777" w:rsidR="00CD2DF8" w:rsidRPr="0074154F" w:rsidRDefault="00CD2DF8" w:rsidP="004C20D4">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0E30CC6B" w14:textId="42F7159A" w:rsidR="00CD2DF8" w:rsidRPr="0074154F" w:rsidRDefault="00EB4F8C" w:rsidP="004C20D4">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w:t>
            </w:r>
            <w:r w:rsidR="00CD2DF8" w:rsidRPr="0074154F">
              <w:rPr>
                <w:rFonts w:ascii="Arial" w:eastAsia="Times New Roman" w:hAnsi="Arial" w:cs="Arial"/>
                <w:b/>
                <w:bCs/>
                <w:color w:val="000000"/>
                <w:sz w:val="20"/>
                <w:szCs w:val="20"/>
                <w:lang w:eastAsia="es-EC"/>
              </w:rPr>
              <w:t>2019</w:t>
            </w:r>
          </w:p>
        </w:tc>
      </w:tr>
      <w:tr w:rsidR="00CD2DF8" w:rsidRPr="0074154F" w14:paraId="6162B9FE" w14:textId="77777777" w:rsidTr="004C20D4">
        <w:trPr>
          <w:trHeight w:val="120"/>
          <w:jc w:val="right"/>
        </w:trPr>
        <w:tc>
          <w:tcPr>
            <w:tcW w:w="5272" w:type="dxa"/>
            <w:tcBorders>
              <w:top w:val="nil"/>
              <w:left w:val="nil"/>
              <w:bottom w:val="nil"/>
              <w:right w:val="nil"/>
            </w:tcBorders>
            <w:shd w:val="clear" w:color="auto" w:fill="auto"/>
            <w:noWrap/>
            <w:vAlign w:val="bottom"/>
            <w:hideMark/>
          </w:tcPr>
          <w:p w14:paraId="15C39280" w14:textId="77777777" w:rsidR="00CD2DF8" w:rsidRPr="0074154F" w:rsidRDefault="00CD2DF8" w:rsidP="004C20D4">
            <w:pPr>
              <w:spacing w:after="0" w:line="240" w:lineRule="auto"/>
              <w:ind w:left="-70" w:right="-36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0AD7F965" w14:textId="77777777" w:rsidR="00CD2DF8" w:rsidRPr="0074154F" w:rsidRDefault="00CD2DF8" w:rsidP="004C20D4">
            <w:pPr>
              <w:spacing w:after="0" w:line="240" w:lineRule="auto"/>
              <w:ind w:left="407" w:hanging="407"/>
              <w:rPr>
                <w:rFonts w:ascii="Arial" w:eastAsia="Times New Roman" w:hAnsi="Arial" w:cs="Arial"/>
                <w:sz w:val="20"/>
                <w:szCs w:val="20"/>
                <w:lang w:eastAsia="es-EC"/>
              </w:rPr>
            </w:pPr>
          </w:p>
        </w:tc>
        <w:tc>
          <w:tcPr>
            <w:tcW w:w="218" w:type="dxa"/>
            <w:tcBorders>
              <w:top w:val="nil"/>
              <w:left w:val="nil"/>
              <w:bottom w:val="nil"/>
              <w:right w:val="nil"/>
            </w:tcBorders>
          </w:tcPr>
          <w:p w14:paraId="1A873BD9" w14:textId="77777777" w:rsidR="00CD2DF8" w:rsidRPr="0074154F" w:rsidRDefault="00CD2DF8" w:rsidP="004C20D4">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510FACBD" w14:textId="77777777" w:rsidR="00CD2DF8" w:rsidRPr="0074154F" w:rsidRDefault="00CD2DF8" w:rsidP="004C20D4">
            <w:pPr>
              <w:spacing w:after="0" w:line="240" w:lineRule="auto"/>
              <w:rPr>
                <w:rFonts w:ascii="Arial" w:eastAsia="Times New Roman" w:hAnsi="Arial" w:cs="Arial"/>
                <w:sz w:val="20"/>
                <w:szCs w:val="20"/>
                <w:lang w:eastAsia="es-EC"/>
              </w:rPr>
            </w:pPr>
          </w:p>
        </w:tc>
      </w:tr>
      <w:tr w:rsidR="00CD2DF8" w:rsidRPr="0074154F" w14:paraId="0D0665D9" w14:textId="77777777" w:rsidTr="004C20D4">
        <w:trPr>
          <w:trHeight w:val="172"/>
          <w:jc w:val="right"/>
        </w:trPr>
        <w:tc>
          <w:tcPr>
            <w:tcW w:w="5272" w:type="dxa"/>
            <w:tcBorders>
              <w:top w:val="nil"/>
              <w:left w:val="nil"/>
              <w:bottom w:val="nil"/>
              <w:right w:val="nil"/>
            </w:tcBorders>
            <w:shd w:val="clear" w:color="auto" w:fill="auto"/>
            <w:noWrap/>
            <w:vAlign w:val="bottom"/>
          </w:tcPr>
          <w:p w14:paraId="23863A04" w14:textId="28A1A093" w:rsidR="00CD2DF8" w:rsidRPr="0074154F" w:rsidRDefault="00CD2DF8" w:rsidP="004C20D4">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Equipos e insumos para la instalación</w:t>
            </w:r>
          </w:p>
        </w:tc>
        <w:tc>
          <w:tcPr>
            <w:tcW w:w="1502" w:type="dxa"/>
            <w:tcBorders>
              <w:top w:val="nil"/>
              <w:left w:val="nil"/>
              <w:bottom w:val="nil"/>
              <w:right w:val="nil"/>
            </w:tcBorders>
            <w:shd w:val="clear" w:color="auto" w:fill="auto"/>
            <w:noWrap/>
            <w:vAlign w:val="bottom"/>
          </w:tcPr>
          <w:p w14:paraId="6F6C5EC7" w14:textId="3AE36AD5" w:rsidR="00CD2DF8" w:rsidRPr="0074154F" w:rsidRDefault="00EB2AD5"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26,</w:t>
            </w:r>
            <w:r w:rsidR="00422884">
              <w:rPr>
                <w:rFonts w:ascii="Arial" w:eastAsia="Times New Roman" w:hAnsi="Arial" w:cs="Arial"/>
                <w:color w:val="000000"/>
                <w:sz w:val="20"/>
                <w:szCs w:val="20"/>
                <w:lang w:val="es-MX" w:eastAsia="es-MX"/>
              </w:rPr>
              <w:t>465,805</w:t>
            </w:r>
          </w:p>
        </w:tc>
        <w:tc>
          <w:tcPr>
            <w:tcW w:w="218" w:type="dxa"/>
            <w:tcBorders>
              <w:top w:val="nil"/>
              <w:left w:val="nil"/>
              <w:bottom w:val="nil"/>
              <w:right w:val="nil"/>
            </w:tcBorders>
          </w:tcPr>
          <w:p w14:paraId="2B7CE265"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7105F7F5" w14:textId="45564F08"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w:t>
            </w:r>
            <w:r w:rsidR="00887366">
              <w:rPr>
                <w:rFonts w:ascii="Arial" w:eastAsia="Times New Roman" w:hAnsi="Arial" w:cs="Arial"/>
                <w:color w:val="000000"/>
                <w:sz w:val="20"/>
                <w:szCs w:val="20"/>
                <w:lang w:val="es-MX" w:eastAsia="es-MX"/>
              </w:rPr>
              <w:t>6</w:t>
            </w:r>
            <w:r w:rsidR="00422884">
              <w:rPr>
                <w:rFonts w:ascii="Arial" w:eastAsia="Times New Roman" w:hAnsi="Arial" w:cs="Arial"/>
                <w:color w:val="000000"/>
                <w:sz w:val="20"/>
                <w:szCs w:val="20"/>
                <w:lang w:val="es-MX" w:eastAsia="es-MX"/>
              </w:rPr>
              <w:t>,</w:t>
            </w:r>
            <w:r w:rsidR="00887366">
              <w:rPr>
                <w:rFonts w:ascii="Arial" w:eastAsia="Times New Roman" w:hAnsi="Arial" w:cs="Arial"/>
                <w:color w:val="000000"/>
                <w:sz w:val="20"/>
                <w:szCs w:val="20"/>
                <w:lang w:val="es-MX" w:eastAsia="es-MX"/>
              </w:rPr>
              <w:t>194,231</w:t>
            </w:r>
          </w:p>
        </w:tc>
      </w:tr>
      <w:tr w:rsidR="00CD2DF8" w:rsidRPr="0074154F" w14:paraId="20940B32" w14:textId="77777777" w:rsidTr="004C20D4">
        <w:trPr>
          <w:trHeight w:val="121"/>
          <w:jc w:val="right"/>
        </w:trPr>
        <w:tc>
          <w:tcPr>
            <w:tcW w:w="5272" w:type="dxa"/>
            <w:tcBorders>
              <w:top w:val="nil"/>
              <w:left w:val="nil"/>
              <w:bottom w:val="nil"/>
              <w:right w:val="nil"/>
            </w:tcBorders>
            <w:shd w:val="clear" w:color="auto" w:fill="auto"/>
            <w:noWrap/>
            <w:vAlign w:val="bottom"/>
          </w:tcPr>
          <w:p w14:paraId="497DE26A" w14:textId="3766D70C" w:rsidR="00CD2DF8" w:rsidRPr="0074154F" w:rsidRDefault="00CD2DF8" w:rsidP="004C20D4">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Otros materiales y repuestos</w:t>
            </w:r>
          </w:p>
        </w:tc>
        <w:tc>
          <w:tcPr>
            <w:tcW w:w="1502" w:type="dxa"/>
            <w:tcBorders>
              <w:top w:val="nil"/>
              <w:left w:val="nil"/>
              <w:bottom w:val="nil"/>
              <w:right w:val="nil"/>
            </w:tcBorders>
            <w:shd w:val="clear" w:color="auto" w:fill="auto"/>
            <w:noWrap/>
            <w:vAlign w:val="bottom"/>
          </w:tcPr>
          <w:p w14:paraId="7D63D944" w14:textId="23B50368" w:rsidR="00CD2DF8" w:rsidRPr="0074154F" w:rsidRDefault="00EB2AD5"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1,336,604</w:t>
            </w:r>
          </w:p>
        </w:tc>
        <w:tc>
          <w:tcPr>
            <w:tcW w:w="218" w:type="dxa"/>
            <w:tcBorders>
              <w:top w:val="nil"/>
              <w:left w:val="nil"/>
              <w:bottom w:val="nil"/>
              <w:right w:val="nil"/>
            </w:tcBorders>
          </w:tcPr>
          <w:p w14:paraId="7A9300F5"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7498AF90" w14:textId="597CC9AD"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1,8</w:t>
            </w:r>
            <w:r w:rsidR="003D0A3B" w:rsidRPr="0074154F">
              <w:rPr>
                <w:rFonts w:ascii="Arial" w:eastAsia="Times New Roman" w:hAnsi="Arial" w:cs="Arial"/>
                <w:color w:val="000000"/>
                <w:sz w:val="20"/>
                <w:szCs w:val="20"/>
                <w:lang w:val="es-MX" w:eastAsia="es-MX"/>
              </w:rPr>
              <w:t>7</w:t>
            </w:r>
            <w:r w:rsidRPr="0074154F">
              <w:rPr>
                <w:rFonts w:ascii="Arial" w:eastAsia="Times New Roman" w:hAnsi="Arial" w:cs="Arial"/>
                <w:color w:val="000000"/>
                <w:sz w:val="20"/>
                <w:szCs w:val="20"/>
                <w:lang w:val="es-MX" w:eastAsia="es-MX"/>
              </w:rPr>
              <w:t>7,493</w:t>
            </w:r>
          </w:p>
        </w:tc>
      </w:tr>
      <w:tr w:rsidR="00CD2DF8" w:rsidRPr="0074154F" w14:paraId="52E386F1" w14:textId="77777777" w:rsidTr="004C20D4">
        <w:trPr>
          <w:trHeight w:val="136"/>
          <w:jc w:val="right"/>
        </w:trPr>
        <w:tc>
          <w:tcPr>
            <w:tcW w:w="5272" w:type="dxa"/>
            <w:tcBorders>
              <w:top w:val="nil"/>
              <w:left w:val="nil"/>
              <w:bottom w:val="nil"/>
              <w:right w:val="nil"/>
            </w:tcBorders>
            <w:shd w:val="clear" w:color="auto" w:fill="auto"/>
            <w:noWrap/>
            <w:vAlign w:val="bottom"/>
          </w:tcPr>
          <w:p w14:paraId="6A7E3595" w14:textId="3F18D9C3" w:rsidR="00CD2DF8" w:rsidRPr="0074154F" w:rsidRDefault="00CD2DF8" w:rsidP="004C20D4">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Importaciones en tránsito</w:t>
            </w:r>
          </w:p>
        </w:tc>
        <w:tc>
          <w:tcPr>
            <w:tcW w:w="1502" w:type="dxa"/>
            <w:tcBorders>
              <w:top w:val="nil"/>
              <w:left w:val="nil"/>
              <w:bottom w:val="nil"/>
              <w:right w:val="nil"/>
            </w:tcBorders>
            <w:shd w:val="clear" w:color="auto" w:fill="auto"/>
            <w:noWrap/>
            <w:vAlign w:val="bottom"/>
          </w:tcPr>
          <w:p w14:paraId="06DA8CB8" w14:textId="7CE2379F" w:rsidR="00CD2DF8" w:rsidRPr="0074154F" w:rsidRDefault="00EB2AD5"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1,240,410</w:t>
            </w:r>
          </w:p>
        </w:tc>
        <w:tc>
          <w:tcPr>
            <w:tcW w:w="218" w:type="dxa"/>
            <w:tcBorders>
              <w:top w:val="nil"/>
              <w:left w:val="nil"/>
              <w:bottom w:val="nil"/>
              <w:right w:val="nil"/>
            </w:tcBorders>
          </w:tcPr>
          <w:p w14:paraId="09551E6D"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bottom w:val="nil"/>
              <w:right w:val="nil"/>
            </w:tcBorders>
            <w:shd w:val="clear" w:color="auto" w:fill="auto"/>
            <w:noWrap/>
            <w:vAlign w:val="bottom"/>
          </w:tcPr>
          <w:p w14:paraId="217CFC30" w14:textId="3A24073F"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1,192,213</w:t>
            </w:r>
          </w:p>
        </w:tc>
      </w:tr>
      <w:tr w:rsidR="00CD2DF8" w:rsidRPr="0074154F" w14:paraId="5D9A962C" w14:textId="77777777" w:rsidTr="004C20D4">
        <w:trPr>
          <w:trHeight w:val="196"/>
          <w:jc w:val="right"/>
        </w:trPr>
        <w:tc>
          <w:tcPr>
            <w:tcW w:w="5272" w:type="dxa"/>
            <w:tcBorders>
              <w:top w:val="nil"/>
              <w:left w:val="nil"/>
              <w:right w:val="nil"/>
            </w:tcBorders>
            <w:shd w:val="clear" w:color="auto" w:fill="auto"/>
            <w:noWrap/>
            <w:vAlign w:val="bottom"/>
          </w:tcPr>
          <w:p w14:paraId="7DBCACA8" w14:textId="3EE47B59" w:rsidR="00CD2DF8" w:rsidRPr="0074154F" w:rsidRDefault="00CD2DF8" w:rsidP="004C20D4">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Provisión de inventarios</w:t>
            </w:r>
          </w:p>
        </w:tc>
        <w:tc>
          <w:tcPr>
            <w:tcW w:w="1502" w:type="dxa"/>
            <w:tcBorders>
              <w:top w:val="nil"/>
              <w:left w:val="nil"/>
              <w:right w:val="nil"/>
            </w:tcBorders>
            <w:shd w:val="clear" w:color="auto" w:fill="auto"/>
            <w:noWrap/>
            <w:vAlign w:val="bottom"/>
          </w:tcPr>
          <w:p w14:paraId="4A389274" w14:textId="677F4F6D" w:rsidR="00CD2DF8" w:rsidRPr="0074154F" w:rsidRDefault="00EB2AD5" w:rsidP="004C20D4">
            <w:pPr>
              <w:tabs>
                <w:tab w:val="decimal" w:pos="1276"/>
              </w:tabs>
              <w:spacing w:after="0" w:line="240" w:lineRule="auto"/>
              <w:ind w:right="-166"/>
              <w:rPr>
                <w:rFonts w:ascii="Arial" w:eastAsia="Times New Roman" w:hAnsi="Arial" w:cs="Arial"/>
                <w:sz w:val="20"/>
                <w:szCs w:val="20"/>
                <w:lang w:eastAsia="es-EC"/>
              </w:rPr>
            </w:pPr>
            <w:r w:rsidRPr="0074154F">
              <w:rPr>
                <w:rFonts w:ascii="Arial" w:eastAsia="Times New Roman" w:hAnsi="Arial" w:cs="Arial"/>
                <w:sz w:val="20"/>
                <w:szCs w:val="20"/>
                <w:lang w:eastAsia="es-EC"/>
              </w:rPr>
              <w:t>(669,295)</w:t>
            </w:r>
          </w:p>
        </w:tc>
        <w:tc>
          <w:tcPr>
            <w:tcW w:w="218" w:type="dxa"/>
            <w:tcBorders>
              <w:top w:val="nil"/>
              <w:left w:val="nil"/>
              <w:right w:val="nil"/>
            </w:tcBorders>
          </w:tcPr>
          <w:p w14:paraId="77575BDB"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6D6BDA17" w14:textId="340E8FEF"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(669,295)</w:t>
            </w:r>
          </w:p>
        </w:tc>
      </w:tr>
      <w:tr w:rsidR="00CD2DF8" w:rsidRPr="0074154F" w14:paraId="3A602E44" w14:textId="77777777" w:rsidTr="004C20D4">
        <w:trPr>
          <w:trHeight w:val="221"/>
          <w:jc w:val="right"/>
        </w:trPr>
        <w:tc>
          <w:tcPr>
            <w:tcW w:w="5272" w:type="dxa"/>
            <w:tcBorders>
              <w:top w:val="nil"/>
              <w:left w:val="nil"/>
              <w:bottom w:val="nil"/>
              <w:right w:val="nil"/>
            </w:tcBorders>
            <w:shd w:val="clear" w:color="auto" w:fill="auto"/>
            <w:noWrap/>
            <w:vAlign w:val="bottom"/>
          </w:tcPr>
          <w:p w14:paraId="3FA496FB" w14:textId="77777777" w:rsidR="00CD2DF8" w:rsidRPr="0074154F" w:rsidRDefault="00CD2DF8" w:rsidP="004C20D4">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2840FE77"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eastAsia="es-EC"/>
              </w:rPr>
            </w:pPr>
          </w:p>
        </w:tc>
        <w:tc>
          <w:tcPr>
            <w:tcW w:w="218" w:type="dxa"/>
            <w:tcBorders>
              <w:left w:val="nil"/>
              <w:right w:val="nil"/>
            </w:tcBorders>
          </w:tcPr>
          <w:p w14:paraId="606EE88E"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top w:val="single" w:sz="4" w:space="0" w:color="auto"/>
              <w:left w:val="nil"/>
              <w:right w:val="nil"/>
            </w:tcBorders>
            <w:shd w:val="clear" w:color="auto" w:fill="auto"/>
            <w:noWrap/>
            <w:vAlign w:val="bottom"/>
          </w:tcPr>
          <w:p w14:paraId="19DC7AD0"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r>
      <w:tr w:rsidR="00CD2DF8" w:rsidRPr="0074154F" w14:paraId="747107B9" w14:textId="77777777" w:rsidTr="004C20D4">
        <w:trPr>
          <w:trHeight w:val="88"/>
          <w:jc w:val="right"/>
        </w:trPr>
        <w:tc>
          <w:tcPr>
            <w:tcW w:w="5272" w:type="dxa"/>
            <w:tcBorders>
              <w:top w:val="nil"/>
              <w:left w:val="nil"/>
              <w:bottom w:val="nil"/>
              <w:right w:val="nil"/>
            </w:tcBorders>
            <w:shd w:val="clear" w:color="auto" w:fill="auto"/>
            <w:noWrap/>
            <w:vAlign w:val="bottom"/>
          </w:tcPr>
          <w:p w14:paraId="16DBC318" w14:textId="77777777" w:rsidR="00CD2DF8" w:rsidRPr="0074154F" w:rsidRDefault="00CD2DF8" w:rsidP="004C20D4">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 xml:space="preserve">Total </w:t>
            </w:r>
          </w:p>
        </w:tc>
        <w:tc>
          <w:tcPr>
            <w:tcW w:w="1502" w:type="dxa"/>
            <w:tcBorders>
              <w:left w:val="nil"/>
              <w:bottom w:val="double" w:sz="4" w:space="0" w:color="auto"/>
              <w:right w:val="nil"/>
            </w:tcBorders>
            <w:shd w:val="clear" w:color="auto" w:fill="auto"/>
            <w:noWrap/>
            <w:vAlign w:val="bottom"/>
          </w:tcPr>
          <w:p w14:paraId="07D821C6" w14:textId="339C8E71"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28,</w:t>
            </w:r>
            <w:r w:rsidR="00422884">
              <w:rPr>
                <w:rFonts w:ascii="Arial" w:eastAsia="Times New Roman" w:hAnsi="Arial" w:cs="Arial"/>
                <w:color w:val="000000"/>
                <w:sz w:val="20"/>
                <w:szCs w:val="20"/>
                <w:lang w:eastAsia="es-EC"/>
              </w:rPr>
              <w:t>373,524</w:t>
            </w:r>
          </w:p>
        </w:tc>
        <w:tc>
          <w:tcPr>
            <w:tcW w:w="218" w:type="dxa"/>
            <w:tcBorders>
              <w:left w:val="nil"/>
              <w:right w:val="nil"/>
            </w:tcBorders>
          </w:tcPr>
          <w:p w14:paraId="0994694C" w14:textId="77777777" w:rsidR="00CD2DF8" w:rsidRPr="0074154F" w:rsidRDefault="00CD2DF8" w:rsidP="004C20D4">
            <w:pPr>
              <w:tabs>
                <w:tab w:val="decimal" w:pos="1276"/>
              </w:tabs>
              <w:spacing w:after="0" w:line="240" w:lineRule="auto"/>
              <w:ind w:right="-166"/>
              <w:rPr>
                <w:rFonts w:ascii="Arial" w:eastAsia="Times New Roman" w:hAnsi="Arial" w:cs="Arial"/>
                <w:color w:val="000000"/>
                <w:sz w:val="20"/>
                <w:szCs w:val="20"/>
                <w:lang w:val="es-MX" w:eastAsia="es-MX"/>
              </w:rPr>
            </w:pPr>
          </w:p>
        </w:tc>
        <w:tc>
          <w:tcPr>
            <w:tcW w:w="1502" w:type="dxa"/>
            <w:tcBorders>
              <w:left w:val="nil"/>
              <w:bottom w:val="double" w:sz="4" w:space="0" w:color="auto"/>
              <w:right w:val="nil"/>
            </w:tcBorders>
            <w:shd w:val="clear" w:color="auto" w:fill="auto"/>
            <w:noWrap/>
            <w:vAlign w:val="bottom"/>
          </w:tcPr>
          <w:p w14:paraId="1D983D36" w14:textId="6873FCAE" w:rsidR="00CD2DF8" w:rsidRPr="0074154F" w:rsidRDefault="00422884" w:rsidP="004C20D4">
            <w:pPr>
              <w:tabs>
                <w:tab w:val="decimal" w:pos="1276"/>
              </w:tabs>
              <w:spacing w:after="0" w:line="240" w:lineRule="auto"/>
              <w:ind w:right="-166"/>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28,594,642</w:t>
            </w:r>
          </w:p>
        </w:tc>
      </w:tr>
    </w:tbl>
    <w:p w14:paraId="5AD3698B" w14:textId="77777777" w:rsidR="00C15C6E" w:rsidRDefault="00C15C6E" w:rsidP="00E9136E">
      <w:pPr>
        <w:pStyle w:val="Heading1"/>
        <w:tabs>
          <w:tab w:val="clear" w:pos="6960"/>
          <w:tab w:val="clear" w:pos="7800"/>
          <w:tab w:val="clear" w:pos="8280"/>
          <w:tab w:val="left" w:pos="7655"/>
        </w:tabs>
        <w:ind w:left="567"/>
        <w:jc w:val="both"/>
        <w:rPr>
          <w:rFonts w:ascii="Arial" w:hAnsi="Arial" w:cs="Arial"/>
          <w:b w:val="0"/>
          <w:bCs/>
          <w:color w:val="000000" w:themeColor="text1"/>
          <w:sz w:val="20"/>
        </w:rPr>
      </w:pPr>
    </w:p>
    <w:p w14:paraId="57DACC23" w14:textId="7F5799D6" w:rsidR="00E77A69" w:rsidRDefault="00D30AC5" w:rsidP="00E9136E">
      <w:pPr>
        <w:pStyle w:val="Heading1"/>
        <w:tabs>
          <w:tab w:val="clear" w:pos="6960"/>
          <w:tab w:val="clear" w:pos="7800"/>
          <w:tab w:val="clear" w:pos="8280"/>
          <w:tab w:val="left" w:pos="7655"/>
        </w:tabs>
        <w:ind w:left="567"/>
        <w:jc w:val="both"/>
        <w:rPr>
          <w:rFonts w:ascii="Arial" w:hAnsi="Arial" w:cs="Arial"/>
          <w:b w:val="0"/>
          <w:sz w:val="20"/>
        </w:rPr>
      </w:pPr>
      <w:r w:rsidRPr="0074154F">
        <w:rPr>
          <w:rFonts w:ascii="Arial" w:hAnsi="Arial" w:cs="Arial"/>
          <w:b w:val="0"/>
          <w:bCs/>
          <w:color w:val="000000" w:themeColor="text1"/>
          <w:sz w:val="20"/>
        </w:rPr>
        <w:t>Equipos e insumos para la instalación</w:t>
      </w:r>
      <w:r w:rsidR="00AA56D9" w:rsidRPr="0074154F">
        <w:rPr>
          <w:rFonts w:ascii="Arial" w:hAnsi="Arial" w:cs="Arial"/>
          <w:b w:val="0"/>
          <w:bCs/>
          <w:sz w:val="20"/>
        </w:rPr>
        <w:t xml:space="preserve">, </w:t>
      </w:r>
      <w:r w:rsidR="00D437F2" w:rsidRPr="0074154F">
        <w:rPr>
          <w:rFonts w:ascii="Arial" w:hAnsi="Arial" w:cs="Arial"/>
          <w:b w:val="0"/>
          <w:sz w:val="20"/>
        </w:rPr>
        <w:t>i</w:t>
      </w:r>
      <w:r w:rsidR="00C22908" w:rsidRPr="0074154F">
        <w:rPr>
          <w:rFonts w:ascii="Arial" w:hAnsi="Arial" w:cs="Arial"/>
          <w:b w:val="0"/>
          <w:sz w:val="20"/>
        </w:rPr>
        <w:t>ncluye principalmente materiales</w:t>
      </w:r>
      <w:r w:rsidR="002E4DA4" w:rsidRPr="0074154F">
        <w:rPr>
          <w:rFonts w:ascii="Arial" w:hAnsi="Arial" w:cs="Arial"/>
          <w:b w:val="0"/>
          <w:sz w:val="20"/>
        </w:rPr>
        <w:t xml:space="preserve"> técnicos</w:t>
      </w:r>
      <w:r w:rsidR="00C22908" w:rsidRPr="0074154F">
        <w:rPr>
          <w:rFonts w:ascii="Arial" w:hAnsi="Arial" w:cs="Arial"/>
          <w:b w:val="0"/>
          <w:sz w:val="20"/>
        </w:rPr>
        <w:t xml:space="preserve"> y </w:t>
      </w:r>
      <w:r w:rsidR="0099270B" w:rsidRPr="0074154F">
        <w:rPr>
          <w:rFonts w:ascii="Arial" w:hAnsi="Arial" w:cs="Arial"/>
          <w:b w:val="0"/>
          <w:sz w:val="20"/>
        </w:rPr>
        <w:t xml:space="preserve">equipos </w:t>
      </w:r>
      <w:r w:rsidR="002E4DA4" w:rsidRPr="0074154F">
        <w:rPr>
          <w:rFonts w:ascii="Arial" w:hAnsi="Arial" w:cs="Arial"/>
          <w:b w:val="0"/>
          <w:sz w:val="20"/>
        </w:rPr>
        <w:t xml:space="preserve">para instalaciones </w:t>
      </w:r>
      <w:r w:rsidR="0099270B" w:rsidRPr="0074154F">
        <w:rPr>
          <w:rFonts w:ascii="Arial" w:hAnsi="Arial" w:cs="Arial"/>
          <w:b w:val="0"/>
          <w:sz w:val="20"/>
        </w:rPr>
        <w:t>de transmisiones de red, herramientas de trabajo</w:t>
      </w:r>
      <w:r w:rsidR="00C22908" w:rsidRPr="0074154F">
        <w:rPr>
          <w:rFonts w:ascii="Arial" w:hAnsi="Arial" w:cs="Arial"/>
          <w:b w:val="0"/>
          <w:sz w:val="20"/>
        </w:rPr>
        <w:t xml:space="preserve"> por US$</w:t>
      </w:r>
      <w:r w:rsidR="00BA3941" w:rsidRPr="0074154F">
        <w:rPr>
          <w:rFonts w:ascii="Arial" w:hAnsi="Arial" w:cs="Arial"/>
          <w:b w:val="0"/>
          <w:sz w:val="20"/>
        </w:rPr>
        <w:t>2</w:t>
      </w:r>
      <w:r w:rsidR="00A66FF6" w:rsidRPr="0074154F">
        <w:rPr>
          <w:rFonts w:ascii="Arial" w:hAnsi="Arial" w:cs="Arial"/>
          <w:b w:val="0"/>
          <w:sz w:val="20"/>
        </w:rPr>
        <w:t>6</w:t>
      </w:r>
      <w:r w:rsidRPr="0074154F">
        <w:rPr>
          <w:rFonts w:ascii="Arial" w:hAnsi="Arial" w:cs="Arial"/>
          <w:b w:val="0"/>
          <w:sz w:val="20"/>
        </w:rPr>
        <w:t>.</w:t>
      </w:r>
      <w:r w:rsidR="00BA3941" w:rsidRPr="0074154F">
        <w:rPr>
          <w:rFonts w:ascii="Arial" w:hAnsi="Arial" w:cs="Arial"/>
          <w:b w:val="0"/>
          <w:sz w:val="20"/>
        </w:rPr>
        <w:t>4</w:t>
      </w:r>
      <w:r w:rsidR="00D955CE" w:rsidRPr="00D955CE">
        <w:rPr>
          <w:rFonts w:ascii="Arial" w:hAnsi="Arial" w:cs="Arial"/>
          <w:b w:val="0"/>
          <w:sz w:val="8"/>
          <w:szCs w:val="8"/>
        </w:rPr>
        <w:t xml:space="preserve"> </w:t>
      </w:r>
      <w:proofErr w:type="gramStart"/>
      <w:r w:rsidR="000C4F0C">
        <w:rPr>
          <w:rFonts w:ascii="Arial" w:hAnsi="Arial" w:cs="Arial"/>
          <w:b w:val="0"/>
          <w:sz w:val="20"/>
        </w:rPr>
        <w:t>m</w:t>
      </w:r>
      <w:r w:rsidR="00BA3941" w:rsidRPr="0074154F">
        <w:rPr>
          <w:rFonts w:ascii="Arial" w:hAnsi="Arial" w:cs="Arial"/>
          <w:b w:val="0"/>
          <w:sz w:val="20"/>
        </w:rPr>
        <w:t>illones</w:t>
      </w:r>
      <w:r w:rsidR="00C22908" w:rsidRPr="0074154F">
        <w:rPr>
          <w:rFonts w:ascii="Arial" w:hAnsi="Arial" w:cs="Arial"/>
          <w:b w:val="0"/>
          <w:sz w:val="20"/>
        </w:rPr>
        <w:t xml:space="preserve">  respectivamente</w:t>
      </w:r>
      <w:proofErr w:type="gramEnd"/>
      <w:r w:rsidR="00C22908" w:rsidRPr="0074154F">
        <w:rPr>
          <w:rFonts w:ascii="Arial" w:hAnsi="Arial" w:cs="Arial"/>
          <w:b w:val="0"/>
          <w:sz w:val="20"/>
        </w:rPr>
        <w:t>, los cuales son utilizados en el giro del negocio.</w:t>
      </w:r>
      <w:r w:rsidR="001F2B09" w:rsidRPr="0074154F">
        <w:rPr>
          <w:rFonts w:ascii="Arial" w:hAnsi="Arial" w:cs="Arial"/>
          <w:b w:val="0"/>
          <w:sz w:val="20"/>
        </w:rPr>
        <w:t xml:space="preserve"> </w:t>
      </w:r>
      <w:r w:rsidR="00144452" w:rsidRPr="0074154F">
        <w:rPr>
          <w:rFonts w:ascii="Arial" w:hAnsi="Arial" w:cs="Arial"/>
          <w:b w:val="0"/>
          <w:sz w:val="20"/>
        </w:rPr>
        <w:t xml:space="preserve">Al cierre del ejercicio económico existe un importe acumulado de deterioro de inventarios de lenta rotación por US$669,295. </w:t>
      </w:r>
    </w:p>
    <w:p w14:paraId="5BF22BFC" w14:textId="77777777" w:rsidR="00E77A69" w:rsidRDefault="00E77A69" w:rsidP="00E9136E">
      <w:pPr>
        <w:pStyle w:val="Heading1"/>
        <w:tabs>
          <w:tab w:val="clear" w:pos="6960"/>
          <w:tab w:val="clear" w:pos="7800"/>
          <w:tab w:val="clear" w:pos="8280"/>
          <w:tab w:val="left" w:pos="7655"/>
        </w:tabs>
        <w:ind w:left="567"/>
        <w:jc w:val="both"/>
        <w:rPr>
          <w:rFonts w:ascii="Arial" w:hAnsi="Arial" w:cs="Arial"/>
          <w:b w:val="0"/>
          <w:sz w:val="20"/>
        </w:rPr>
      </w:pPr>
    </w:p>
    <w:p w14:paraId="6B3A4ABC" w14:textId="7FD65119" w:rsidR="00144452" w:rsidRPr="0074154F" w:rsidRDefault="00144452" w:rsidP="00E9136E">
      <w:pPr>
        <w:pStyle w:val="Heading1"/>
        <w:tabs>
          <w:tab w:val="clear" w:pos="6960"/>
          <w:tab w:val="clear" w:pos="7800"/>
          <w:tab w:val="clear" w:pos="8280"/>
          <w:tab w:val="left" w:pos="7655"/>
        </w:tabs>
        <w:ind w:left="567"/>
        <w:jc w:val="both"/>
        <w:rPr>
          <w:rFonts w:ascii="Arial" w:hAnsi="Arial" w:cs="Arial"/>
          <w:b w:val="0"/>
          <w:sz w:val="20"/>
        </w:rPr>
      </w:pPr>
      <w:r w:rsidRPr="0074154F">
        <w:rPr>
          <w:rFonts w:ascii="Arial" w:hAnsi="Arial" w:cs="Arial"/>
          <w:b w:val="0"/>
          <w:sz w:val="20"/>
        </w:rPr>
        <w:t xml:space="preserve">Durante el año 2020, </w:t>
      </w:r>
      <w:r w:rsidR="00B930FC">
        <w:rPr>
          <w:rFonts w:ascii="Arial" w:hAnsi="Arial" w:cs="Arial"/>
          <w:b w:val="0"/>
          <w:sz w:val="20"/>
        </w:rPr>
        <w:t>la Compañía y su relacionada</w:t>
      </w:r>
      <w:r w:rsidRPr="0074154F">
        <w:rPr>
          <w:rFonts w:ascii="Arial" w:hAnsi="Arial" w:cs="Arial"/>
          <w:b w:val="0"/>
          <w:sz w:val="20"/>
        </w:rPr>
        <w:t xml:space="preserve"> </w:t>
      </w:r>
      <w:r w:rsidR="00084030" w:rsidRPr="0074154F">
        <w:rPr>
          <w:rFonts w:ascii="Arial" w:hAnsi="Arial" w:cs="Arial"/>
          <w:b w:val="0"/>
          <w:sz w:val="20"/>
        </w:rPr>
        <w:t>realiz</w:t>
      </w:r>
      <w:r w:rsidR="00050520" w:rsidRPr="0074154F">
        <w:rPr>
          <w:rFonts w:ascii="Arial" w:hAnsi="Arial" w:cs="Arial"/>
          <w:b w:val="0"/>
          <w:sz w:val="20"/>
        </w:rPr>
        <w:t>ó</w:t>
      </w:r>
      <w:r w:rsidR="00084030" w:rsidRPr="0074154F">
        <w:rPr>
          <w:rFonts w:ascii="Arial" w:hAnsi="Arial" w:cs="Arial"/>
          <w:b w:val="0"/>
          <w:sz w:val="20"/>
        </w:rPr>
        <w:t xml:space="preserve"> un análisis para obsolescencia de inventarios y </w:t>
      </w:r>
      <w:r w:rsidRPr="0074154F">
        <w:rPr>
          <w:rFonts w:ascii="Arial" w:hAnsi="Arial" w:cs="Arial"/>
          <w:b w:val="0"/>
          <w:sz w:val="20"/>
        </w:rPr>
        <w:t xml:space="preserve">no </w:t>
      </w:r>
      <w:r w:rsidR="00084030" w:rsidRPr="0074154F">
        <w:rPr>
          <w:rFonts w:ascii="Arial" w:hAnsi="Arial" w:cs="Arial"/>
          <w:b w:val="0"/>
          <w:sz w:val="20"/>
        </w:rPr>
        <w:t xml:space="preserve">se </w:t>
      </w:r>
      <w:r w:rsidRPr="0074154F">
        <w:rPr>
          <w:rFonts w:ascii="Arial" w:hAnsi="Arial" w:cs="Arial"/>
          <w:b w:val="0"/>
          <w:sz w:val="20"/>
        </w:rPr>
        <w:t xml:space="preserve">identificó </w:t>
      </w:r>
      <w:r w:rsidR="00084030" w:rsidRPr="0074154F">
        <w:rPr>
          <w:rFonts w:ascii="Arial" w:hAnsi="Arial" w:cs="Arial"/>
          <w:b w:val="0"/>
          <w:sz w:val="20"/>
        </w:rPr>
        <w:t xml:space="preserve">provisión por </w:t>
      </w:r>
      <w:r w:rsidRPr="0074154F">
        <w:rPr>
          <w:rFonts w:ascii="Arial" w:hAnsi="Arial" w:cs="Arial"/>
          <w:b w:val="0"/>
          <w:sz w:val="20"/>
        </w:rPr>
        <w:t>deterioro en los resultados del ejercicio.</w:t>
      </w:r>
      <w:r w:rsidR="00C40705" w:rsidRPr="0074154F">
        <w:rPr>
          <w:rFonts w:ascii="Arial" w:hAnsi="Arial" w:cs="Arial"/>
          <w:b w:val="0"/>
          <w:sz w:val="20"/>
        </w:rPr>
        <w:t xml:space="preserve">  </w:t>
      </w:r>
    </w:p>
    <w:p w14:paraId="2E3B93BB" w14:textId="4E164E8F" w:rsidR="00EB2AD5" w:rsidRPr="005D7FB9" w:rsidRDefault="00EB2AD5" w:rsidP="00EB2AD5">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43B71B07" w14:textId="131BD809" w:rsidR="00264552" w:rsidRPr="0074154F" w:rsidRDefault="00264552" w:rsidP="00264552">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ACTIVOS POR DERECHOS DE USO</w:t>
      </w:r>
    </w:p>
    <w:p w14:paraId="6294C0FE" w14:textId="77777777" w:rsidR="00264552" w:rsidRPr="005D7FB9" w:rsidRDefault="00264552" w:rsidP="00264552">
      <w:pPr>
        <w:pStyle w:val="ListParagraph"/>
        <w:tabs>
          <w:tab w:val="left" w:pos="1276"/>
        </w:tabs>
        <w:spacing w:after="0" w:line="240" w:lineRule="auto"/>
        <w:ind w:left="567" w:right="-1"/>
        <w:jc w:val="both"/>
        <w:rPr>
          <w:rFonts w:ascii="Arial" w:hAnsi="Arial" w:cs="Arial"/>
          <w:sz w:val="20"/>
          <w:szCs w:val="20"/>
        </w:rPr>
      </w:pPr>
    </w:p>
    <w:p w14:paraId="100B6F80" w14:textId="77777777" w:rsidR="00E77A69" w:rsidRDefault="00264552" w:rsidP="00264552">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 xml:space="preserve">Al 31 de diciembre del 2020, </w:t>
      </w:r>
      <w:r w:rsidR="006E39C1" w:rsidRPr="0074154F">
        <w:rPr>
          <w:rFonts w:ascii="Arial" w:hAnsi="Arial" w:cs="Arial"/>
          <w:sz w:val="20"/>
          <w:szCs w:val="20"/>
        </w:rPr>
        <w:t>el Grupo</w:t>
      </w:r>
      <w:r w:rsidRPr="0074154F">
        <w:rPr>
          <w:rFonts w:ascii="Arial" w:hAnsi="Arial" w:cs="Arial"/>
          <w:sz w:val="20"/>
          <w:szCs w:val="20"/>
        </w:rPr>
        <w:t xml:space="preserve"> reconoció activos y pasivos por derechos de uso según la NIIF 16 de arrendamientos de conformidad con contratos firmados con arrendadores de locales comerciales de diferentes segmentos para ejercer la actividad del negocio que tienen plazos promedios de 5 años. </w:t>
      </w:r>
    </w:p>
    <w:p w14:paraId="0F4A87C4" w14:textId="77777777" w:rsidR="00E77A69" w:rsidRDefault="00E77A69" w:rsidP="00264552">
      <w:pPr>
        <w:pStyle w:val="ListParagraph"/>
        <w:tabs>
          <w:tab w:val="left" w:pos="1276"/>
        </w:tabs>
        <w:spacing w:after="0" w:line="240" w:lineRule="auto"/>
        <w:ind w:left="567" w:right="-1"/>
        <w:jc w:val="both"/>
        <w:rPr>
          <w:rFonts w:ascii="Arial" w:hAnsi="Arial" w:cs="Arial"/>
          <w:sz w:val="20"/>
          <w:szCs w:val="20"/>
        </w:rPr>
      </w:pPr>
    </w:p>
    <w:p w14:paraId="7FBCCE39" w14:textId="21C14A42" w:rsidR="00264552" w:rsidRPr="0074154F" w:rsidRDefault="00264552" w:rsidP="00264552">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El detalle del registro comparativos de activos y pasivos por derecho de uso se presenta a continuación:</w:t>
      </w:r>
    </w:p>
    <w:p w14:paraId="38D5A6DB" w14:textId="77777777" w:rsidR="004D2C36" w:rsidRPr="0074154F" w:rsidRDefault="004D2C36" w:rsidP="00264552">
      <w:pPr>
        <w:pStyle w:val="ListParagraph"/>
        <w:tabs>
          <w:tab w:val="left" w:pos="1276"/>
        </w:tabs>
        <w:spacing w:after="0" w:line="240" w:lineRule="auto"/>
        <w:ind w:left="567" w:right="-1"/>
        <w:jc w:val="both"/>
        <w:rPr>
          <w:rFonts w:ascii="Arial" w:hAnsi="Arial" w:cs="Arial"/>
          <w:sz w:val="20"/>
          <w:szCs w:val="20"/>
        </w:rPr>
      </w:pPr>
    </w:p>
    <w:tbl>
      <w:tblPr>
        <w:tblW w:w="8505" w:type="dxa"/>
        <w:tblInd w:w="567" w:type="dxa"/>
        <w:tblLayout w:type="fixed"/>
        <w:tblCellMar>
          <w:left w:w="70" w:type="dxa"/>
          <w:right w:w="70" w:type="dxa"/>
        </w:tblCellMar>
        <w:tblLook w:val="04A0" w:firstRow="1" w:lastRow="0" w:firstColumn="1" w:lastColumn="0" w:noHBand="0" w:noVBand="1"/>
      </w:tblPr>
      <w:tblGrid>
        <w:gridCol w:w="7088"/>
        <w:gridCol w:w="1417"/>
      </w:tblGrid>
      <w:tr w:rsidR="00264552" w:rsidRPr="0074154F" w14:paraId="15A475F0" w14:textId="77777777" w:rsidTr="007D0396">
        <w:trPr>
          <w:trHeight w:val="413"/>
        </w:trPr>
        <w:tc>
          <w:tcPr>
            <w:tcW w:w="7088" w:type="dxa"/>
            <w:shd w:val="solid" w:color="FFFFFF" w:fill="auto"/>
            <w:vAlign w:val="bottom"/>
          </w:tcPr>
          <w:p w14:paraId="7932B6C1"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color w:val="000000"/>
                <w:sz w:val="20"/>
                <w:szCs w:val="20"/>
                <w:u w:val="single"/>
                <w:lang w:val="es-ES" w:bidi="es-ES"/>
              </w:rPr>
            </w:pPr>
          </w:p>
        </w:tc>
        <w:tc>
          <w:tcPr>
            <w:tcW w:w="1417" w:type="dxa"/>
            <w:tcBorders>
              <w:bottom w:val="single" w:sz="8" w:space="0" w:color="auto"/>
            </w:tcBorders>
            <w:shd w:val="solid" w:color="FFFFFF" w:fill="auto"/>
            <w:vAlign w:val="bottom"/>
            <w:hideMark/>
          </w:tcPr>
          <w:p w14:paraId="299A0AFE"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lang w:val="es-ES" w:bidi="es-ES"/>
              </w:rPr>
            </w:pPr>
            <w:r w:rsidRPr="0074154F">
              <w:rPr>
                <w:rFonts w:ascii="Arial" w:eastAsia="Arial Unicode MS" w:hAnsi="Arial" w:cs="Arial"/>
                <w:b/>
                <w:color w:val="000000"/>
                <w:sz w:val="20"/>
                <w:szCs w:val="20"/>
                <w:lang w:val="es-ES" w:bidi="es-ES"/>
              </w:rPr>
              <w:t>(En US$ dólares)</w:t>
            </w:r>
          </w:p>
        </w:tc>
      </w:tr>
      <w:tr w:rsidR="00250A39" w:rsidRPr="0074154F" w14:paraId="3CD62DA4" w14:textId="77777777" w:rsidTr="008F5308">
        <w:trPr>
          <w:trHeight w:val="227"/>
        </w:trPr>
        <w:tc>
          <w:tcPr>
            <w:tcW w:w="7088" w:type="dxa"/>
            <w:shd w:val="solid" w:color="FFFFFF" w:fill="auto"/>
            <w:vAlign w:val="bottom"/>
          </w:tcPr>
          <w:p w14:paraId="426F82AF" w14:textId="77777777" w:rsidR="00250A39" w:rsidRPr="0074154F" w:rsidRDefault="00250A39" w:rsidP="008F5308">
            <w:pPr>
              <w:widowControl w:val="0"/>
              <w:autoSpaceDE w:val="0"/>
              <w:autoSpaceDN w:val="0"/>
              <w:adjustRightInd w:val="0"/>
              <w:spacing w:after="0" w:line="240" w:lineRule="auto"/>
              <w:ind w:left="-70"/>
              <w:rPr>
                <w:rFonts w:ascii="Arial" w:eastAsia="Arial Unicode MS" w:hAnsi="Arial" w:cs="Arial"/>
                <w:b/>
                <w:iCs/>
                <w:color w:val="000000"/>
                <w:sz w:val="20"/>
                <w:szCs w:val="20"/>
                <w:u w:val="single"/>
                <w:lang w:val="es-ES" w:bidi="es-ES"/>
              </w:rPr>
            </w:pPr>
          </w:p>
        </w:tc>
        <w:tc>
          <w:tcPr>
            <w:tcW w:w="1417" w:type="dxa"/>
            <w:shd w:val="solid" w:color="FFFFFF" w:fill="auto"/>
            <w:vAlign w:val="bottom"/>
          </w:tcPr>
          <w:p w14:paraId="4AF53A9B" w14:textId="77777777" w:rsidR="00250A39" w:rsidRPr="0074154F" w:rsidRDefault="00250A39"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r>
      <w:tr w:rsidR="00264552" w:rsidRPr="0074154F" w14:paraId="200F9B8C" w14:textId="77777777" w:rsidTr="007D0396">
        <w:trPr>
          <w:trHeight w:val="126"/>
        </w:trPr>
        <w:tc>
          <w:tcPr>
            <w:tcW w:w="7088" w:type="dxa"/>
            <w:shd w:val="solid" w:color="FFFFFF" w:fill="auto"/>
            <w:vAlign w:val="bottom"/>
            <w:hideMark/>
          </w:tcPr>
          <w:p w14:paraId="5784E426"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bCs/>
                <w:color w:val="000000"/>
                <w:sz w:val="20"/>
                <w:szCs w:val="20"/>
                <w:u w:val="single"/>
                <w:lang w:val="es-ES" w:bidi="es-ES"/>
              </w:rPr>
            </w:pPr>
            <w:r w:rsidRPr="0074154F">
              <w:rPr>
                <w:rFonts w:ascii="Arial" w:eastAsia="Arial Unicode MS" w:hAnsi="Arial" w:cs="Arial"/>
                <w:b/>
                <w:iCs/>
                <w:color w:val="000000"/>
                <w:sz w:val="20"/>
                <w:szCs w:val="20"/>
                <w:u w:val="single"/>
                <w:lang w:val="es-ES" w:bidi="es-ES"/>
              </w:rPr>
              <w:t>Costo</w:t>
            </w:r>
            <w:r w:rsidRPr="0074154F">
              <w:rPr>
                <w:rFonts w:ascii="Arial" w:eastAsia="Arial Unicode MS" w:hAnsi="Arial" w:cs="Arial"/>
                <w:b/>
                <w:bCs/>
                <w:iCs/>
                <w:color w:val="000000"/>
                <w:sz w:val="20"/>
                <w:szCs w:val="20"/>
                <w:lang w:val="es-ES" w:bidi="es-ES"/>
              </w:rPr>
              <w:t>:</w:t>
            </w:r>
          </w:p>
        </w:tc>
        <w:tc>
          <w:tcPr>
            <w:tcW w:w="1417" w:type="dxa"/>
            <w:shd w:val="solid" w:color="FFFFFF" w:fill="auto"/>
            <w:vAlign w:val="bottom"/>
          </w:tcPr>
          <w:p w14:paraId="20315827"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r>
      <w:tr w:rsidR="00264552" w:rsidRPr="0074154F" w14:paraId="6E6AA681" w14:textId="77777777" w:rsidTr="008F5308">
        <w:trPr>
          <w:trHeight w:val="170"/>
        </w:trPr>
        <w:tc>
          <w:tcPr>
            <w:tcW w:w="7088" w:type="dxa"/>
            <w:shd w:val="solid" w:color="FFFFFF" w:fill="auto"/>
            <w:vAlign w:val="bottom"/>
          </w:tcPr>
          <w:p w14:paraId="11CF195D"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iCs/>
                <w:color w:val="000000"/>
                <w:sz w:val="20"/>
                <w:szCs w:val="20"/>
                <w:u w:val="single"/>
                <w:lang w:val="es-ES" w:bidi="es-ES"/>
              </w:rPr>
            </w:pPr>
          </w:p>
        </w:tc>
        <w:tc>
          <w:tcPr>
            <w:tcW w:w="1417" w:type="dxa"/>
            <w:shd w:val="solid" w:color="FFFFFF" w:fill="auto"/>
            <w:vAlign w:val="bottom"/>
          </w:tcPr>
          <w:p w14:paraId="510CAD8C"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r>
      <w:tr w:rsidR="00264552" w:rsidRPr="0074154F" w14:paraId="27E72460" w14:textId="77777777" w:rsidTr="008F5308">
        <w:trPr>
          <w:trHeight w:val="227"/>
        </w:trPr>
        <w:tc>
          <w:tcPr>
            <w:tcW w:w="7088" w:type="dxa"/>
            <w:shd w:val="solid" w:color="FFFFFF" w:fill="auto"/>
            <w:vAlign w:val="bottom"/>
            <w:hideMark/>
          </w:tcPr>
          <w:p w14:paraId="0C828A1E"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Saldo al inicio del año</w:t>
            </w:r>
          </w:p>
        </w:tc>
        <w:tc>
          <w:tcPr>
            <w:tcW w:w="1417" w:type="dxa"/>
            <w:shd w:val="solid" w:color="FFFFFF" w:fill="auto"/>
            <w:vAlign w:val="bottom"/>
          </w:tcPr>
          <w:p w14:paraId="06F96011" w14:textId="50691E97" w:rsidR="00264552" w:rsidRPr="0074154F" w:rsidRDefault="00BF442A"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Pr>
                <w:rFonts w:ascii="Arial" w:eastAsia="Arial Unicode MS" w:hAnsi="Arial" w:cs="Arial"/>
                <w:color w:val="000000"/>
                <w:sz w:val="20"/>
                <w:szCs w:val="20"/>
                <w:lang w:val="es-ES" w:eastAsia="es-ES" w:bidi="es-ES"/>
              </w:rPr>
              <w:t>8,</w:t>
            </w:r>
            <w:r w:rsidR="00CC5225">
              <w:rPr>
                <w:rFonts w:ascii="Arial" w:eastAsia="Arial Unicode MS" w:hAnsi="Arial" w:cs="Arial"/>
                <w:color w:val="000000"/>
                <w:sz w:val="20"/>
                <w:szCs w:val="20"/>
                <w:lang w:val="es-ES" w:eastAsia="es-ES" w:bidi="es-ES"/>
              </w:rPr>
              <w:t>359</w:t>
            </w:r>
            <w:r>
              <w:rPr>
                <w:rFonts w:ascii="Arial" w:eastAsia="Arial Unicode MS" w:hAnsi="Arial" w:cs="Arial"/>
                <w:color w:val="000000"/>
                <w:sz w:val="20"/>
                <w:szCs w:val="20"/>
                <w:lang w:val="es-ES" w:eastAsia="es-ES" w:bidi="es-ES"/>
              </w:rPr>
              <w:t>,</w:t>
            </w:r>
            <w:r w:rsidR="00CC5225">
              <w:rPr>
                <w:rFonts w:ascii="Arial" w:eastAsia="Arial Unicode MS" w:hAnsi="Arial" w:cs="Arial"/>
                <w:color w:val="000000"/>
                <w:sz w:val="20"/>
                <w:szCs w:val="20"/>
                <w:lang w:val="es-ES" w:eastAsia="es-ES" w:bidi="es-ES"/>
              </w:rPr>
              <w:t>625</w:t>
            </w:r>
          </w:p>
        </w:tc>
      </w:tr>
      <w:tr w:rsidR="00264552" w:rsidRPr="0074154F" w14:paraId="68D80EA2" w14:textId="77777777" w:rsidTr="008F5308">
        <w:trPr>
          <w:trHeight w:val="227"/>
        </w:trPr>
        <w:tc>
          <w:tcPr>
            <w:tcW w:w="7088" w:type="dxa"/>
            <w:shd w:val="solid" w:color="FFFFFF" w:fill="auto"/>
            <w:vAlign w:val="bottom"/>
          </w:tcPr>
          <w:p w14:paraId="696B3331"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shd w:val="solid" w:color="FFFFFF" w:fill="auto"/>
            <w:vAlign w:val="bottom"/>
          </w:tcPr>
          <w:p w14:paraId="5097C11B"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double"/>
                <w:lang w:val="es-ES" w:eastAsia="es-ES" w:bidi="es-ES"/>
              </w:rPr>
            </w:pPr>
          </w:p>
        </w:tc>
      </w:tr>
      <w:tr w:rsidR="00264552" w:rsidRPr="0074154F" w14:paraId="2AFB1949" w14:textId="77777777" w:rsidTr="00CC5225">
        <w:trPr>
          <w:trHeight w:val="227"/>
        </w:trPr>
        <w:tc>
          <w:tcPr>
            <w:tcW w:w="7088" w:type="dxa"/>
            <w:shd w:val="solid" w:color="FFFFFF" w:fill="auto"/>
            <w:vAlign w:val="bottom"/>
          </w:tcPr>
          <w:p w14:paraId="43B65749"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Adiciones</w:t>
            </w:r>
          </w:p>
        </w:tc>
        <w:tc>
          <w:tcPr>
            <w:tcW w:w="1417" w:type="dxa"/>
            <w:shd w:val="solid" w:color="FFFFFF" w:fill="auto"/>
            <w:vAlign w:val="bottom"/>
          </w:tcPr>
          <w:p w14:paraId="453F5DB7"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1,606,903</w:t>
            </w:r>
          </w:p>
        </w:tc>
      </w:tr>
      <w:tr w:rsidR="00CC5225" w:rsidRPr="0074154F" w14:paraId="5EBD5C62" w14:textId="77777777" w:rsidTr="00CC5225">
        <w:trPr>
          <w:trHeight w:val="227"/>
        </w:trPr>
        <w:tc>
          <w:tcPr>
            <w:tcW w:w="7088" w:type="dxa"/>
            <w:shd w:val="solid" w:color="FFFFFF" w:fill="auto"/>
            <w:vAlign w:val="bottom"/>
          </w:tcPr>
          <w:p w14:paraId="19CF3CDF" w14:textId="77777777" w:rsidR="00CC5225" w:rsidRPr="0074154F" w:rsidRDefault="00CC5225"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shd w:val="solid" w:color="FFFFFF" w:fill="auto"/>
            <w:vAlign w:val="bottom"/>
          </w:tcPr>
          <w:p w14:paraId="3E5F07DC" w14:textId="77777777" w:rsidR="00CC5225" w:rsidRPr="0074154F" w:rsidRDefault="00CC5225"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r>
      <w:tr w:rsidR="00CC5225" w:rsidRPr="0074154F" w14:paraId="43799464" w14:textId="77777777" w:rsidTr="00CC5225">
        <w:trPr>
          <w:trHeight w:val="227"/>
        </w:trPr>
        <w:tc>
          <w:tcPr>
            <w:tcW w:w="7088" w:type="dxa"/>
            <w:shd w:val="solid" w:color="FFFFFF" w:fill="auto"/>
            <w:vAlign w:val="bottom"/>
          </w:tcPr>
          <w:p w14:paraId="7E01E057" w14:textId="7596C683" w:rsidR="00CC5225" w:rsidRPr="0074154F" w:rsidRDefault="00CC5225"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Pr>
                <w:rFonts w:ascii="Arial" w:eastAsia="Arial Unicode MS" w:hAnsi="Arial" w:cs="Arial"/>
                <w:color w:val="000000"/>
                <w:sz w:val="20"/>
                <w:szCs w:val="20"/>
                <w:lang w:val="es-ES" w:bidi="es-ES"/>
              </w:rPr>
              <w:t>Ajuste</w:t>
            </w:r>
          </w:p>
        </w:tc>
        <w:tc>
          <w:tcPr>
            <w:tcW w:w="1417" w:type="dxa"/>
            <w:tcBorders>
              <w:bottom w:val="single" w:sz="6" w:space="0" w:color="auto"/>
            </w:tcBorders>
            <w:shd w:val="solid" w:color="FFFFFF" w:fill="auto"/>
            <w:vAlign w:val="bottom"/>
          </w:tcPr>
          <w:p w14:paraId="29086E3B" w14:textId="7DC3F335" w:rsidR="00CC5225" w:rsidRPr="0074154F" w:rsidRDefault="00CC5225"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Pr>
                <w:rFonts w:ascii="Arial" w:eastAsia="Arial Unicode MS" w:hAnsi="Arial" w:cs="Arial"/>
                <w:color w:val="000000"/>
                <w:sz w:val="20"/>
                <w:szCs w:val="20"/>
                <w:lang w:val="es-ES" w:eastAsia="es-ES" w:bidi="es-ES"/>
              </w:rPr>
              <w:t>(287,912)</w:t>
            </w:r>
          </w:p>
        </w:tc>
      </w:tr>
      <w:tr w:rsidR="00264552" w:rsidRPr="0074154F" w14:paraId="00484353" w14:textId="77777777" w:rsidTr="00CC5225">
        <w:trPr>
          <w:trHeight w:val="227"/>
        </w:trPr>
        <w:tc>
          <w:tcPr>
            <w:tcW w:w="7088" w:type="dxa"/>
            <w:shd w:val="solid" w:color="FFFFFF" w:fill="auto"/>
            <w:vAlign w:val="bottom"/>
          </w:tcPr>
          <w:p w14:paraId="7E05DD42"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tcBorders>
              <w:top w:val="single" w:sz="6" w:space="0" w:color="auto"/>
            </w:tcBorders>
            <w:shd w:val="solid" w:color="FFFFFF" w:fill="auto"/>
            <w:vAlign w:val="bottom"/>
          </w:tcPr>
          <w:p w14:paraId="420621B7"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double"/>
                <w:lang w:val="es-ES" w:eastAsia="es-ES" w:bidi="es-ES"/>
              </w:rPr>
            </w:pPr>
          </w:p>
        </w:tc>
      </w:tr>
      <w:tr w:rsidR="00264552" w:rsidRPr="0074154F" w14:paraId="20C4AAAA" w14:textId="77777777" w:rsidTr="008F5308">
        <w:trPr>
          <w:trHeight w:val="227"/>
        </w:trPr>
        <w:tc>
          <w:tcPr>
            <w:tcW w:w="7088" w:type="dxa"/>
            <w:shd w:val="solid" w:color="FFFFFF" w:fill="auto"/>
            <w:vAlign w:val="bottom"/>
          </w:tcPr>
          <w:p w14:paraId="6F4B7275"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Saldo al final del año</w:t>
            </w:r>
          </w:p>
        </w:tc>
        <w:tc>
          <w:tcPr>
            <w:tcW w:w="1417" w:type="dxa"/>
            <w:tcBorders>
              <w:bottom w:val="double" w:sz="4" w:space="0" w:color="auto"/>
            </w:tcBorders>
            <w:shd w:val="solid" w:color="FFFFFF" w:fill="auto"/>
            <w:vAlign w:val="bottom"/>
          </w:tcPr>
          <w:p w14:paraId="3C72F242" w14:textId="0B5EE369" w:rsidR="00264552" w:rsidRPr="0074154F" w:rsidRDefault="00BF442A"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Pr>
                <w:rFonts w:ascii="Arial" w:eastAsia="Arial Unicode MS" w:hAnsi="Arial" w:cs="Arial"/>
                <w:color w:val="000000"/>
                <w:sz w:val="20"/>
                <w:szCs w:val="20"/>
                <w:lang w:val="es-ES" w:eastAsia="es-ES" w:bidi="es-ES"/>
              </w:rPr>
              <w:t>9,678,616</w:t>
            </w:r>
          </w:p>
        </w:tc>
      </w:tr>
      <w:tr w:rsidR="00264552" w:rsidRPr="0074154F" w14:paraId="37B6B263" w14:textId="77777777" w:rsidTr="008F5308">
        <w:trPr>
          <w:trHeight w:val="227"/>
        </w:trPr>
        <w:tc>
          <w:tcPr>
            <w:tcW w:w="7088" w:type="dxa"/>
            <w:shd w:val="solid" w:color="FFFFFF" w:fill="auto"/>
            <w:vAlign w:val="bottom"/>
          </w:tcPr>
          <w:p w14:paraId="33D409AF"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tcBorders>
              <w:top w:val="double" w:sz="4" w:space="0" w:color="auto"/>
            </w:tcBorders>
            <w:shd w:val="solid" w:color="FFFFFF" w:fill="auto"/>
            <w:vAlign w:val="bottom"/>
          </w:tcPr>
          <w:p w14:paraId="688454D1"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r>
      <w:tr w:rsidR="00264552" w:rsidRPr="0074154F" w14:paraId="280AC187" w14:textId="77777777" w:rsidTr="008F5308">
        <w:trPr>
          <w:trHeight w:val="227"/>
        </w:trPr>
        <w:tc>
          <w:tcPr>
            <w:tcW w:w="7088" w:type="dxa"/>
            <w:shd w:val="solid" w:color="FFFFFF" w:fill="auto"/>
            <w:vAlign w:val="bottom"/>
          </w:tcPr>
          <w:p w14:paraId="76E65F58"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b/>
                <w:bCs/>
                <w:color w:val="000000"/>
                <w:sz w:val="20"/>
                <w:szCs w:val="20"/>
                <w:u w:val="single"/>
                <w:lang w:val="es-ES" w:bidi="es-ES"/>
              </w:rPr>
            </w:pPr>
            <w:r w:rsidRPr="0074154F">
              <w:rPr>
                <w:rFonts w:ascii="Arial" w:eastAsia="Arial Unicode MS" w:hAnsi="Arial" w:cs="Arial"/>
                <w:b/>
                <w:bCs/>
                <w:color w:val="000000"/>
                <w:sz w:val="20"/>
                <w:szCs w:val="20"/>
                <w:u w:val="single"/>
                <w:lang w:val="es-ES" w:bidi="es-ES"/>
              </w:rPr>
              <w:t>Depreciación acumulada</w:t>
            </w:r>
            <w:r w:rsidRPr="0074154F">
              <w:rPr>
                <w:rFonts w:ascii="Arial" w:eastAsia="Arial Unicode MS" w:hAnsi="Arial" w:cs="Arial"/>
                <w:b/>
                <w:bCs/>
                <w:color w:val="000000"/>
                <w:sz w:val="20"/>
                <w:szCs w:val="20"/>
                <w:lang w:val="es-ES" w:bidi="es-ES"/>
              </w:rPr>
              <w:t>:</w:t>
            </w:r>
          </w:p>
        </w:tc>
        <w:tc>
          <w:tcPr>
            <w:tcW w:w="1417" w:type="dxa"/>
            <w:shd w:val="solid" w:color="FFFFFF" w:fill="auto"/>
            <w:vAlign w:val="bottom"/>
          </w:tcPr>
          <w:p w14:paraId="7EE4BBEF" w14:textId="77777777" w:rsidR="00264552" w:rsidRPr="0074154F" w:rsidRDefault="00264552"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r>
      <w:tr w:rsidR="00264552" w:rsidRPr="0074154F" w14:paraId="4E6A21AF" w14:textId="77777777" w:rsidTr="008F5308">
        <w:trPr>
          <w:trHeight w:val="227"/>
        </w:trPr>
        <w:tc>
          <w:tcPr>
            <w:tcW w:w="7088" w:type="dxa"/>
            <w:shd w:val="solid" w:color="FFFFFF" w:fill="auto"/>
            <w:vAlign w:val="bottom"/>
          </w:tcPr>
          <w:p w14:paraId="3FAF1BB4"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b/>
                <w:bCs/>
                <w:color w:val="000000"/>
                <w:sz w:val="20"/>
                <w:szCs w:val="20"/>
                <w:u w:val="single"/>
                <w:lang w:val="es-ES" w:bidi="es-ES"/>
              </w:rPr>
            </w:pPr>
          </w:p>
        </w:tc>
        <w:tc>
          <w:tcPr>
            <w:tcW w:w="1417" w:type="dxa"/>
            <w:shd w:val="solid" w:color="FFFFFF" w:fill="auto"/>
            <w:vAlign w:val="bottom"/>
          </w:tcPr>
          <w:p w14:paraId="3BC6A30E" w14:textId="77777777" w:rsidR="00264552" w:rsidRPr="0074154F" w:rsidRDefault="00264552"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r>
      <w:tr w:rsidR="00264552" w:rsidRPr="0074154F" w14:paraId="0E8DBEEE" w14:textId="77777777" w:rsidTr="008F5308">
        <w:trPr>
          <w:trHeight w:val="227"/>
        </w:trPr>
        <w:tc>
          <w:tcPr>
            <w:tcW w:w="7088" w:type="dxa"/>
            <w:shd w:val="solid" w:color="FFFFFF" w:fill="auto"/>
            <w:vAlign w:val="bottom"/>
            <w:hideMark/>
          </w:tcPr>
          <w:p w14:paraId="589B08FF"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Saldo al inicio del año</w:t>
            </w:r>
          </w:p>
        </w:tc>
        <w:tc>
          <w:tcPr>
            <w:tcW w:w="1417" w:type="dxa"/>
            <w:shd w:val="solid" w:color="FFFFFF" w:fill="auto"/>
            <w:vAlign w:val="bottom"/>
          </w:tcPr>
          <w:p w14:paraId="4EB4F0FB" w14:textId="5F31F60A"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w:t>
            </w:r>
            <w:r w:rsidR="0051764E">
              <w:rPr>
                <w:rFonts w:ascii="Arial" w:eastAsia="Arial Unicode MS" w:hAnsi="Arial" w:cs="Arial"/>
                <w:color w:val="000000"/>
                <w:sz w:val="20"/>
                <w:szCs w:val="20"/>
                <w:lang w:val="es-ES" w:eastAsia="es-ES" w:bidi="es-ES"/>
              </w:rPr>
              <w:t>1,484,293</w:t>
            </w:r>
            <w:r w:rsidRPr="0074154F">
              <w:rPr>
                <w:rFonts w:ascii="Arial" w:eastAsia="Arial Unicode MS" w:hAnsi="Arial" w:cs="Arial"/>
                <w:color w:val="000000"/>
                <w:sz w:val="20"/>
                <w:szCs w:val="20"/>
                <w:lang w:val="es-ES" w:eastAsia="es-ES" w:bidi="es-ES"/>
              </w:rPr>
              <w:t>)</w:t>
            </w:r>
          </w:p>
        </w:tc>
      </w:tr>
      <w:tr w:rsidR="00264552" w:rsidRPr="0074154F" w14:paraId="57781F66" w14:textId="77777777" w:rsidTr="008F5308">
        <w:trPr>
          <w:trHeight w:val="227"/>
        </w:trPr>
        <w:tc>
          <w:tcPr>
            <w:tcW w:w="7088" w:type="dxa"/>
            <w:shd w:val="solid" w:color="FFFFFF" w:fill="auto"/>
            <w:vAlign w:val="bottom"/>
          </w:tcPr>
          <w:p w14:paraId="6EE25998"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shd w:val="solid" w:color="FFFFFF" w:fill="auto"/>
            <w:vAlign w:val="bottom"/>
          </w:tcPr>
          <w:p w14:paraId="7C9411B4"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r>
      <w:tr w:rsidR="00264552" w:rsidRPr="0074154F" w14:paraId="0A9D12FF" w14:textId="77777777" w:rsidTr="00873467">
        <w:trPr>
          <w:trHeight w:val="227"/>
        </w:trPr>
        <w:tc>
          <w:tcPr>
            <w:tcW w:w="7088" w:type="dxa"/>
            <w:shd w:val="solid" w:color="FFFFFF" w:fill="auto"/>
            <w:vAlign w:val="bottom"/>
            <w:hideMark/>
          </w:tcPr>
          <w:p w14:paraId="36597362"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Depreciación</w:t>
            </w:r>
          </w:p>
        </w:tc>
        <w:tc>
          <w:tcPr>
            <w:tcW w:w="1417" w:type="dxa"/>
            <w:shd w:val="solid" w:color="FFFFFF" w:fill="auto"/>
            <w:vAlign w:val="bottom"/>
          </w:tcPr>
          <w:p w14:paraId="20AC3C96" w14:textId="2DBE7544"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 xml:space="preserve"> (</w:t>
            </w:r>
            <w:r w:rsidR="0051764E">
              <w:rPr>
                <w:rFonts w:ascii="Arial" w:eastAsia="Arial Unicode MS" w:hAnsi="Arial" w:cs="Arial"/>
                <w:color w:val="000000"/>
                <w:sz w:val="20"/>
                <w:szCs w:val="20"/>
                <w:lang w:val="es-ES" w:eastAsia="es-ES" w:bidi="es-ES"/>
              </w:rPr>
              <w:t>2,408,033</w:t>
            </w:r>
            <w:r w:rsidRPr="0074154F">
              <w:rPr>
                <w:rFonts w:ascii="Arial" w:eastAsia="Arial Unicode MS" w:hAnsi="Arial" w:cs="Arial"/>
                <w:color w:val="000000"/>
                <w:sz w:val="20"/>
                <w:szCs w:val="20"/>
                <w:lang w:val="es-ES" w:eastAsia="es-ES" w:bidi="es-ES"/>
              </w:rPr>
              <w:t>)</w:t>
            </w:r>
          </w:p>
        </w:tc>
      </w:tr>
      <w:tr w:rsidR="00264552" w:rsidRPr="0074154F" w14:paraId="2380812C" w14:textId="77777777" w:rsidTr="00873467">
        <w:trPr>
          <w:trHeight w:val="227"/>
        </w:trPr>
        <w:tc>
          <w:tcPr>
            <w:tcW w:w="7088" w:type="dxa"/>
            <w:shd w:val="solid" w:color="FFFFFF" w:fill="auto"/>
            <w:vAlign w:val="bottom"/>
          </w:tcPr>
          <w:p w14:paraId="46EE8592"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417" w:type="dxa"/>
            <w:tcBorders>
              <w:top w:val="single" w:sz="6" w:space="0" w:color="auto"/>
            </w:tcBorders>
            <w:shd w:val="solid" w:color="FFFFFF" w:fill="auto"/>
            <w:vAlign w:val="bottom"/>
          </w:tcPr>
          <w:p w14:paraId="47871013"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double"/>
                <w:lang w:val="es-ES" w:eastAsia="es-ES" w:bidi="es-ES"/>
              </w:rPr>
            </w:pPr>
          </w:p>
        </w:tc>
      </w:tr>
      <w:tr w:rsidR="00264552" w:rsidRPr="0074154F" w14:paraId="532BA50D" w14:textId="77777777" w:rsidTr="008F5308">
        <w:trPr>
          <w:trHeight w:val="227"/>
        </w:trPr>
        <w:tc>
          <w:tcPr>
            <w:tcW w:w="7088" w:type="dxa"/>
            <w:shd w:val="solid" w:color="FFFFFF" w:fill="auto"/>
            <w:vAlign w:val="bottom"/>
            <w:hideMark/>
          </w:tcPr>
          <w:p w14:paraId="13E8276A"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Saldo al final del año</w:t>
            </w:r>
          </w:p>
        </w:tc>
        <w:tc>
          <w:tcPr>
            <w:tcW w:w="1417" w:type="dxa"/>
            <w:tcBorders>
              <w:bottom w:val="double" w:sz="4" w:space="0" w:color="auto"/>
            </w:tcBorders>
            <w:shd w:val="solid" w:color="FFFFFF" w:fill="auto"/>
            <w:vAlign w:val="bottom"/>
          </w:tcPr>
          <w:p w14:paraId="4C3CCA59" w14:textId="604DE83B"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(3,8</w:t>
            </w:r>
            <w:r w:rsidR="00BF442A">
              <w:rPr>
                <w:rFonts w:ascii="Arial" w:eastAsia="Arial Unicode MS" w:hAnsi="Arial" w:cs="Arial"/>
                <w:color w:val="000000"/>
                <w:sz w:val="20"/>
                <w:szCs w:val="20"/>
                <w:lang w:val="es-ES" w:eastAsia="es-ES" w:bidi="es-ES"/>
              </w:rPr>
              <w:t>92</w:t>
            </w:r>
            <w:r w:rsidRPr="0074154F">
              <w:rPr>
                <w:rFonts w:ascii="Arial" w:eastAsia="Arial Unicode MS" w:hAnsi="Arial" w:cs="Arial"/>
                <w:color w:val="000000"/>
                <w:sz w:val="20"/>
                <w:szCs w:val="20"/>
                <w:lang w:val="es-ES" w:eastAsia="es-ES" w:bidi="es-ES"/>
              </w:rPr>
              <w:t>,</w:t>
            </w:r>
            <w:r w:rsidR="00BF442A">
              <w:rPr>
                <w:rFonts w:ascii="Arial" w:eastAsia="Arial Unicode MS" w:hAnsi="Arial" w:cs="Arial"/>
                <w:color w:val="000000"/>
                <w:sz w:val="20"/>
                <w:szCs w:val="20"/>
                <w:lang w:val="es-ES" w:eastAsia="es-ES" w:bidi="es-ES"/>
              </w:rPr>
              <w:t>326</w:t>
            </w:r>
            <w:r w:rsidRPr="0074154F">
              <w:rPr>
                <w:rFonts w:ascii="Arial" w:eastAsia="Arial Unicode MS" w:hAnsi="Arial" w:cs="Arial"/>
                <w:color w:val="000000"/>
                <w:sz w:val="20"/>
                <w:szCs w:val="20"/>
                <w:lang w:val="es-ES" w:eastAsia="es-ES" w:bidi="es-ES"/>
              </w:rPr>
              <w:t>)</w:t>
            </w:r>
          </w:p>
        </w:tc>
      </w:tr>
    </w:tbl>
    <w:p w14:paraId="4C67D311" w14:textId="77777777" w:rsidR="00264552" w:rsidRPr="0074154F" w:rsidRDefault="00264552" w:rsidP="00264552">
      <w:pPr>
        <w:pStyle w:val="ListParagraph"/>
        <w:tabs>
          <w:tab w:val="left" w:pos="1276"/>
        </w:tabs>
        <w:spacing w:after="0" w:line="240" w:lineRule="auto"/>
        <w:ind w:left="567" w:right="-1"/>
        <w:jc w:val="both"/>
        <w:rPr>
          <w:rFonts w:ascii="Arial" w:hAnsi="Arial" w:cs="Arial"/>
          <w:sz w:val="18"/>
          <w:szCs w:val="18"/>
        </w:rPr>
      </w:pPr>
    </w:p>
    <w:p w14:paraId="7B0D8E11" w14:textId="77777777" w:rsidR="00E77A69" w:rsidRDefault="00264552" w:rsidP="00264552">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 xml:space="preserve">Al 31 de diciembre del 2020, </w:t>
      </w:r>
      <w:r w:rsidR="00BF442A">
        <w:rPr>
          <w:rFonts w:ascii="Arial" w:hAnsi="Arial" w:cs="Arial"/>
          <w:sz w:val="20"/>
          <w:szCs w:val="20"/>
        </w:rPr>
        <w:t>la Compañía y su relacionada</w:t>
      </w:r>
      <w:r w:rsidRPr="0074154F">
        <w:rPr>
          <w:rFonts w:ascii="Arial" w:hAnsi="Arial" w:cs="Arial"/>
          <w:sz w:val="20"/>
          <w:szCs w:val="20"/>
        </w:rPr>
        <w:t xml:space="preserve"> </w:t>
      </w:r>
      <w:r w:rsidRPr="0074154F">
        <w:rPr>
          <w:rFonts w:ascii="Arial" w:hAnsi="Arial" w:cs="Arial"/>
          <w:color w:val="000000" w:themeColor="text1"/>
          <w:sz w:val="20"/>
          <w:szCs w:val="20"/>
        </w:rPr>
        <w:t>realiz</w:t>
      </w:r>
      <w:r w:rsidR="00587BA2" w:rsidRPr="0074154F">
        <w:rPr>
          <w:rFonts w:ascii="Arial" w:hAnsi="Arial" w:cs="Arial"/>
          <w:color w:val="000000" w:themeColor="text1"/>
          <w:sz w:val="20"/>
          <w:szCs w:val="20"/>
        </w:rPr>
        <w:t>ó</w:t>
      </w:r>
      <w:r w:rsidR="00C40705" w:rsidRPr="0074154F">
        <w:rPr>
          <w:rFonts w:ascii="Arial" w:hAnsi="Arial" w:cs="Arial"/>
          <w:b/>
          <w:bCs/>
          <w:color w:val="FF0000"/>
          <w:sz w:val="20"/>
          <w:szCs w:val="20"/>
        </w:rPr>
        <w:t xml:space="preserve"> </w:t>
      </w:r>
      <w:r w:rsidRPr="0074154F">
        <w:rPr>
          <w:rFonts w:ascii="Arial" w:hAnsi="Arial" w:cs="Arial"/>
          <w:sz w:val="20"/>
          <w:szCs w:val="20"/>
        </w:rPr>
        <w:t>nuevos contratos suscritos para locales comerciales a nivel nacional, los activos por derecho de uso son amortizados por método de línea recta por el plazo de los contratos de arrendamiento.</w:t>
      </w:r>
      <w:r w:rsidR="00BB5971" w:rsidRPr="0074154F">
        <w:rPr>
          <w:rFonts w:ascii="Arial" w:hAnsi="Arial" w:cs="Arial"/>
          <w:sz w:val="20"/>
          <w:szCs w:val="20"/>
        </w:rPr>
        <w:t xml:space="preserve"> </w:t>
      </w:r>
    </w:p>
    <w:p w14:paraId="4D7FD1F4" w14:textId="77777777" w:rsidR="00E77A69" w:rsidRDefault="00E77A69" w:rsidP="00264552">
      <w:pPr>
        <w:pStyle w:val="ListParagraph"/>
        <w:tabs>
          <w:tab w:val="left" w:pos="1276"/>
        </w:tabs>
        <w:spacing w:after="0" w:line="240" w:lineRule="auto"/>
        <w:ind w:left="567" w:right="-1"/>
        <w:jc w:val="both"/>
        <w:rPr>
          <w:rFonts w:ascii="Arial" w:hAnsi="Arial" w:cs="Arial"/>
          <w:sz w:val="20"/>
          <w:szCs w:val="20"/>
        </w:rPr>
      </w:pPr>
    </w:p>
    <w:p w14:paraId="108A599C" w14:textId="091B4CC8" w:rsidR="00264552" w:rsidRPr="0074154F" w:rsidRDefault="00264552" w:rsidP="00264552">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 xml:space="preserve">Durante el año 2020, </w:t>
      </w:r>
      <w:r w:rsidR="00F659DB">
        <w:rPr>
          <w:rFonts w:ascii="Arial" w:hAnsi="Arial" w:cs="Arial"/>
          <w:sz w:val="20"/>
          <w:szCs w:val="20"/>
        </w:rPr>
        <w:t>la Compañía</w:t>
      </w:r>
      <w:r w:rsidRPr="0074154F">
        <w:rPr>
          <w:rFonts w:ascii="Arial" w:hAnsi="Arial" w:cs="Arial"/>
          <w:sz w:val="20"/>
          <w:szCs w:val="20"/>
        </w:rPr>
        <w:t xml:space="preserve"> </w:t>
      </w:r>
      <w:r w:rsidR="00173C43">
        <w:rPr>
          <w:rFonts w:ascii="Arial" w:hAnsi="Arial" w:cs="Arial"/>
          <w:sz w:val="20"/>
          <w:szCs w:val="20"/>
        </w:rPr>
        <w:t xml:space="preserve">y su relacionada </w:t>
      </w:r>
      <w:r w:rsidRPr="0074154F">
        <w:rPr>
          <w:rFonts w:ascii="Arial" w:hAnsi="Arial" w:cs="Arial"/>
          <w:sz w:val="20"/>
          <w:szCs w:val="20"/>
        </w:rPr>
        <w:t>reconoció en los resultados del ejercicio US$1</w:t>
      </w:r>
      <w:r w:rsidR="00587BA2" w:rsidRPr="0074154F">
        <w:rPr>
          <w:rFonts w:ascii="Arial" w:hAnsi="Arial" w:cs="Arial"/>
          <w:sz w:val="20"/>
          <w:szCs w:val="20"/>
        </w:rPr>
        <w:t>.</w:t>
      </w:r>
      <w:r w:rsidR="0051764E">
        <w:rPr>
          <w:rFonts w:ascii="Arial" w:hAnsi="Arial" w:cs="Arial"/>
          <w:sz w:val="20"/>
          <w:szCs w:val="20"/>
        </w:rPr>
        <w:t>8</w:t>
      </w:r>
      <w:r w:rsidR="00587BA2" w:rsidRPr="0074154F">
        <w:rPr>
          <w:rFonts w:ascii="Arial" w:hAnsi="Arial" w:cs="Arial"/>
          <w:sz w:val="20"/>
          <w:szCs w:val="20"/>
        </w:rPr>
        <w:t xml:space="preserve"> millones</w:t>
      </w:r>
      <w:r w:rsidRPr="0074154F">
        <w:rPr>
          <w:rFonts w:ascii="Arial" w:hAnsi="Arial" w:cs="Arial"/>
          <w:sz w:val="20"/>
          <w:szCs w:val="20"/>
        </w:rPr>
        <w:t xml:space="preserve"> ver Nota 2</w:t>
      </w:r>
      <w:r w:rsidR="00587BA2" w:rsidRPr="0074154F">
        <w:rPr>
          <w:rFonts w:ascii="Arial" w:hAnsi="Arial" w:cs="Arial"/>
          <w:sz w:val="20"/>
          <w:szCs w:val="20"/>
        </w:rPr>
        <w:t>7</w:t>
      </w:r>
      <w:r w:rsidRPr="0074154F">
        <w:rPr>
          <w:rFonts w:ascii="Arial" w:hAnsi="Arial" w:cs="Arial"/>
          <w:sz w:val="20"/>
          <w:szCs w:val="20"/>
        </w:rPr>
        <w:t>.</w:t>
      </w:r>
      <w:r w:rsidR="00C40705" w:rsidRPr="0074154F">
        <w:rPr>
          <w:rFonts w:ascii="Arial" w:hAnsi="Arial" w:cs="Arial"/>
          <w:sz w:val="20"/>
          <w:szCs w:val="20"/>
        </w:rPr>
        <w:t xml:space="preserve">  </w:t>
      </w:r>
    </w:p>
    <w:p w14:paraId="5DB1B260" w14:textId="7B84DB0D" w:rsidR="00D849CF" w:rsidRDefault="00D849CF" w:rsidP="00264552">
      <w:pPr>
        <w:pStyle w:val="ListParagraph"/>
        <w:tabs>
          <w:tab w:val="left" w:pos="1276"/>
        </w:tabs>
        <w:spacing w:after="0" w:line="240" w:lineRule="auto"/>
        <w:ind w:left="567" w:right="-1"/>
        <w:jc w:val="both"/>
        <w:rPr>
          <w:rFonts w:ascii="Arial" w:hAnsi="Arial" w:cs="Arial"/>
          <w:sz w:val="18"/>
          <w:szCs w:val="18"/>
        </w:rPr>
      </w:pPr>
    </w:p>
    <w:p w14:paraId="32D46E98" w14:textId="73207715" w:rsidR="00C15C6E" w:rsidRDefault="00C15C6E" w:rsidP="00264552">
      <w:pPr>
        <w:pStyle w:val="ListParagraph"/>
        <w:tabs>
          <w:tab w:val="left" w:pos="1276"/>
        </w:tabs>
        <w:spacing w:after="0" w:line="240" w:lineRule="auto"/>
        <w:ind w:left="567" w:right="-1"/>
        <w:jc w:val="both"/>
        <w:rPr>
          <w:rFonts w:ascii="Arial" w:hAnsi="Arial" w:cs="Arial"/>
          <w:sz w:val="18"/>
          <w:szCs w:val="18"/>
        </w:rPr>
      </w:pPr>
    </w:p>
    <w:p w14:paraId="3F856819" w14:textId="77777777" w:rsidR="001B26A3" w:rsidRDefault="001B26A3" w:rsidP="00264552">
      <w:pPr>
        <w:pStyle w:val="ListParagraph"/>
        <w:tabs>
          <w:tab w:val="left" w:pos="1276"/>
        </w:tabs>
        <w:spacing w:after="0" w:line="240" w:lineRule="auto"/>
        <w:ind w:left="567" w:right="-1"/>
        <w:jc w:val="both"/>
        <w:rPr>
          <w:rFonts w:ascii="Arial" w:hAnsi="Arial" w:cs="Arial"/>
          <w:sz w:val="18"/>
          <w:szCs w:val="18"/>
        </w:rPr>
      </w:pPr>
    </w:p>
    <w:p w14:paraId="7BACB571" w14:textId="0CB28E8F" w:rsidR="00264552" w:rsidRPr="0074154F" w:rsidRDefault="00264552" w:rsidP="00264552">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INVERSIONES EN SUBSIDIARIAS Y ASOCIADAS</w:t>
      </w:r>
    </w:p>
    <w:p w14:paraId="645DEC94" w14:textId="77777777" w:rsidR="003A2D1E" w:rsidRPr="0074154F" w:rsidRDefault="003A2D1E" w:rsidP="00264552">
      <w:pPr>
        <w:tabs>
          <w:tab w:val="left" w:pos="1276"/>
        </w:tabs>
        <w:spacing w:after="0" w:line="240" w:lineRule="auto"/>
        <w:ind w:left="567"/>
        <w:contextualSpacing/>
        <w:jc w:val="both"/>
        <w:rPr>
          <w:rFonts w:ascii="Arial" w:hAnsi="Arial" w:cs="Arial"/>
          <w:sz w:val="18"/>
          <w:szCs w:val="18"/>
          <w:lang w:eastAsia="es-EC"/>
        </w:rPr>
      </w:pPr>
    </w:p>
    <w:tbl>
      <w:tblPr>
        <w:tblW w:w="9923" w:type="dxa"/>
        <w:tblBorders>
          <w:bottom w:val="single" w:sz="6" w:space="0" w:color="auto"/>
        </w:tblBorders>
        <w:tblLayout w:type="fixed"/>
        <w:tblCellMar>
          <w:left w:w="70" w:type="dxa"/>
          <w:right w:w="70" w:type="dxa"/>
        </w:tblCellMar>
        <w:tblLook w:val="04A0" w:firstRow="1" w:lastRow="0" w:firstColumn="1" w:lastColumn="0" w:noHBand="0" w:noVBand="1"/>
      </w:tblPr>
      <w:tblGrid>
        <w:gridCol w:w="2410"/>
        <w:gridCol w:w="160"/>
        <w:gridCol w:w="1258"/>
        <w:gridCol w:w="160"/>
        <w:gridCol w:w="974"/>
        <w:gridCol w:w="160"/>
        <w:gridCol w:w="1115"/>
        <w:gridCol w:w="161"/>
        <w:gridCol w:w="3525"/>
      </w:tblGrid>
      <w:tr w:rsidR="000040B2" w:rsidRPr="00224BC5" w14:paraId="7D94F2C9" w14:textId="77777777" w:rsidTr="001A5891">
        <w:trPr>
          <w:trHeight w:val="556"/>
        </w:trPr>
        <w:tc>
          <w:tcPr>
            <w:tcW w:w="2410" w:type="dxa"/>
            <w:tcBorders>
              <w:bottom w:val="single" w:sz="8" w:space="0" w:color="auto"/>
            </w:tcBorders>
            <w:shd w:val="clear" w:color="auto" w:fill="auto"/>
            <w:noWrap/>
            <w:vAlign w:val="bottom"/>
            <w:hideMark/>
          </w:tcPr>
          <w:p w14:paraId="41EB6F77" w14:textId="77777777" w:rsidR="000040B2" w:rsidRPr="00224BC5" w:rsidRDefault="000040B2" w:rsidP="001A5891">
            <w:pPr>
              <w:spacing w:after="0" w:line="240" w:lineRule="auto"/>
              <w:ind w:left="-70"/>
              <w:rPr>
                <w:rFonts w:ascii="Arial" w:hAnsi="Arial" w:cs="Arial"/>
                <w:b/>
                <w:bCs/>
                <w:sz w:val="16"/>
                <w:szCs w:val="16"/>
              </w:rPr>
            </w:pPr>
            <w:bookmarkStart w:id="12" w:name="_Hlk75593026"/>
            <w:r w:rsidRPr="00224BC5">
              <w:rPr>
                <w:rFonts w:ascii="Arial" w:hAnsi="Arial" w:cs="Arial"/>
                <w:b/>
                <w:bCs/>
                <w:sz w:val="16"/>
                <w:szCs w:val="16"/>
              </w:rPr>
              <w:t xml:space="preserve">Razón </w:t>
            </w:r>
            <w:r>
              <w:rPr>
                <w:rFonts w:ascii="Arial" w:hAnsi="Arial" w:cs="Arial"/>
                <w:b/>
                <w:bCs/>
                <w:sz w:val="16"/>
                <w:szCs w:val="16"/>
              </w:rPr>
              <w:t>s</w:t>
            </w:r>
            <w:r w:rsidRPr="00224BC5">
              <w:rPr>
                <w:rFonts w:ascii="Arial" w:hAnsi="Arial" w:cs="Arial"/>
                <w:b/>
                <w:bCs/>
                <w:sz w:val="16"/>
                <w:szCs w:val="16"/>
              </w:rPr>
              <w:t>ocial</w:t>
            </w:r>
          </w:p>
        </w:tc>
        <w:tc>
          <w:tcPr>
            <w:tcW w:w="160" w:type="dxa"/>
          </w:tcPr>
          <w:p w14:paraId="00200AB1" w14:textId="77777777" w:rsidR="000040B2" w:rsidRPr="00224BC5" w:rsidRDefault="000040B2" w:rsidP="001A5891">
            <w:pPr>
              <w:spacing w:after="0" w:line="240" w:lineRule="auto"/>
              <w:jc w:val="center"/>
              <w:rPr>
                <w:rFonts w:ascii="Arial" w:hAnsi="Arial" w:cs="Arial"/>
                <w:b/>
                <w:bCs/>
                <w:sz w:val="16"/>
                <w:szCs w:val="16"/>
              </w:rPr>
            </w:pPr>
          </w:p>
        </w:tc>
        <w:tc>
          <w:tcPr>
            <w:tcW w:w="1258" w:type="dxa"/>
            <w:tcBorders>
              <w:bottom w:val="single" w:sz="8" w:space="0" w:color="auto"/>
            </w:tcBorders>
            <w:vAlign w:val="bottom"/>
          </w:tcPr>
          <w:p w14:paraId="6846DACD" w14:textId="77777777" w:rsidR="000040B2" w:rsidRPr="00224BC5" w:rsidRDefault="000040B2" w:rsidP="001A5891">
            <w:pPr>
              <w:spacing w:after="0" w:line="240" w:lineRule="auto"/>
              <w:jc w:val="center"/>
              <w:rPr>
                <w:rFonts w:ascii="Arial" w:hAnsi="Arial" w:cs="Arial"/>
                <w:b/>
                <w:sz w:val="16"/>
                <w:szCs w:val="16"/>
              </w:rPr>
            </w:pPr>
            <w:r w:rsidRPr="00224BC5">
              <w:rPr>
                <w:rFonts w:ascii="Arial" w:hAnsi="Arial" w:cs="Arial"/>
                <w:b/>
                <w:bCs/>
                <w:sz w:val="16"/>
                <w:szCs w:val="16"/>
              </w:rPr>
              <w:t>Porcentaje de participación</w:t>
            </w:r>
          </w:p>
        </w:tc>
        <w:tc>
          <w:tcPr>
            <w:tcW w:w="160" w:type="dxa"/>
            <w:vAlign w:val="bottom"/>
          </w:tcPr>
          <w:p w14:paraId="0144D4A7" w14:textId="77777777" w:rsidR="000040B2" w:rsidRPr="00224BC5" w:rsidRDefault="000040B2" w:rsidP="001A5891">
            <w:pPr>
              <w:spacing w:after="0" w:line="240" w:lineRule="auto"/>
              <w:jc w:val="center"/>
              <w:rPr>
                <w:rFonts w:ascii="Arial" w:hAnsi="Arial" w:cs="Arial"/>
                <w:b/>
                <w:bCs/>
                <w:sz w:val="16"/>
                <w:szCs w:val="16"/>
              </w:rPr>
            </w:pPr>
          </w:p>
        </w:tc>
        <w:tc>
          <w:tcPr>
            <w:tcW w:w="974" w:type="dxa"/>
            <w:tcBorders>
              <w:bottom w:val="single" w:sz="8" w:space="0" w:color="auto"/>
            </w:tcBorders>
            <w:shd w:val="clear" w:color="auto" w:fill="auto"/>
            <w:noWrap/>
            <w:vAlign w:val="bottom"/>
            <w:hideMark/>
          </w:tcPr>
          <w:p w14:paraId="489EB4ED"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b/>
                <w:sz w:val="16"/>
                <w:szCs w:val="16"/>
              </w:rPr>
              <w:t xml:space="preserve"> 31/12/2020</w:t>
            </w:r>
          </w:p>
        </w:tc>
        <w:tc>
          <w:tcPr>
            <w:tcW w:w="160" w:type="dxa"/>
            <w:shd w:val="clear" w:color="auto" w:fill="auto"/>
            <w:noWrap/>
            <w:vAlign w:val="bottom"/>
            <w:hideMark/>
          </w:tcPr>
          <w:p w14:paraId="0B8FD306" w14:textId="77777777" w:rsidR="000040B2" w:rsidRPr="00224BC5" w:rsidRDefault="000040B2" w:rsidP="001A5891">
            <w:pPr>
              <w:spacing w:after="0" w:line="240" w:lineRule="auto"/>
              <w:rPr>
                <w:rFonts w:ascii="Arial" w:hAnsi="Arial" w:cs="Arial"/>
                <w:sz w:val="16"/>
                <w:szCs w:val="16"/>
              </w:rPr>
            </w:pPr>
          </w:p>
        </w:tc>
        <w:tc>
          <w:tcPr>
            <w:tcW w:w="1115" w:type="dxa"/>
            <w:tcBorders>
              <w:bottom w:val="single" w:sz="8" w:space="0" w:color="auto"/>
            </w:tcBorders>
            <w:shd w:val="clear" w:color="auto" w:fill="auto"/>
            <w:noWrap/>
            <w:vAlign w:val="bottom"/>
            <w:hideMark/>
          </w:tcPr>
          <w:p w14:paraId="279F53D7"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b/>
                <w:sz w:val="16"/>
                <w:szCs w:val="16"/>
              </w:rPr>
              <w:t>31/12/2019</w:t>
            </w:r>
          </w:p>
        </w:tc>
        <w:tc>
          <w:tcPr>
            <w:tcW w:w="161" w:type="dxa"/>
          </w:tcPr>
          <w:p w14:paraId="26601D99" w14:textId="77777777" w:rsidR="000040B2" w:rsidRPr="00224BC5" w:rsidRDefault="000040B2" w:rsidP="001A5891">
            <w:pPr>
              <w:spacing w:after="0" w:line="240" w:lineRule="auto"/>
              <w:jc w:val="right"/>
              <w:rPr>
                <w:rFonts w:ascii="Arial" w:hAnsi="Arial" w:cs="Arial"/>
                <w:b/>
                <w:sz w:val="16"/>
                <w:szCs w:val="16"/>
              </w:rPr>
            </w:pPr>
          </w:p>
        </w:tc>
        <w:tc>
          <w:tcPr>
            <w:tcW w:w="3525" w:type="dxa"/>
            <w:tcBorders>
              <w:bottom w:val="single" w:sz="8" w:space="0" w:color="auto"/>
            </w:tcBorders>
            <w:vAlign w:val="bottom"/>
          </w:tcPr>
          <w:p w14:paraId="505C3CCA" w14:textId="77777777" w:rsidR="000040B2" w:rsidRPr="00224BC5" w:rsidRDefault="000040B2" w:rsidP="001A5891">
            <w:pPr>
              <w:spacing w:after="0" w:line="240" w:lineRule="auto"/>
              <w:rPr>
                <w:rFonts w:ascii="Arial" w:hAnsi="Arial" w:cs="Arial"/>
                <w:b/>
                <w:sz w:val="16"/>
                <w:szCs w:val="16"/>
              </w:rPr>
            </w:pPr>
            <w:r w:rsidRPr="00224BC5">
              <w:rPr>
                <w:rFonts w:ascii="Arial" w:hAnsi="Arial" w:cs="Arial"/>
                <w:b/>
                <w:sz w:val="16"/>
                <w:szCs w:val="16"/>
              </w:rPr>
              <w:t>Actividad principal</w:t>
            </w:r>
          </w:p>
        </w:tc>
      </w:tr>
      <w:tr w:rsidR="000040B2" w:rsidRPr="00224BC5" w14:paraId="795FBA53" w14:textId="77777777" w:rsidTr="001A5891">
        <w:trPr>
          <w:trHeight w:val="78"/>
        </w:trPr>
        <w:tc>
          <w:tcPr>
            <w:tcW w:w="2410" w:type="dxa"/>
            <w:tcBorders>
              <w:top w:val="single" w:sz="8" w:space="0" w:color="auto"/>
            </w:tcBorders>
            <w:shd w:val="clear" w:color="auto" w:fill="auto"/>
            <w:noWrap/>
            <w:vAlign w:val="bottom"/>
          </w:tcPr>
          <w:p w14:paraId="56330E51" w14:textId="77777777" w:rsidR="000040B2" w:rsidRPr="00224BC5" w:rsidRDefault="000040B2" w:rsidP="001A5891">
            <w:pPr>
              <w:spacing w:after="0" w:line="240" w:lineRule="auto"/>
              <w:ind w:left="357"/>
              <w:rPr>
                <w:rFonts w:ascii="Arial" w:hAnsi="Arial" w:cs="Arial"/>
                <w:sz w:val="16"/>
                <w:szCs w:val="16"/>
                <w:u w:val="single"/>
              </w:rPr>
            </w:pPr>
          </w:p>
        </w:tc>
        <w:tc>
          <w:tcPr>
            <w:tcW w:w="160" w:type="dxa"/>
          </w:tcPr>
          <w:p w14:paraId="7FB918A8" w14:textId="77777777" w:rsidR="000040B2" w:rsidRPr="00224BC5" w:rsidRDefault="000040B2" w:rsidP="001A5891">
            <w:pPr>
              <w:spacing w:after="0" w:line="240" w:lineRule="auto"/>
              <w:jc w:val="right"/>
              <w:rPr>
                <w:rFonts w:ascii="Arial" w:hAnsi="Arial" w:cs="Arial"/>
                <w:b/>
                <w:bCs/>
                <w:sz w:val="16"/>
                <w:szCs w:val="16"/>
              </w:rPr>
            </w:pPr>
          </w:p>
        </w:tc>
        <w:tc>
          <w:tcPr>
            <w:tcW w:w="1258" w:type="dxa"/>
            <w:tcBorders>
              <w:top w:val="single" w:sz="8" w:space="0" w:color="auto"/>
              <w:bottom w:val="nil"/>
            </w:tcBorders>
            <w:vAlign w:val="bottom"/>
          </w:tcPr>
          <w:p w14:paraId="7AF3E00F" w14:textId="77777777" w:rsidR="000040B2" w:rsidRPr="00224BC5" w:rsidRDefault="000040B2" w:rsidP="001A5891">
            <w:pPr>
              <w:spacing w:after="0" w:line="240" w:lineRule="auto"/>
              <w:jc w:val="right"/>
              <w:rPr>
                <w:rFonts w:ascii="Arial" w:hAnsi="Arial" w:cs="Arial"/>
                <w:b/>
                <w:bCs/>
                <w:sz w:val="16"/>
                <w:szCs w:val="16"/>
              </w:rPr>
            </w:pPr>
          </w:p>
        </w:tc>
        <w:tc>
          <w:tcPr>
            <w:tcW w:w="160" w:type="dxa"/>
            <w:tcBorders>
              <w:bottom w:val="nil"/>
            </w:tcBorders>
            <w:vAlign w:val="bottom"/>
          </w:tcPr>
          <w:p w14:paraId="78E7A98A" w14:textId="77777777" w:rsidR="000040B2" w:rsidRPr="00224BC5" w:rsidRDefault="000040B2" w:rsidP="001A5891">
            <w:pPr>
              <w:spacing w:after="0" w:line="240" w:lineRule="auto"/>
              <w:jc w:val="right"/>
              <w:rPr>
                <w:rFonts w:ascii="Arial" w:hAnsi="Arial" w:cs="Arial"/>
                <w:b/>
                <w:bCs/>
                <w:sz w:val="16"/>
                <w:szCs w:val="16"/>
              </w:rPr>
            </w:pPr>
          </w:p>
        </w:tc>
        <w:tc>
          <w:tcPr>
            <w:tcW w:w="974" w:type="dxa"/>
            <w:tcBorders>
              <w:top w:val="single" w:sz="8" w:space="0" w:color="auto"/>
              <w:bottom w:val="nil"/>
            </w:tcBorders>
            <w:shd w:val="clear" w:color="auto" w:fill="auto"/>
            <w:noWrap/>
            <w:vAlign w:val="bottom"/>
          </w:tcPr>
          <w:p w14:paraId="6A600A57" w14:textId="77777777" w:rsidR="000040B2" w:rsidRPr="00224BC5" w:rsidRDefault="000040B2" w:rsidP="001A5891">
            <w:pPr>
              <w:spacing w:after="0" w:line="240" w:lineRule="auto"/>
              <w:jc w:val="right"/>
              <w:rPr>
                <w:rFonts w:ascii="Arial" w:hAnsi="Arial" w:cs="Arial"/>
                <w:b/>
                <w:sz w:val="16"/>
                <w:szCs w:val="16"/>
              </w:rPr>
            </w:pPr>
          </w:p>
        </w:tc>
        <w:tc>
          <w:tcPr>
            <w:tcW w:w="160" w:type="dxa"/>
            <w:tcBorders>
              <w:bottom w:val="nil"/>
            </w:tcBorders>
            <w:shd w:val="clear" w:color="auto" w:fill="auto"/>
            <w:noWrap/>
            <w:vAlign w:val="bottom"/>
          </w:tcPr>
          <w:p w14:paraId="0179AB83" w14:textId="77777777" w:rsidR="000040B2" w:rsidRPr="00224BC5" w:rsidRDefault="000040B2" w:rsidP="001A5891">
            <w:pPr>
              <w:spacing w:after="0" w:line="240" w:lineRule="auto"/>
              <w:rPr>
                <w:rFonts w:ascii="Arial" w:hAnsi="Arial" w:cs="Arial"/>
                <w:sz w:val="16"/>
                <w:szCs w:val="16"/>
              </w:rPr>
            </w:pPr>
          </w:p>
        </w:tc>
        <w:tc>
          <w:tcPr>
            <w:tcW w:w="1115" w:type="dxa"/>
            <w:tcBorders>
              <w:top w:val="single" w:sz="8" w:space="0" w:color="auto"/>
              <w:bottom w:val="nil"/>
            </w:tcBorders>
            <w:shd w:val="clear" w:color="auto" w:fill="auto"/>
            <w:noWrap/>
            <w:vAlign w:val="bottom"/>
          </w:tcPr>
          <w:p w14:paraId="33B57664" w14:textId="77777777" w:rsidR="000040B2" w:rsidRPr="00224BC5" w:rsidRDefault="000040B2" w:rsidP="001A5891">
            <w:pPr>
              <w:spacing w:after="0" w:line="240" w:lineRule="auto"/>
              <w:jc w:val="right"/>
              <w:rPr>
                <w:rFonts w:ascii="Arial" w:hAnsi="Arial" w:cs="Arial"/>
                <w:b/>
                <w:sz w:val="16"/>
                <w:szCs w:val="16"/>
              </w:rPr>
            </w:pPr>
          </w:p>
        </w:tc>
        <w:tc>
          <w:tcPr>
            <w:tcW w:w="161" w:type="dxa"/>
            <w:tcBorders>
              <w:bottom w:val="nil"/>
            </w:tcBorders>
          </w:tcPr>
          <w:p w14:paraId="538B9DD7" w14:textId="77777777" w:rsidR="000040B2" w:rsidRPr="00224BC5" w:rsidRDefault="000040B2" w:rsidP="001A5891">
            <w:pPr>
              <w:spacing w:after="0" w:line="240" w:lineRule="auto"/>
              <w:jc w:val="right"/>
              <w:rPr>
                <w:rFonts w:ascii="Arial" w:hAnsi="Arial" w:cs="Arial"/>
                <w:b/>
                <w:sz w:val="16"/>
                <w:szCs w:val="16"/>
              </w:rPr>
            </w:pPr>
          </w:p>
        </w:tc>
        <w:tc>
          <w:tcPr>
            <w:tcW w:w="3525" w:type="dxa"/>
            <w:tcBorders>
              <w:top w:val="single" w:sz="8" w:space="0" w:color="auto"/>
              <w:bottom w:val="nil"/>
            </w:tcBorders>
            <w:vAlign w:val="bottom"/>
          </w:tcPr>
          <w:p w14:paraId="2E331956" w14:textId="77777777" w:rsidR="000040B2" w:rsidRPr="00224BC5" w:rsidRDefault="000040B2" w:rsidP="001A5891">
            <w:pPr>
              <w:spacing w:after="0" w:line="240" w:lineRule="auto"/>
              <w:jc w:val="right"/>
              <w:rPr>
                <w:rFonts w:ascii="Arial" w:hAnsi="Arial" w:cs="Arial"/>
                <w:b/>
                <w:sz w:val="16"/>
                <w:szCs w:val="16"/>
              </w:rPr>
            </w:pPr>
          </w:p>
        </w:tc>
      </w:tr>
      <w:tr w:rsidR="000040B2" w:rsidRPr="00224BC5" w14:paraId="669A134D" w14:textId="77777777" w:rsidTr="001A5891">
        <w:trPr>
          <w:trHeight w:val="283"/>
        </w:trPr>
        <w:tc>
          <w:tcPr>
            <w:tcW w:w="2410" w:type="dxa"/>
            <w:shd w:val="clear" w:color="auto" w:fill="auto"/>
            <w:noWrap/>
            <w:vAlign w:val="bottom"/>
          </w:tcPr>
          <w:p w14:paraId="687C0A4B" w14:textId="77777777" w:rsidR="000040B2" w:rsidRPr="00224BC5" w:rsidRDefault="000040B2" w:rsidP="001A5891">
            <w:pPr>
              <w:spacing w:after="0" w:line="240" w:lineRule="auto"/>
              <w:ind w:left="-70"/>
              <w:rPr>
                <w:rFonts w:ascii="Arial" w:hAnsi="Arial" w:cs="Arial"/>
                <w:i/>
                <w:iCs/>
                <w:sz w:val="16"/>
                <w:szCs w:val="16"/>
                <w:u w:val="single"/>
              </w:rPr>
            </w:pPr>
            <w:r w:rsidRPr="00224BC5">
              <w:rPr>
                <w:rFonts w:ascii="Arial" w:hAnsi="Arial" w:cs="Arial"/>
                <w:i/>
                <w:iCs/>
                <w:sz w:val="16"/>
                <w:szCs w:val="16"/>
                <w:u w:val="single"/>
              </w:rPr>
              <w:t>Subsidiarias</w:t>
            </w:r>
          </w:p>
        </w:tc>
        <w:tc>
          <w:tcPr>
            <w:tcW w:w="160" w:type="dxa"/>
          </w:tcPr>
          <w:p w14:paraId="79A3E118" w14:textId="77777777" w:rsidR="000040B2" w:rsidRPr="00224BC5" w:rsidRDefault="000040B2" w:rsidP="001A5891">
            <w:pPr>
              <w:tabs>
                <w:tab w:val="decimal" w:pos="1276"/>
              </w:tabs>
              <w:spacing w:after="0" w:line="240" w:lineRule="auto"/>
              <w:rPr>
                <w:rFonts w:ascii="Arial" w:hAnsi="Arial" w:cs="Arial"/>
                <w:b/>
                <w:bCs/>
                <w:color w:val="FF0000"/>
                <w:sz w:val="16"/>
                <w:szCs w:val="16"/>
              </w:rPr>
            </w:pPr>
          </w:p>
        </w:tc>
        <w:tc>
          <w:tcPr>
            <w:tcW w:w="1258" w:type="dxa"/>
            <w:tcBorders>
              <w:top w:val="nil"/>
            </w:tcBorders>
            <w:vAlign w:val="bottom"/>
          </w:tcPr>
          <w:p w14:paraId="1EFF4D9B" w14:textId="77777777" w:rsidR="000040B2" w:rsidRPr="00224BC5" w:rsidRDefault="000040B2" w:rsidP="001A5891">
            <w:pPr>
              <w:tabs>
                <w:tab w:val="decimal" w:pos="1276"/>
              </w:tabs>
              <w:spacing w:after="0" w:line="240" w:lineRule="auto"/>
              <w:rPr>
                <w:rFonts w:ascii="Arial" w:hAnsi="Arial" w:cs="Arial"/>
                <w:b/>
                <w:bCs/>
                <w:color w:val="FF0000"/>
                <w:sz w:val="16"/>
                <w:szCs w:val="16"/>
              </w:rPr>
            </w:pPr>
          </w:p>
        </w:tc>
        <w:tc>
          <w:tcPr>
            <w:tcW w:w="160" w:type="dxa"/>
            <w:tcBorders>
              <w:top w:val="nil"/>
            </w:tcBorders>
          </w:tcPr>
          <w:p w14:paraId="4350FEC3" w14:textId="77777777" w:rsidR="000040B2" w:rsidRPr="00224BC5" w:rsidRDefault="000040B2" w:rsidP="001A5891">
            <w:pPr>
              <w:tabs>
                <w:tab w:val="decimal" w:pos="1276"/>
              </w:tabs>
              <w:spacing w:after="0" w:line="240" w:lineRule="auto"/>
              <w:rPr>
                <w:rFonts w:ascii="Arial" w:hAnsi="Arial" w:cs="Arial"/>
                <w:b/>
                <w:bCs/>
                <w:color w:val="FF0000"/>
                <w:sz w:val="16"/>
                <w:szCs w:val="16"/>
              </w:rPr>
            </w:pPr>
          </w:p>
        </w:tc>
        <w:tc>
          <w:tcPr>
            <w:tcW w:w="974" w:type="dxa"/>
            <w:tcBorders>
              <w:top w:val="nil"/>
            </w:tcBorders>
            <w:shd w:val="clear" w:color="auto" w:fill="auto"/>
            <w:noWrap/>
            <w:vAlign w:val="bottom"/>
          </w:tcPr>
          <w:p w14:paraId="154A554F"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top w:val="nil"/>
            </w:tcBorders>
            <w:vAlign w:val="bottom"/>
          </w:tcPr>
          <w:p w14:paraId="5FB782B3" w14:textId="77777777" w:rsidR="000040B2" w:rsidRPr="00224BC5" w:rsidRDefault="000040B2" w:rsidP="001A5891">
            <w:pPr>
              <w:spacing w:after="0" w:line="240" w:lineRule="auto"/>
              <w:rPr>
                <w:rFonts w:ascii="Arial" w:hAnsi="Arial" w:cs="Arial"/>
                <w:sz w:val="16"/>
                <w:szCs w:val="16"/>
              </w:rPr>
            </w:pPr>
          </w:p>
        </w:tc>
        <w:tc>
          <w:tcPr>
            <w:tcW w:w="1115" w:type="dxa"/>
            <w:tcBorders>
              <w:top w:val="nil"/>
            </w:tcBorders>
            <w:shd w:val="clear" w:color="auto" w:fill="auto"/>
            <w:noWrap/>
            <w:vAlign w:val="bottom"/>
          </w:tcPr>
          <w:p w14:paraId="1E1E066A" w14:textId="77777777" w:rsidR="000040B2" w:rsidRPr="00224BC5" w:rsidRDefault="000040B2" w:rsidP="001A5891">
            <w:pPr>
              <w:spacing w:after="0" w:line="240" w:lineRule="auto"/>
              <w:rPr>
                <w:rFonts w:ascii="Arial" w:hAnsi="Arial" w:cs="Arial"/>
                <w:sz w:val="16"/>
                <w:szCs w:val="16"/>
              </w:rPr>
            </w:pPr>
          </w:p>
        </w:tc>
        <w:tc>
          <w:tcPr>
            <w:tcW w:w="161" w:type="dxa"/>
            <w:tcBorders>
              <w:top w:val="nil"/>
            </w:tcBorders>
          </w:tcPr>
          <w:p w14:paraId="00E8CDE1" w14:textId="77777777" w:rsidR="000040B2" w:rsidRPr="00224BC5" w:rsidRDefault="000040B2" w:rsidP="001A5891">
            <w:pPr>
              <w:spacing w:after="0" w:line="240" w:lineRule="auto"/>
              <w:rPr>
                <w:rFonts w:ascii="Arial" w:hAnsi="Arial" w:cs="Arial"/>
                <w:sz w:val="16"/>
                <w:szCs w:val="16"/>
              </w:rPr>
            </w:pPr>
          </w:p>
        </w:tc>
        <w:tc>
          <w:tcPr>
            <w:tcW w:w="3525" w:type="dxa"/>
            <w:tcBorders>
              <w:top w:val="nil"/>
            </w:tcBorders>
          </w:tcPr>
          <w:p w14:paraId="7E2EDB25" w14:textId="77777777" w:rsidR="000040B2" w:rsidRPr="00224BC5" w:rsidRDefault="000040B2" w:rsidP="001A5891">
            <w:pPr>
              <w:spacing w:after="0" w:line="240" w:lineRule="auto"/>
              <w:rPr>
                <w:rFonts w:ascii="Arial" w:hAnsi="Arial" w:cs="Arial"/>
                <w:sz w:val="16"/>
                <w:szCs w:val="16"/>
              </w:rPr>
            </w:pPr>
          </w:p>
        </w:tc>
      </w:tr>
      <w:tr w:rsidR="000040B2" w:rsidRPr="00224BC5" w14:paraId="15B53DC1" w14:textId="77777777" w:rsidTr="001A5891">
        <w:trPr>
          <w:trHeight w:val="283"/>
        </w:trPr>
        <w:tc>
          <w:tcPr>
            <w:tcW w:w="2410" w:type="dxa"/>
            <w:shd w:val="clear" w:color="auto" w:fill="auto"/>
            <w:noWrap/>
            <w:vAlign w:val="center"/>
          </w:tcPr>
          <w:p w14:paraId="3FE355E7" w14:textId="77777777" w:rsidR="000040B2" w:rsidRPr="00224BC5" w:rsidRDefault="000040B2" w:rsidP="001A5891">
            <w:pPr>
              <w:spacing w:after="0" w:line="240" w:lineRule="auto"/>
              <w:ind w:left="-70"/>
              <w:rPr>
                <w:rFonts w:ascii="Arial" w:hAnsi="Arial" w:cs="Arial"/>
                <w:sz w:val="16"/>
                <w:szCs w:val="16"/>
              </w:rPr>
            </w:pPr>
          </w:p>
        </w:tc>
        <w:tc>
          <w:tcPr>
            <w:tcW w:w="160" w:type="dxa"/>
          </w:tcPr>
          <w:p w14:paraId="0F634C19" w14:textId="77777777" w:rsidR="000040B2" w:rsidRPr="00224BC5" w:rsidRDefault="000040B2" w:rsidP="001A5891">
            <w:pPr>
              <w:tabs>
                <w:tab w:val="decimal" w:pos="1276"/>
              </w:tabs>
              <w:spacing w:after="0" w:line="240" w:lineRule="auto"/>
              <w:ind w:right="218"/>
              <w:rPr>
                <w:rFonts w:ascii="Arial" w:hAnsi="Arial" w:cs="Arial"/>
                <w:sz w:val="16"/>
                <w:szCs w:val="16"/>
                <w:lang w:val="en-US"/>
              </w:rPr>
            </w:pPr>
          </w:p>
        </w:tc>
        <w:tc>
          <w:tcPr>
            <w:tcW w:w="1258" w:type="dxa"/>
            <w:vAlign w:val="center"/>
          </w:tcPr>
          <w:p w14:paraId="6F6B1200" w14:textId="77777777" w:rsidR="000040B2" w:rsidRPr="00224BC5" w:rsidRDefault="000040B2" w:rsidP="001A5891">
            <w:pPr>
              <w:tabs>
                <w:tab w:val="decimal" w:pos="1276"/>
              </w:tabs>
              <w:spacing w:after="0" w:line="240" w:lineRule="auto"/>
              <w:ind w:right="218"/>
              <w:rPr>
                <w:rFonts w:ascii="Arial" w:hAnsi="Arial" w:cs="Arial"/>
                <w:sz w:val="16"/>
                <w:szCs w:val="16"/>
                <w:lang w:val="en-US"/>
              </w:rPr>
            </w:pPr>
          </w:p>
        </w:tc>
        <w:tc>
          <w:tcPr>
            <w:tcW w:w="160" w:type="dxa"/>
            <w:vAlign w:val="center"/>
          </w:tcPr>
          <w:p w14:paraId="799E8FAB"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shd w:val="clear" w:color="auto" w:fill="auto"/>
            <w:noWrap/>
            <w:vAlign w:val="center"/>
          </w:tcPr>
          <w:p w14:paraId="52FA951F" w14:textId="77777777" w:rsidR="000040B2" w:rsidRPr="00224BC5" w:rsidRDefault="000040B2" w:rsidP="001A5891">
            <w:pPr>
              <w:tabs>
                <w:tab w:val="decimal" w:pos="1276"/>
              </w:tabs>
              <w:spacing w:after="0" w:line="240" w:lineRule="auto"/>
              <w:jc w:val="right"/>
              <w:rPr>
                <w:rFonts w:ascii="Arial" w:hAnsi="Arial" w:cs="Arial"/>
                <w:sz w:val="16"/>
                <w:szCs w:val="16"/>
              </w:rPr>
            </w:pPr>
          </w:p>
        </w:tc>
        <w:tc>
          <w:tcPr>
            <w:tcW w:w="160" w:type="dxa"/>
            <w:vAlign w:val="center"/>
          </w:tcPr>
          <w:p w14:paraId="7237A5CB"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5BE04D49" w14:textId="77777777" w:rsidR="000040B2" w:rsidRPr="00224BC5" w:rsidRDefault="000040B2" w:rsidP="001A5891">
            <w:pPr>
              <w:spacing w:after="0" w:line="240" w:lineRule="auto"/>
              <w:jc w:val="right"/>
              <w:rPr>
                <w:rFonts w:ascii="Arial" w:hAnsi="Arial" w:cs="Arial"/>
                <w:sz w:val="16"/>
                <w:szCs w:val="16"/>
              </w:rPr>
            </w:pPr>
          </w:p>
        </w:tc>
        <w:tc>
          <w:tcPr>
            <w:tcW w:w="161" w:type="dxa"/>
            <w:vAlign w:val="center"/>
          </w:tcPr>
          <w:p w14:paraId="4701E321"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2E733B43" w14:textId="77777777" w:rsidR="000040B2" w:rsidRPr="00224BC5" w:rsidRDefault="000040B2" w:rsidP="001A5891">
            <w:pPr>
              <w:spacing w:after="0" w:line="240" w:lineRule="auto"/>
              <w:jc w:val="both"/>
              <w:rPr>
                <w:rFonts w:ascii="Arial" w:hAnsi="Arial" w:cs="Arial"/>
                <w:sz w:val="16"/>
                <w:szCs w:val="16"/>
              </w:rPr>
            </w:pPr>
          </w:p>
        </w:tc>
      </w:tr>
      <w:tr w:rsidR="000040B2" w:rsidRPr="001F298B" w14:paraId="45D3E283" w14:textId="77777777" w:rsidTr="001A5891">
        <w:trPr>
          <w:trHeight w:val="283"/>
        </w:trPr>
        <w:tc>
          <w:tcPr>
            <w:tcW w:w="2410" w:type="dxa"/>
            <w:shd w:val="clear" w:color="auto" w:fill="auto"/>
            <w:noWrap/>
            <w:vAlign w:val="center"/>
          </w:tcPr>
          <w:p w14:paraId="650EC25E"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 xml:space="preserve">Cable Andino Inc. </w:t>
            </w:r>
            <w:r w:rsidRPr="00224BC5">
              <w:rPr>
                <w:rFonts w:ascii="Arial" w:hAnsi="Arial" w:cs="Arial"/>
                <w:b/>
                <w:bCs/>
                <w:sz w:val="16"/>
                <w:szCs w:val="16"/>
              </w:rPr>
              <w:t xml:space="preserve">(1) </w:t>
            </w:r>
          </w:p>
        </w:tc>
        <w:tc>
          <w:tcPr>
            <w:tcW w:w="160" w:type="dxa"/>
          </w:tcPr>
          <w:p w14:paraId="02438544" w14:textId="77777777" w:rsidR="000040B2" w:rsidRPr="00224BC5" w:rsidRDefault="000040B2" w:rsidP="001A5891">
            <w:pPr>
              <w:tabs>
                <w:tab w:val="decimal" w:pos="1276"/>
              </w:tabs>
              <w:spacing w:after="0" w:line="240" w:lineRule="auto"/>
              <w:ind w:right="218"/>
              <w:rPr>
                <w:rFonts w:ascii="Arial" w:hAnsi="Arial" w:cs="Arial"/>
                <w:sz w:val="16"/>
                <w:szCs w:val="16"/>
                <w:lang w:val="en-US"/>
              </w:rPr>
            </w:pPr>
          </w:p>
        </w:tc>
        <w:tc>
          <w:tcPr>
            <w:tcW w:w="1258" w:type="dxa"/>
            <w:vAlign w:val="center"/>
          </w:tcPr>
          <w:p w14:paraId="735C3181" w14:textId="77777777"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lang w:val="en-US"/>
              </w:rPr>
              <w:t>75.02%</w:t>
            </w:r>
          </w:p>
        </w:tc>
        <w:tc>
          <w:tcPr>
            <w:tcW w:w="160" w:type="dxa"/>
            <w:vAlign w:val="center"/>
          </w:tcPr>
          <w:p w14:paraId="32E41DB9"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shd w:val="clear" w:color="auto" w:fill="auto"/>
            <w:noWrap/>
            <w:vAlign w:val="center"/>
          </w:tcPr>
          <w:p w14:paraId="74551659"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31,467,285</w:t>
            </w:r>
          </w:p>
        </w:tc>
        <w:tc>
          <w:tcPr>
            <w:tcW w:w="160" w:type="dxa"/>
            <w:vAlign w:val="center"/>
          </w:tcPr>
          <w:p w14:paraId="7F4753DB"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6E68FEC1"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sz w:val="16"/>
                <w:szCs w:val="16"/>
              </w:rPr>
              <w:t>27,858,699</w:t>
            </w:r>
          </w:p>
        </w:tc>
        <w:tc>
          <w:tcPr>
            <w:tcW w:w="161" w:type="dxa"/>
            <w:vAlign w:val="center"/>
          </w:tcPr>
          <w:p w14:paraId="4D02183D"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6468CC2D"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*Operadora de cable de fibra óptica submarina  </w:t>
            </w:r>
          </w:p>
          <w:p w14:paraId="236DC965" w14:textId="77777777" w:rsidR="000040B2" w:rsidRPr="00224BC5" w:rsidRDefault="000040B2" w:rsidP="001A5891">
            <w:pPr>
              <w:spacing w:after="0" w:line="240" w:lineRule="auto"/>
              <w:jc w:val="both"/>
              <w:rPr>
                <w:rFonts w:ascii="Arial" w:hAnsi="Arial" w:cs="Arial"/>
                <w:sz w:val="16"/>
                <w:szCs w:val="16"/>
                <w:lang w:val="en-US"/>
              </w:rPr>
            </w:pPr>
            <w:r w:rsidRPr="00224BC5">
              <w:rPr>
                <w:rFonts w:ascii="Arial" w:hAnsi="Arial" w:cs="Arial"/>
                <w:sz w:val="16"/>
                <w:szCs w:val="16"/>
              </w:rPr>
              <w:t xml:space="preserve">  </w:t>
            </w:r>
            <w:r w:rsidRPr="00224BC5">
              <w:rPr>
                <w:rFonts w:ascii="Arial" w:hAnsi="Arial" w:cs="Arial"/>
                <w:sz w:val="16"/>
                <w:szCs w:val="16"/>
                <w:lang w:val="en-US"/>
              </w:rPr>
              <w:t>Pacific Caribbean Cable Systems (PCCS).</w:t>
            </w:r>
          </w:p>
        </w:tc>
      </w:tr>
      <w:tr w:rsidR="000040B2" w:rsidRPr="00224BC5" w14:paraId="0625CB5E" w14:textId="77777777" w:rsidTr="001A5891">
        <w:trPr>
          <w:trHeight w:val="283"/>
        </w:trPr>
        <w:tc>
          <w:tcPr>
            <w:tcW w:w="2410" w:type="dxa"/>
            <w:shd w:val="clear" w:color="auto" w:fill="auto"/>
            <w:noWrap/>
            <w:vAlign w:val="center"/>
          </w:tcPr>
          <w:p w14:paraId="6CA5859E"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 xml:space="preserve">Cable Andino S.A. </w:t>
            </w:r>
            <w:proofErr w:type="spellStart"/>
            <w:r w:rsidRPr="00224BC5">
              <w:rPr>
                <w:rFonts w:ascii="Arial" w:hAnsi="Arial" w:cs="Arial"/>
                <w:sz w:val="16"/>
                <w:szCs w:val="16"/>
              </w:rPr>
              <w:t>Corpoandino</w:t>
            </w:r>
            <w:proofErr w:type="spellEnd"/>
          </w:p>
        </w:tc>
        <w:tc>
          <w:tcPr>
            <w:tcW w:w="160" w:type="dxa"/>
          </w:tcPr>
          <w:p w14:paraId="2503E9EC"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2231CF63" w14:textId="77777777"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rPr>
              <w:t>99.99%</w:t>
            </w:r>
          </w:p>
        </w:tc>
        <w:tc>
          <w:tcPr>
            <w:tcW w:w="160" w:type="dxa"/>
            <w:vAlign w:val="center"/>
          </w:tcPr>
          <w:p w14:paraId="6BEDDBD5"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1F17768A"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1,982,263</w:t>
            </w:r>
          </w:p>
        </w:tc>
        <w:tc>
          <w:tcPr>
            <w:tcW w:w="160" w:type="dxa"/>
            <w:vAlign w:val="center"/>
          </w:tcPr>
          <w:p w14:paraId="622B3EDC"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301756A3"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sz w:val="16"/>
                <w:szCs w:val="16"/>
              </w:rPr>
              <w:t>1,982,263</w:t>
            </w:r>
          </w:p>
        </w:tc>
        <w:tc>
          <w:tcPr>
            <w:tcW w:w="161" w:type="dxa"/>
            <w:vAlign w:val="center"/>
          </w:tcPr>
          <w:p w14:paraId="0A638775"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2750379F"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*Administración de sistemas de cables </w:t>
            </w:r>
          </w:p>
          <w:p w14:paraId="4B72975E"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submarinos y telecomunicaciones.</w:t>
            </w:r>
          </w:p>
        </w:tc>
      </w:tr>
      <w:tr w:rsidR="000040B2" w:rsidRPr="00224BC5" w14:paraId="6B703485" w14:textId="77777777" w:rsidTr="001A5891">
        <w:trPr>
          <w:trHeight w:val="283"/>
        </w:trPr>
        <w:tc>
          <w:tcPr>
            <w:tcW w:w="2410" w:type="dxa"/>
            <w:shd w:val="clear" w:color="auto" w:fill="auto"/>
            <w:noWrap/>
            <w:vAlign w:val="center"/>
          </w:tcPr>
          <w:p w14:paraId="72F77CEF"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Telsoterra S.A.</w:t>
            </w:r>
          </w:p>
        </w:tc>
        <w:tc>
          <w:tcPr>
            <w:tcW w:w="160" w:type="dxa"/>
          </w:tcPr>
          <w:p w14:paraId="1B80C7F9"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36846BB5" w14:textId="77777777"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rPr>
              <w:t>92.50%</w:t>
            </w:r>
          </w:p>
        </w:tc>
        <w:tc>
          <w:tcPr>
            <w:tcW w:w="160" w:type="dxa"/>
            <w:vAlign w:val="center"/>
          </w:tcPr>
          <w:p w14:paraId="1124C6D7"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4AECCF8A"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1,834,158</w:t>
            </w:r>
          </w:p>
        </w:tc>
        <w:tc>
          <w:tcPr>
            <w:tcW w:w="160" w:type="dxa"/>
            <w:vAlign w:val="center"/>
          </w:tcPr>
          <w:p w14:paraId="79E2CC21"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0CBDF684"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sz w:val="16"/>
                <w:szCs w:val="16"/>
              </w:rPr>
              <w:t>1,834,158</w:t>
            </w:r>
          </w:p>
        </w:tc>
        <w:tc>
          <w:tcPr>
            <w:tcW w:w="161" w:type="dxa"/>
            <w:vAlign w:val="center"/>
          </w:tcPr>
          <w:p w14:paraId="6EA6E869"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142F08C5"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*Actividades especializadas de la construcción.</w:t>
            </w:r>
          </w:p>
        </w:tc>
      </w:tr>
      <w:tr w:rsidR="000040B2" w:rsidRPr="00224BC5" w14:paraId="5218C1C0" w14:textId="77777777" w:rsidTr="001A5891">
        <w:trPr>
          <w:trHeight w:val="283"/>
        </w:trPr>
        <w:tc>
          <w:tcPr>
            <w:tcW w:w="2410" w:type="dxa"/>
            <w:shd w:val="clear" w:color="auto" w:fill="auto"/>
            <w:noWrap/>
            <w:vAlign w:val="center"/>
          </w:tcPr>
          <w:p w14:paraId="4A9BD30B"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Telconet Panamá S.A.</w:t>
            </w:r>
          </w:p>
        </w:tc>
        <w:tc>
          <w:tcPr>
            <w:tcW w:w="160" w:type="dxa"/>
          </w:tcPr>
          <w:p w14:paraId="56FC293B"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22C6AD47" w14:textId="77777777"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rPr>
              <w:t>100.00%</w:t>
            </w:r>
          </w:p>
        </w:tc>
        <w:tc>
          <w:tcPr>
            <w:tcW w:w="160" w:type="dxa"/>
            <w:vAlign w:val="center"/>
          </w:tcPr>
          <w:p w14:paraId="3AF24566"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7B5D3444"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1,193,126</w:t>
            </w:r>
          </w:p>
        </w:tc>
        <w:tc>
          <w:tcPr>
            <w:tcW w:w="160" w:type="dxa"/>
            <w:vAlign w:val="center"/>
          </w:tcPr>
          <w:p w14:paraId="41AB0938"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598D6E34"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sz w:val="16"/>
                <w:szCs w:val="16"/>
              </w:rPr>
              <w:t>1,193,126</w:t>
            </w:r>
          </w:p>
        </w:tc>
        <w:tc>
          <w:tcPr>
            <w:tcW w:w="161" w:type="dxa"/>
            <w:vAlign w:val="center"/>
          </w:tcPr>
          <w:p w14:paraId="21C997F6"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4DD76E64"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*Venta y desarrollo de servicios de </w:t>
            </w:r>
          </w:p>
          <w:p w14:paraId="5CB2CABE"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infraestructura de telecomunicaciones.</w:t>
            </w:r>
          </w:p>
        </w:tc>
      </w:tr>
      <w:tr w:rsidR="000040B2" w:rsidRPr="00224BC5" w14:paraId="312DED69" w14:textId="77777777" w:rsidTr="001A5891">
        <w:trPr>
          <w:trHeight w:val="283"/>
        </w:trPr>
        <w:tc>
          <w:tcPr>
            <w:tcW w:w="2410" w:type="dxa"/>
            <w:shd w:val="clear" w:color="auto" w:fill="auto"/>
            <w:noWrap/>
            <w:vAlign w:val="center"/>
          </w:tcPr>
          <w:p w14:paraId="1ACDBDB7"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Linkotel S.A.</w:t>
            </w:r>
          </w:p>
        </w:tc>
        <w:tc>
          <w:tcPr>
            <w:tcW w:w="160" w:type="dxa"/>
          </w:tcPr>
          <w:p w14:paraId="61F3DC96"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63624ECA" w14:textId="06C77A2A"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rPr>
              <w:t>99.</w:t>
            </w:r>
            <w:r w:rsidR="009D5F31">
              <w:rPr>
                <w:rFonts w:ascii="Arial" w:hAnsi="Arial" w:cs="Arial"/>
                <w:sz w:val="16"/>
                <w:szCs w:val="16"/>
              </w:rPr>
              <w:t>00</w:t>
            </w:r>
            <w:r w:rsidRPr="00224BC5">
              <w:rPr>
                <w:rFonts w:ascii="Arial" w:hAnsi="Arial" w:cs="Arial"/>
                <w:sz w:val="16"/>
                <w:szCs w:val="16"/>
              </w:rPr>
              <w:t>%</w:t>
            </w:r>
          </w:p>
        </w:tc>
        <w:tc>
          <w:tcPr>
            <w:tcW w:w="160" w:type="dxa"/>
            <w:vAlign w:val="center"/>
          </w:tcPr>
          <w:p w14:paraId="4D759597"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32F8A583"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1,173,781</w:t>
            </w:r>
          </w:p>
        </w:tc>
        <w:tc>
          <w:tcPr>
            <w:tcW w:w="160" w:type="dxa"/>
            <w:vAlign w:val="center"/>
          </w:tcPr>
          <w:p w14:paraId="07F25C66"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77CF654E" w14:textId="77777777" w:rsidR="000040B2" w:rsidRPr="00224BC5" w:rsidRDefault="000040B2" w:rsidP="001A5891">
            <w:pPr>
              <w:spacing w:after="0" w:line="240" w:lineRule="auto"/>
              <w:jc w:val="right"/>
              <w:rPr>
                <w:rFonts w:ascii="Arial" w:hAnsi="Arial" w:cs="Arial"/>
                <w:sz w:val="16"/>
                <w:szCs w:val="16"/>
              </w:rPr>
            </w:pPr>
            <w:r w:rsidRPr="00224BC5">
              <w:rPr>
                <w:rFonts w:ascii="Arial" w:hAnsi="Arial" w:cs="Arial"/>
                <w:sz w:val="16"/>
                <w:szCs w:val="16"/>
              </w:rPr>
              <w:t>1,173,781</w:t>
            </w:r>
          </w:p>
        </w:tc>
        <w:tc>
          <w:tcPr>
            <w:tcW w:w="161" w:type="dxa"/>
            <w:vAlign w:val="center"/>
          </w:tcPr>
          <w:p w14:paraId="6A6E60A3" w14:textId="77777777" w:rsidR="000040B2" w:rsidRPr="00224BC5" w:rsidRDefault="000040B2" w:rsidP="001A5891">
            <w:pPr>
              <w:spacing w:after="0" w:line="240" w:lineRule="auto"/>
              <w:rPr>
                <w:rFonts w:ascii="Arial" w:hAnsi="Arial" w:cs="Arial"/>
                <w:sz w:val="16"/>
                <w:szCs w:val="16"/>
              </w:rPr>
            </w:pPr>
          </w:p>
        </w:tc>
        <w:tc>
          <w:tcPr>
            <w:tcW w:w="3525" w:type="dxa"/>
            <w:vAlign w:val="center"/>
          </w:tcPr>
          <w:p w14:paraId="277E3E6F"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*Servicios de telecomunicaciones.</w:t>
            </w:r>
          </w:p>
        </w:tc>
      </w:tr>
      <w:tr w:rsidR="000040B2" w:rsidRPr="00224BC5" w14:paraId="3055E395" w14:textId="77777777" w:rsidTr="001A5891">
        <w:trPr>
          <w:trHeight w:val="283"/>
        </w:trPr>
        <w:tc>
          <w:tcPr>
            <w:tcW w:w="2410" w:type="dxa"/>
            <w:shd w:val="clear" w:color="auto" w:fill="auto"/>
            <w:noWrap/>
            <w:vAlign w:val="center"/>
          </w:tcPr>
          <w:p w14:paraId="49F99AC1"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 xml:space="preserve">Inmobiliaria </w:t>
            </w:r>
            <w:proofErr w:type="spellStart"/>
            <w:r w:rsidRPr="00224BC5">
              <w:rPr>
                <w:rFonts w:ascii="Arial" w:hAnsi="Arial" w:cs="Arial"/>
                <w:sz w:val="16"/>
                <w:szCs w:val="16"/>
              </w:rPr>
              <w:t>Leonortres</w:t>
            </w:r>
            <w:proofErr w:type="spellEnd"/>
            <w:r w:rsidRPr="00224BC5">
              <w:rPr>
                <w:rFonts w:ascii="Arial" w:hAnsi="Arial" w:cs="Arial"/>
                <w:sz w:val="16"/>
                <w:szCs w:val="16"/>
              </w:rPr>
              <w:t xml:space="preserve"> S.A.</w:t>
            </w:r>
          </w:p>
        </w:tc>
        <w:tc>
          <w:tcPr>
            <w:tcW w:w="160" w:type="dxa"/>
          </w:tcPr>
          <w:p w14:paraId="07B2AE24"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6CCF4E40" w14:textId="77777777" w:rsidR="000040B2" w:rsidRPr="00224BC5" w:rsidRDefault="000040B2" w:rsidP="001A5891">
            <w:pPr>
              <w:tabs>
                <w:tab w:val="decimal" w:pos="1276"/>
              </w:tabs>
              <w:spacing w:after="0" w:line="240" w:lineRule="auto"/>
              <w:ind w:right="218"/>
              <w:rPr>
                <w:rFonts w:ascii="Arial" w:hAnsi="Arial" w:cs="Arial"/>
                <w:sz w:val="16"/>
                <w:szCs w:val="16"/>
              </w:rPr>
            </w:pPr>
            <w:r w:rsidRPr="00224BC5">
              <w:rPr>
                <w:rFonts w:ascii="Arial" w:hAnsi="Arial" w:cs="Arial"/>
                <w:sz w:val="16"/>
                <w:szCs w:val="16"/>
              </w:rPr>
              <w:t>99.99%</w:t>
            </w:r>
          </w:p>
        </w:tc>
        <w:tc>
          <w:tcPr>
            <w:tcW w:w="160" w:type="dxa"/>
            <w:vAlign w:val="center"/>
          </w:tcPr>
          <w:p w14:paraId="67F9EFC6"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7A7068F3"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1,114,176</w:t>
            </w:r>
          </w:p>
        </w:tc>
        <w:tc>
          <w:tcPr>
            <w:tcW w:w="160" w:type="dxa"/>
            <w:vAlign w:val="center"/>
          </w:tcPr>
          <w:p w14:paraId="4577334E"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08F80916"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1,114,176</w:t>
            </w:r>
          </w:p>
        </w:tc>
        <w:tc>
          <w:tcPr>
            <w:tcW w:w="161" w:type="dxa"/>
            <w:vAlign w:val="center"/>
          </w:tcPr>
          <w:p w14:paraId="2E814AFD"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31269604" w14:textId="77777777" w:rsidR="000040B2" w:rsidRPr="00224BC5" w:rsidRDefault="000040B2" w:rsidP="001A5891">
            <w:pPr>
              <w:tabs>
                <w:tab w:val="decimal" w:pos="771"/>
              </w:tabs>
              <w:spacing w:after="0" w:line="240" w:lineRule="auto"/>
              <w:jc w:val="both"/>
              <w:rPr>
                <w:rFonts w:ascii="Arial" w:hAnsi="Arial" w:cs="Arial"/>
                <w:sz w:val="16"/>
                <w:szCs w:val="16"/>
              </w:rPr>
            </w:pPr>
            <w:r w:rsidRPr="00224BC5">
              <w:rPr>
                <w:rFonts w:ascii="Arial" w:hAnsi="Arial" w:cs="Arial"/>
                <w:sz w:val="16"/>
                <w:szCs w:val="16"/>
              </w:rPr>
              <w:t>*Explotación de bienes inmuebles.</w:t>
            </w:r>
          </w:p>
        </w:tc>
      </w:tr>
      <w:tr w:rsidR="000040B2" w:rsidRPr="00224BC5" w14:paraId="437DB321" w14:textId="77777777" w:rsidTr="001A5891">
        <w:trPr>
          <w:trHeight w:val="283"/>
        </w:trPr>
        <w:tc>
          <w:tcPr>
            <w:tcW w:w="2410" w:type="dxa"/>
            <w:shd w:val="clear" w:color="auto" w:fill="auto"/>
            <w:noWrap/>
            <w:vAlign w:val="center"/>
          </w:tcPr>
          <w:p w14:paraId="6A089395" w14:textId="4FB31C1A" w:rsidR="000040B2" w:rsidRPr="00224BC5" w:rsidRDefault="000040B2" w:rsidP="001A5891">
            <w:pPr>
              <w:spacing w:after="0" w:line="240" w:lineRule="auto"/>
              <w:ind w:left="-70"/>
              <w:rPr>
                <w:rFonts w:ascii="Arial" w:hAnsi="Arial" w:cs="Arial"/>
                <w:sz w:val="16"/>
                <w:szCs w:val="16"/>
              </w:rPr>
            </w:pPr>
            <w:proofErr w:type="spellStart"/>
            <w:r w:rsidRPr="00224BC5">
              <w:rPr>
                <w:rFonts w:ascii="Arial" w:hAnsi="Arial" w:cs="Arial"/>
                <w:sz w:val="16"/>
                <w:szCs w:val="16"/>
              </w:rPr>
              <w:t>Transtelco</w:t>
            </w:r>
            <w:proofErr w:type="spellEnd"/>
            <w:r w:rsidRPr="00224BC5">
              <w:rPr>
                <w:rFonts w:ascii="Arial" w:hAnsi="Arial" w:cs="Arial"/>
                <w:sz w:val="16"/>
                <w:szCs w:val="16"/>
              </w:rPr>
              <w:t xml:space="preserve"> S.A.</w:t>
            </w:r>
            <w:r w:rsidR="00AA720C" w:rsidRPr="00ED4AC0">
              <w:rPr>
                <w:rFonts w:ascii="Arial" w:hAnsi="Arial" w:cs="Arial"/>
                <w:b/>
                <w:bCs/>
                <w:sz w:val="16"/>
                <w:szCs w:val="16"/>
              </w:rPr>
              <w:t xml:space="preserve"> (2)</w:t>
            </w:r>
          </w:p>
        </w:tc>
        <w:tc>
          <w:tcPr>
            <w:tcW w:w="160" w:type="dxa"/>
          </w:tcPr>
          <w:p w14:paraId="6612ADC4"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75A134F5" w14:textId="118BC66A" w:rsidR="000040B2" w:rsidRPr="00224BC5" w:rsidRDefault="00AA720C" w:rsidP="001A5891">
            <w:pPr>
              <w:tabs>
                <w:tab w:val="decimal" w:pos="1276"/>
              </w:tabs>
              <w:spacing w:after="0" w:line="240" w:lineRule="auto"/>
              <w:ind w:right="218"/>
              <w:rPr>
                <w:rFonts w:ascii="Arial" w:hAnsi="Arial" w:cs="Arial"/>
                <w:sz w:val="16"/>
                <w:szCs w:val="16"/>
              </w:rPr>
            </w:pPr>
            <w:r>
              <w:rPr>
                <w:rFonts w:ascii="Arial" w:hAnsi="Arial" w:cs="Arial"/>
                <w:sz w:val="16"/>
                <w:szCs w:val="16"/>
              </w:rPr>
              <w:t>-</w:t>
            </w:r>
          </w:p>
        </w:tc>
        <w:tc>
          <w:tcPr>
            <w:tcW w:w="160" w:type="dxa"/>
            <w:vAlign w:val="center"/>
          </w:tcPr>
          <w:p w14:paraId="44798567"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04FF9790"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943,459</w:t>
            </w:r>
          </w:p>
        </w:tc>
        <w:tc>
          <w:tcPr>
            <w:tcW w:w="160" w:type="dxa"/>
            <w:vAlign w:val="center"/>
          </w:tcPr>
          <w:p w14:paraId="5C662C4D"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56BE80A1"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943,459</w:t>
            </w:r>
          </w:p>
        </w:tc>
        <w:tc>
          <w:tcPr>
            <w:tcW w:w="161" w:type="dxa"/>
            <w:vAlign w:val="center"/>
          </w:tcPr>
          <w:p w14:paraId="65598796"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36B3834C"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*Actividades de transmisión de imágenes y </w:t>
            </w:r>
          </w:p>
          <w:p w14:paraId="1FC0D37A"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datos.</w:t>
            </w:r>
          </w:p>
        </w:tc>
      </w:tr>
      <w:tr w:rsidR="000040B2" w:rsidRPr="00224BC5" w14:paraId="5E369796" w14:textId="77777777" w:rsidTr="001A5891">
        <w:trPr>
          <w:trHeight w:val="283"/>
        </w:trPr>
        <w:tc>
          <w:tcPr>
            <w:tcW w:w="2410" w:type="dxa"/>
            <w:shd w:val="clear" w:color="auto" w:fill="auto"/>
            <w:noWrap/>
            <w:vAlign w:val="center"/>
          </w:tcPr>
          <w:p w14:paraId="484DE197" w14:textId="096B2A93" w:rsidR="000040B2" w:rsidRPr="00224BC5" w:rsidRDefault="000040B2" w:rsidP="001A5891">
            <w:pPr>
              <w:spacing w:after="0" w:line="240" w:lineRule="auto"/>
              <w:ind w:left="-70"/>
              <w:rPr>
                <w:rFonts w:ascii="Arial" w:hAnsi="Arial" w:cs="Arial"/>
                <w:sz w:val="16"/>
                <w:szCs w:val="16"/>
              </w:rPr>
            </w:pPr>
            <w:proofErr w:type="spellStart"/>
            <w:r w:rsidRPr="00224BC5">
              <w:rPr>
                <w:rFonts w:ascii="Arial" w:hAnsi="Arial" w:cs="Arial"/>
                <w:sz w:val="16"/>
                <w:szCs w:val="16"/>
              </w:rPr>
              <w:t>Netspeed</w:t>
            </w:r>
            <w:proofErr w:type="spellEnd"/>
            <w:r w:rsidRPr="00224BC5">
              <w:rPr>
                <w:rFonts w:ascii="Arial" w:hAnsi="Arial" w:cs="Arial"/>
                <w:sz w:val="16"/>
                <w:szCs w:val="16"/>
              </w:rPr>
              <w:t xml:space="preserve"> S.A.</w:t>
            </w:r>
            <w:r w:rsidR="00AA720C" w:rsidRPr="00ED4AC0">
              <w:rPr>
                <w:rFonts w:ascii="Arial" w:hAnsi="Arial" w:cs="Arial"/>
                <w:b/>
                <w:bCs/>
                <w:sz w:val="16"/>
                <w:szCs w:val="16"/>
              </w:rPr>
              <w:t xml:space="preserve"> (2)</w:t>
            </w:r>
          </w:p>
        </w:tc>
        <w:tc>
          <w:tcPr>
            <w:tcW w:w="160" w:type="dxa"/>
          </w:tcPr>
          <w:p w14:paraId="6ED42735"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5BF115C9" w14:textId="6379F968" w:rsidR="000040B2" w:rsidRPr="00224BC5" w:rsidRDefault="00AA720C" w:rsidP="001A5891">
            <w:pPr>
              <w:tabs>
                <w:tab w:val="decimal" w:pos="1276"/>
              </w:tabs>
              <w:spacing w:after="0" w:line="240" w:lineRule="auto"/>
              <w:ind w:right="218"/>
              <w:rPr>
                <w:rFonts w:ascii="Arial" w:hAnsi="Arial" w:cs="Arial"/>
                <w:sz w:val="16"/>
                <w:szCs w:val="16"/>
              </w:rPr>
            </w:pPr>
            <w:r>
              <w:rPr>
                <w:rFonts w:ascii="Arial" w:hAnsi="Arial" w:cs="Arial"/>
                <w:sz w:val="16"/>
                <w:szCs w:val="16"/>
              </w:rPr>
              <w:t>-</w:t>
            </w:r>
          </w:p>
        </w:tc>
        <w:tc>
          <w:tcPr>
            <w:tcW w:w="160" w:type="dxa"/>
            <w:vAlign w:val="center"/>
          </w:tcPr>
          <w:p w14:paraId="4ADDB1D6"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35FC3536"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147,840</w:t>
            </w:r>
          </w:p>
        </w:tc>
        <w:tc>
          <w:tcPr>
            <w:tcW w:w="160" w:type="dxa"/>
            <w:vAlign w:val="center"/>
          </w:tcPr>
          <w:p w14:paraId="2792239F"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2C6D5DC9"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147,840</w:t>
            </w:r>
          </w:p>
        </w:tc>
        <w:tc>
          <w:tcPr>
            <w:tcW w:w="161" w:type="dxa"/>
            <w:vAlign w:val="center"/>
          </w:tcPr>
          <w:p w14:paraId="7AB3A562"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58DC97BD"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*Instalación, mantenimiento y reparación de </w:t>
            </w:r>
          </w:p>
          <w:p w14:paraId="21B6004F"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estaciones de telecomunicaciones.</w:t>
            </w:r>
          </w:p>
        </w:tc>
      </w:tr>
      <w:tr w:rsidR="000040B2" w:rsidRPr="00224BC5" w14:paraId="3131EEA6" w14:textId="77777777" w:rsidTr="001A5891">
        <w:trPr>
          <w:trHeight w:val="283"/>
        </w:trPr>
        <w:tc>
          <w:tcPr>
            <w:tcW w:w="2410" w:type="dxa"/>
            <w:shd w:val="clear" w:color="auto" w:fill="auto"/>
            <w:noWrap/>
            <w:vAlign w:val="center"/>
          </w:tcPr>
          <w:p w14:paraId="6F623ADE" w14:textId="2D046D07" w:rsidR="000040B2" w:rsidRPr="00224BC5" w:rsidRDefault="000040B2" w:rsidP="001A5891">
            <w:pPr>
              <w:spacing w:after="0" w:line="240" w:lineRule="auto"/>
              <w:ind w:left="-70"/>
              <w:rPr>
                <w:rFonts w:ascii="Arial" w:hAnsi="Arial" w:cs="Arial"/>
                <w:sz w:val="16"/>
                <w:szCs w:val="16"/>
              </w:rPr>
            </w:pPr>
            <w:proofErr w:type="spellStart"/>
            <w:r w:rsidRPr="00224BC5">
              <w:rPr>
                <w:rFonts w:ascii="Arial" w:hAnsi="Arial" w:cs="Arial"/>
                <w:sz w:val="16"/>
                <w:szCs w:val="16"/>
              </w:rPr>
              <w:t>Econocompu</w:t>
            </w:r>
            <w:proofErr w:type="spellEnd"/>
            <w:r w:rsidRPr="00224BC5">
              <w:rPr>
                <w:rFonts w:ascii="Arial" w:hAnsi="Arial" w:cs="Arial"/>
                <w:sz w:val="16"/>
                <w:szCs w:val="16"/>
              </w:rPr>
              <w:t xml:space="preserve"> S.A.</w:t>
            </w:r>
            <w:r w:rsidR="00AA720C" w:rsidRPr="00ED4AC0">
              <w:rPr>
                <w:rFonts w:ascii="Arial" w:hAnsi="Arial" w:cs="Arial"/>
                <w:b/>
                <w:bCs/>
                <w:sz w:val="16"/>
                <w:szCs w:val="16"/>
              </w:rPr>
              <w:t xml:space="preserve"> (2)</w:t>
            </w:r>
          </w:p>
        </w:tc>
        <w:tc>
          <w:tcPr>
            <w:tcW w:w="160" w:type="dxa"/>
          </w:tcPr>
          <w:p w14:paraId="26794DA3" w14:textId="77777777" w:rsidR="000040B2" w:rsidRPr="00224BC5" w:rsidRDefault="000040B2" w:rsidP="001A5891">
            <w:pPr>
              <w:tabs>
                <w:tab w:val="decimal" w:pos="1276"/>
              </w:tabs>
              <w:spacing w:after="0" w:line="240" w:lineRule="auto"/>
              <w:ind w:right="218"/>
              <w:rPr>
                <w:rFonts w:ascii="Arial" w:hAnsi="Arial" w:cs="Arial"/>
                <w:sz w:val="16"/>
                <w:szCs w:val="16"/>
                <w:lang w:val="en-US"/>
              </w:rPr>
            </w:pPr>
          </w:p>
        </w:tc>
        <w:tc>
          <w:tcPr>
            <w:tcW w:w="1258" w:type="dxa"/>
            <w:vAlign w:val="center"/>
          </w:tcPr>
          <w:p w14:paraId="16A42AC7" w14:textId="20FBBAD8" w:rsidR="000040B2" w:rsidRPr="00224BC5" w:rsidRDefault="00AA720C" w:rsidP="001A5891">
            <w:pPr>
              <w:tabs>
                <w:tab w:val="decimal" w:pos="1276"/>
              </w:tabs>
              <w:spacing w:after="0" w:line="240" w:lineRule="auto"/>
              <w:ind w:right="218"/>
              <w:rPr>
                <w:rFonts w:ascii="Arial" w:hAnsi="Arial" w:cs="Arial"/>
                <w:sz w:val="16"/>
                <w:szCs w:val="16"/>
              </w:rPr>
            </w:pPr>
            <w:r>
              <w:rPr>
                <w:rFonts w:ascii="Arial" w:hAnsi="Arial" w:cs="Arial"/>
                <w:sz w:val="16"/>
                <w:szCs w:val="16"/>
                <w:lang w:val="en-US"/>
              </w:rPr>
              <w:t>-</w:t>
            </w:r>
          </w:p>
        </w:tc>
        <w:tc>
          <w:tcPr>
            <w:tcW w:w="160" w:type="dxa"/>
            <w:vAlign w:val="center"/>
          </w:tcPr>
          <w:p w14:paraId="3309CF7D"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shd w:val="clear" w:color="auto" w:fill="auto"/>
            <w:noWrap/>
            <w:vAlign w:val="center"/>
          </w:tcPr>
          <w:p w14:paraId="1A69B4EC"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140,052</w:t>
            </w:r>
          </w:p>
        </w:tc>
        <w:tc>
          <w:tcPr>
            <w:tcW w:w="160" w:type="dxa"/>
            <w:vAlign w:val="center"/>
          </w:tcPr>
          <w:p w14:paraId="644E7249" w14:textId="77777777" w:rsidR="000040B2" w:rsidRPr="00224BC5" w:rsidRDefault="000040B2" w:rsidP="001A5891">
            <w:pPr>
              <w:spacing w:after="0" w:line="240" w:lineRule="auto"/>
              <w:jc w:val="right"/>
              <w:rPr>
                <w:rFonts w:ascii="Arial" w:hAnsi="Arial" w:cs="Arial"/>
                <w:sz w:val="16"/>
                <w:szCs w:val="16"/>
              </w:rPr>
            </w:pPr>
          </w:p>
        </w:tc>
        <w:tc>
          <w:tcPr>
            <w:tcW w:w="1115" w:type="dxa"/>
            <w:shd w:val="clear" w:color="auto" w:fill="auto"/>
            <w:noWrap/>
            <w:vAlign w:val="center"/>
          </w:tcPr>
          <w:p w14:paraId="30834F56"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140,052</w:t>
            </w:r>
          </w:p>
        </w:tc>
        <w:tc>
          <w:tcPr>
            <w:tcW w:w="161" w:type="dxa"/>
            <w:vAlign w:val="center"/>
          </w:tcPr>
          <w:p w14:paraId="3887508A"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3A297DBF"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*Venta al por mayor y menor de maquinaria y </w:t>
            </w:r>
          </w:p>
          <w:p w14:paraId="64C9EA64"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equipos de oficina.</w:t>
            </w:r>
          </w:p>
        </w:tc>
      </w:tr>
      <w:tr w:rsidR="000040B2" w:rsidRPr="00224BC5" w14:paraId="74C3DDBE" w14:textId="77777777" w:rsidTr="001A5891">
        <w:trPr>
          <w:trHeight w:val="283"/>
        </w:trPr>
        <w:tc>
          <w:tcPr>
            <w:tcW w:w="2410" w:type="dxa"/>
            <w:shd w:val="clear" w:color="auto" w:fill="auto"/>
            <w:noWrap/>
            <w:vAlign w:val="center"/>
          </w:tcPr>
          <w:p w14:paraId="639D147E" w14:textId="77777777" w:rsidR="000040B2" w:rsidRPr="00224BC5" w:rsidRDefault="000040B2" w:rsidP="001A5891">
            <w:pPr>
              <w:spacing w:after="0" w:line="240" w:lineRule="auto"/>
              <w:ind w:left="-70"/>
              <w:rPr>
                <w:rFonts w:ascii="Arial" w:hAnsi="Arial" w:cs="Arial"/>
                <w:sz w:val="16"/>
                <w:szCs w:val="16"/>
              </w:rPr>
            </w:pPr>
            <w:proofErr w:type="spellStart"/>
            <w:r w:rsidRPr="00224BC5">
              <w:rPr>
                <w:rFonts w:ascii="Arial" w:hAnsi="Arial" w:cs="Arial"/>
                <w:sz w:val="16"/>
                <w:szCs w:val="16"/>
              </w:rPr>
              <w:t>Smartcities</w:t>
            </w:r>
            <w:proofErr w:type="spellEnd"/>
            <w:r w:rsidRPr="00224BC5">
              <w:rPr>
                <w:rFonts w:ascii="Arial" w:hAnsi="Arial" w:cs="Arial"/>
                <w:sz w:val="16"/>
                <w:szCs w:val="16"/>
              </w:rPr>
              <w:t xml:space="preserve"> S.A.</w:t>
            </w:r>
          </w:p>
        </w:tc>
        <w:tc>
          <w:tcPr>
            <w:tcW w:w="160" w:type="dxa"/>
          </w:tcPr>
          <w:p w14:paraId="1C281CD6" w14:textId="77777777" w:rsidR="000040B2" w:rsidRPr="00224BC5" w:rsidRDefault="000040B2" w:rsidP="001A5891">
            <w:pPr>
              <w:tabs>
                <w:tab w:val="decimal" w:pos="1276"/>
              </w:tabs>
              <w:spacing w:after="0" w:line="240" w:lineRule="auto"/>
              <w:ind w:right="218"/>
              <w:rPr>
                <w:rFonts w:ascii="Arial" w:hAnsi="Arial" w:cs="Arial"/>
                <w:sz w:val="16"/>
                <w:szCs w:val="16"/>
                <w:lang w:val="en-US"/>
              </w:rPr>
            </w:pPr>
          </w:p>
        </w:tc>
        <w:tc>
          <w:tcPr>
            <w:tcW w:w="1258" w:type="dxa"/>
            <w:vAlign w:val="center"/>
          </w:tcPr>
          <w:p w14:paraId="49E70945" w14:textId="3559E686" w:rsidR="000040B2" w:rsidRPr="00224BC5" w:rsidRDefault="009D5F31" w:rsidP="001A5891">
            <w:pPr>
              <w:tabs>
                <w:tab w:val="decimal" w:pos="1276"/>
              </w:tabs>
              <w:spacing w:after="0" w:line="240" w:lineRule="auto"/>
              <w:ind w:right="218"/>
              <w:rPr>
                <w:rFonts w:ascii="Arial" w:hAnsi="Arial" w:cs="Arial"/>
                <w:sz w:val="16"/>
                <w:szCs w:val="16"/>
                <w:lang w:val="en-US"/>
              </w:rPr>
            </w:pPr>
            <w:r>
              <w:rPr>
                <w:rFonts w:ascii="Arial" w:hAnsi="Arial" w:cs="Arial"/>
                <w:sz w:val="16"/>
                <w:szCs w:val="16"/>
                <w:lang w:val="en-US"/>
              </w:rPr>
              <w:t>5</w:t>
            </w:r>
            <w:r w:rsidR="000040B2" w:rsidRPr="00224BC5">
              <w:rPr>
                <w:rFonts w:ascii="Arial" w:hAnsi="Arial" w:cs="Arial"/>
                <w:sz w:val="16"/>
                <w:szCs w:val="16"/>
                <w:lang w:val="en-US"/>
              </w:rPr>
              <w:t>0.00%</w:t>
            </w:r>
          </w:p>
        </w:tc>
        <w:tc>
          <w:tcPr>
            <w:tcW w:w="160" w:type="dxa"/>
            <w:vAlign w:val="center"/>
          </w:tcPr>
          <w:p w14:paraId="3F5B7981"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bottom w:val="nil"/>
            </w:tcBorders>
            <w:shd w:val="clear" w:color="auto" w:fill="auto"/>
            <w:noWrap/>
            <w:vAlign w:val="center"/>
          </w:tcPr>
          <w:p w14:paraId="335110BF"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6,000</w:t>
            </w:r>
          </w:p>
        </w:tc>
        <w:tc>
          <w:tcPr>
            <w:tcW w:w="160" w:type="dxa"/>
            <w:vAlign w:val="center"/>
          </w:tcPr>
          <w:p w14:paraId="47FC42C8" w14:textId="77777777" w:rsidR="000040B2" w:rsidRPr="00224BC5" w:rsidRDefault="000040B2" w:rsidP="001A5891">
            <w:pPr>
              <w:spacing w:after="0" w:line="240" w:lineRule="auto"/>
              <w:jc w:val="right"/>
              <w:rPr>
                <w:rFonts w:ascii="Arial" w:hAnsi="Arial" w:cs="Arial"/>
                <w:sz w:val="16"/>
                <w:szCs w:val="16"/>
              </w:rPr>
            </w:pPr>
          </w:p>
        </w:tc>
        <w:tc>
          <w:tcPr>
            <w:tcW w:w="1115" w:type="dxa"/>
            <w:tcBorders>
              <w:bottom w:val="nil"/>
            </w:tcBorders>
            <w:shd w:val="clear" w:color="auto" w:fill="auto"/>
            <w:noWrap/>
            <w:vAlign w:val="center"/>
          </w:tcPr>
          <w:p w14:paraId="339AD2DE"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6,000</w:t>
            </w:r>
          </w:p>
        </w:tc>
        <w:tc>
          <w:tcPr>
            <w:tcW w:w="161" w:type="dxa"/>
            <w:vAlign w:val="center"/>
          </w:tcPr>
          <w:p w14:paraId="55984AD1"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4E7B084B"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*Soluciones de programas para equipos de </w:t>
            </w:r>
          </w:p>
          <w:p w14:paraId="60FA1350" w14:textId="77777777" w:rsidR="000040B2" w:rsidRPr="00224BC5" w:rsidRDefault="000040B2" w:rsidP="001A5891">
            <w:pPr>
              <w:spacing w:after="0" w:line="240" w:lineRule="auto"/>
              <w:jc w:val="both"/>
              <w:rPr>
                <w:rFonts w:ascii="Arial" w:hAnsi="Arial" w:cs="Arial"/>
                <w:sz w:val="16"/>
                <w:szCs w:val="16"/>
              </w:rPr>
            </w:pPr>
            <w:r w:rsidRPr="00224BC5">
              <w:rPr>
                <w:rFonts w:ascii="Arial" w:hAnsi="Arial" w:cs="Arial"/>
                <w:sz w:val="16"/>
                <w:szCs w:val="16"/>
              </w:rPr>
              <w:t xml:space="preserve">  computación y procesamientos de datos.</w:t>
            </w:r>
          </w:p>
        </w:tc>
      </w:tr>
      <w:tr w:rsidR="000040B2" w:rsidRPr="00224BC5" w14:paraId="1CF21CFE" w14:textId="77777777" w:rsidTr="001A5891">
        <w:trPr>
          <w:trHeight w:val="283"/>
        </w:trPr>
        <w:tc>
          <w:tcPr>
            <w:tcW w:w="2410" w:type="dxa"/>
            <w:shd w:val="clear" w:color="auto" w:fill="auto"/>
            <w:noWrap/>
            <w:vAlign w:val="center"/>
          </w:tcPr>
          <w:p w14:paraId="191EC1A1" w14:textId="77777777" w:rsidR="000040B2" w:rsidRPr="00224BC5" w:rsidRDefault="000040B2" w:rsidP="001A5891">
            <w:pPr>
              <w:spacing w:after="0" w:line="240" w:lineRule="auto"/>
              <w:ind w:left="-70"/>
              <w:rPr>
                <w:rFonts w:ascii="Arial" w:hAnsi="Arial" w:cs="Arial"/>
                <w:sz w:val="16"/>
                <w:szCs w:val="16"/>
              </w:rPr>
            </w:pPr>
            <w:proofErr w:type="spellStart"/>
            <w:r w:rsidRPr="00224BC5">
              <w:rPr>
                <w:rFonts w:ascii="Arial" w:hAnsi="Arial" w:cs="Arial"/>
                <w:sz w:val="16"/>
                <w:szCs w:val="16"/>
              </w:rPr>
              <w:t>Cerinsa</w:t>
            </w:r>
            <w:proofErr w:type="spellEnd"/>
            <w:r w:rsidRPr="00224BC5">
              <w:rPr>
                <w:rFonts w:ascii="Arial" w:hAnsi="Arial" w:cs="Arial"/>
                <w:sz w:val="16"/>
                <w:szCs w:val="16"/>
              </w:rPr>
              <w:t xml:space="preserve"> S.A.</w:t>
            </w:r>
          </w:p>
        </w:tc>
        <w:tc>
          <w:tcPr>
            <w:tcW w:w="160" w:type="dxa"/>
          </w:tcPr>
          <w:p w14:paraId="4BF6FDDA" w14:textId="77777777" w:rsidR="000040B2" w:rsidRPr="00224BC5" w:rsidRDefault="000040B2" w:rsidP="001A5891">
            <w:pPr>
              <w:tabs>
                <w:tab w:val="decimal" w:pos="1276"/>
              </w:tabs>
              <w:spacing w:after="0" w:line="240" w:lineRule="auto"/>
              <w:ind w:right="218"/>
              <w:rPr>
                <w:rFonts w:ascii="Arial" w:hAnsi="Arial" w:cs="Arial"/>
                <w:sz w:val="16"/>
                <w:szCs w:val="16"/>
              </w:rPr>
            </w:pPr>
          </w:p>
        </w:tc>
        <w:tc>
          <w:tcPr>
            <w:tcW w:w="1258" w:type="dxa"/>
            <w:vAlign w:val="center"/>
          </w:tcPr>
          <w:p w14:paraId="5D756F28" w14:textId="51FF9056" w:rsidR="000040B2" w:rsidRPr="00224BC5" w:rsidRDefault="000040B2" w:rsidP="001A5891">
            <w:pPr>
              <w:tabs>
                <w:tab w:val="decimal" w:pos="1276"/>
              </w:tabs>
              <w:spacing w:after="0" w:line="240" w:lineRule="auto"/>
              <w:ind w:right="218"/>
              <w:rPr>
                <w:rFonts w:ascii="Arial" w:hAnsi="Arial" w:cs="Arial"/>
                <w:sz w:val="16"/>
                <w:szCs w:val="16"/>
                <w:lang w:val="en-US"/>
              </w:rPr>
            </w:pPr>
            <w:r>
              <w:rPr>
                <w:rFonts w:ascii="Arial" w:hAnsi="Arial" w:cs="Arial"/>
                <w:sz w:val="16"/>
                <w:szCs w:val="16"/>
              </w:rPr>
              <w:t>75</w:t>
            </w:r>
            <w:r w:rsidRPr="00224BC5">
              <w:rPr>
                <w:rFonts w:ascii="Arial" w:hAnsi="Arial" w:cs="Arial"/>
                <w:sz w:val="16"/>
                <w:szCs w:val="16"/>
              </w:rPr>
              <w:t>.</w:t>
            </w:r>
            <w:r>
              <w:rPr>
                <w:rFonts w:ascii="Arial" w:hAnsi="Arial" w:cs="Arial"/>
                <w:sz w:val="16"/>
                <w:szCs w:val="16"/>
              </w:rPr>
              <w:t>00</w:t>
            </w:r>
            <w:r w:rsidRPr="00224BC5">
              <w:rPr>
                <w:rFonts w:ascii="Arial" w:hAnsi="Arial" w:cs="Arial"/>
                <w:sz w:val="16"/>
                <w:szCs w:val="16"/>
              </w:rPr>
              <w:t>%</w:t>
            </w:r>
          </w:p>
        </w:tc>
        <w:tc>
          <w:tcPr>
            <w:tcW w:w="160" w:type="dxa"/>
            <w:vAlign w:val="center"/>
          </w:tcPr>
          <w:p w14:paraId="7D363F00"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bottom w:val="single" w:sz="6" w:space="0" w:color="auto"/>
            </w:tcBorders>
            <w:shd w:val="clear" w:color="auto" w:fill="auto"/>
            <w:noWrap/>
            <w:vAlign w:val="center"/>
          </w:tcPr>
          <w:p w14:paraId="251BCB4D"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750</w:t>
            </w:r>
          </w:p>
        </w:tc>
        <w:tc>
          <w:tcPr>
            <w:tcW w:w="160" w:type="dxa"/>
            <w:vAlign w:val="center"/>
          </w:tcPr>
          <w:p w14:paraId="36531CD1" w14:textId="77777777" w:rsidR="000040B2" w:rsidRPr="00224BC5" w:rsidRDefault="000040B2" w:rsidP="001A5891">
            <w:pPr>
              <w:spacing w:after="0" w:line="240" w:lineRule="auto"/>
              <w:jc w:val="right"/>
              <w:rPr>
                <w:rFonts w:ascii="Arial" w:hAnsi="Arial" w:cs="Arial"/>
                <w:sz w:val="16"/>
                <w:szCs w:val="16"/>
              </w:rPr>
            </w:pPr>
          </w:p>
        </w:tc>
        <w:tc>
          <w:tcPr>
            <w:tcW w:w="1115" w:type="dxa"/>
            <w:tcBorders>
              <w:bottom w:val="single" w:sz="6" w:space="0" w:color="auto"/>
            </w:tcBorders>
            <w:shd w:val="clear" w:color="auto" w:fill="auto"/>
            <w:noWrap/>
            <w:vAlign w:val="center"/>
          </w:tcPr>
          <w:p w14:paraId="2D856195" w14:textId="77777777" w:rsidR="000040B2" w:rsidRPr="00224BC5" w:rsidRDefault="000040B2" w:rsidP="001A5891">
            <w:pPr>
              <w:tabs>
                <w:tab w:val="decimal" w:pos="1276"/>
              </w:tabs>
              <w:spacing w:after="0" w:line="240" w:lineRule="auto"/>
              <w:jc w:val="right"/>
              <w:rPr>
                <w:rFonts w:ascii="Arial" w:hAnsi="Arial" w:cs="Arial"/>
                <w:sz w:val="16"/>
                <w:szCs w:val="16"/>
              </w:rPr>
            </w:pPr>
            <w:r w:rsidRPr="00224BC5">
              <w:rPr>
                <w:rFonts w:ascii="Arial" w:hAnsi="Arial" w:cs="Arial"/>
                <w:sz w:val="16"/>
                <w:szCs w:val="16"/>
              </w:rPr>
              <w:t>462,500</w:t>
            </w:r>
          </w:p>
        </w:tc>
        <w:tc>
          <w:tcPr>
            <w:tcW w:w="161" w:type="dxa"/>
            <w:vAlign w:val="center"/>
          </w:tcPr>
          <w:p w14:paraId="70FD5AEE"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vAlign w:val="center"/>
          </w:tcPr>
          <w:p w14:paraId="42965971" w14:textId="77777777" w:rsidR="000040B2" w:rsidRPr="00224BC5" w:rsidRDefault="000040B2" w:rsidP="001A5891">
            <w:pPr>
              <w:tabs>
                <w:tab w:val="decimal" w:pos="771"/>
              </w:tabs>
              <w:spacing w:after="0" w:line="240" w:lineRule="auto"/>
              <w:jc w:val="both"/>
              <w:rPr>
                <w:rFonts w:ascii="Arial" w:hAnsi="Arial" w:cs="Arial"/>
                <w:sz w:val="16"/>
                <w:szCs w:val="16"/>
              </w:rPr>
            </w:pPr>
            <w:r w:rsidRPr="00224BC5">
              <w:rPr>
                <w:rFonts w:ascii="Arial" w:hAnsi="Arial" w:cs="Arial"/>
                <w:sz w:val="16"/>
                <w:szCs w:val="16"/>
              </w:rPr>
              <w:t>*Explotación de bienes inmuebles.</w:t>
            </w:r>
          </w:p>
        </w:tc>
      </w:tr>
      <w:tr w:rsidR="000040B2" w:rsidRPr="00224BC5" w14:paraId="008A7C05" w14:textId="77777777" w:rsidTr="001A5891">
        <w:trPr>
          <w:trHeight w:val="283"/>
        </w:trPr>
        <w:tc>
          <w:tcPr>
            <w:tcW w:w="2410" w:type="dxa"/>
            <w:tcBorders>
              <w:bottom w:val="nil"/>
            </w:tcBorders>
            <w:shd w:val="clear" w:color="auto" w:fill="auto"/>
            <w:noWrap/>
            <w:vAlign w:val="bottom"/>
          </w:tcPr>
          <w:p w14:paraId="0F4F070E" w14:textId="77777777" w:rsidR="000040B2" w:rsidRPr="00224BC5" w:rsidRDefault="000040B2" w:rsidP="001A5891">
            <w:pPr>
              <w:spacing w:after="0" w:line="240" w:lineRule="auto"/>
              <w:ind w:left="-70"/>
              <w:rPr>
                <w:rFonts w:ascii="Arial" w:hAnsi="Arial" w:cs="Arial"/>
                <w:sz w:val="16"/>
                <w:szCs w:val="16"/>
              </w:rPr>
            </w:pPr>
          </w:p>
        </w:tc>
        <w:tc>
          <w:tcPr>
            <w:tcW w:w="160" w:type="dxa"/>
            <w:tcBorders>
              <w:bottom w:val="nil"/>
            </w:tcBorders>
          </w:tcPr>
          <w:p w14:paraId="65CE6233"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Borders>
              <w:bottom w:val="nil"/>
            </w:tcBorders>
            <w:vAlign w:val="bottom"/>
          </w:tcPr>
          <w:p w14:paraId="399A2E9F"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bottom w:val="nil"/>
            </w:tcBorders>
          </w:tcPr>
          <w:p w14:paraId="6AFB5968"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top w:val="single" w:sz="6" w:space="0" w:color="auto"/>
              <w:bottom w:val="nil"/>
            </w:tcBorders>
            <w:shd w:val="clear" w:color="auto" w:fill="auto"/>
            <w:noWrap/>
            <w:vAlign w:val="bottom"/>
          </w:tcPr>
          <w:p w14:paraId="47A1EE35"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bottom w:val="nil"/>
            </w:tcBorders>
            <w:vAlign w:val="bottom"/>
          </w:tcPr>
          <w:p w14:paraId="2A3C31CF" w14:textId="77777777" w:rsidR="000040B2" w:rsidRPr="00224BC5" w:rsidRDefault="000040B2" w:rsidP="001A5891">
            <w:pPr>
              <w:spacing w:after="0" w:line="240" w:lineRule="auto"/>
              <w:rPr>
                <w:rFonts w:ascii="Arial" w:hAnsi="Arial" w:cs="Arial"/>
                <w:sz w:val="16"/>
                <w:szCs w:val="16"/>
              </w:rPr>
            </w:pPr>
          </w:p>
        </w:tc>
        <w:tc>
          <w:tcPr>
            <w:tcW w:w="1115" w:type="dxa"/>
            <w:tcBorders>
              <w:top w:val="single" w:sz="6" w:space="0" w:color="auto"/>
              <w:bottom w:val="nil"/>
            </w:tcBorders>
            <w:shd w:val="clear" w:color="auto" w:fill="auto"/>
            <w:noWrap/>
            <w:vAlign w:val="bottom"/>
          </w:tcPr>
          <w:p w14:paraId="624FA1C5" w14:textId="77777777" w:rsidR="000040B2" w:rsidRPr="00224BC5" w:rsidRDefault="000040B2" w:rsidP="001A5891">
            <w:pPr>
              <w:tabs>
                <w:tab w:val="decimal" w:pos="1276"/>
              </w:tabs>
              <w:spacing w:after="0" w:line="240" w:lineRule="auto"/>
              <w:rPr>
                <w:rFonts w:ascii="Arial" w:hAnsi="Arial" w:cs="Arial"/>
                <w:sz w:val="16"/>
                <w:szCs w:val="16"/>
              </w:rPr>
            </w:pPr>
          </w:p>
        </w:tc>
        <w:tc>
          <w:tcPr>
            <w:tcW w:w="161" w:type="dxa"/>
            <w:tcBorders>
              <w:bottom w:val="nil"/>
            </w:tcBorders>
          </w:tcPr>
          <w:p w14:paraId="23FDFF06"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tcBorders>
              <w:bottom w:val="nil"/>
            </w:tcBorders>
          </w:tcPr>
          <w:p w14:paraId="622D57B4" w14:textId="77777777" w:rsidR="000040B2" w:rsidRPr="00224BC5" w:rsidRDefault="000040B2" w:rsidP="001A5891">
            <w:pPr>
              <w:tabs>
                <w:tab w:val="decimal" w:pos="1276"/>
              </w:tabs>
              <w:spacing w:after="0" w:line="240" w:lineRule="auto"/>
              <w:rPr>
                <w:rFonts w:ascii="Arial" w:hAnsi="Arial" w:cs="Arial"/>
                <w:sz w:val="16"/>
                <w:szCs w:val="16"/>
              </w:rPr>
            </w:pPr>
          </w:p>
        </w:tc>
      </w:tr>
      <w:tr w:rsidR="000040B2" w:rsidRPr="00224BC5" w14:paraId="08887F8E" w14:textId="77777777" w:rsidTr="001A5891">
        <w:trPr>
          <w:trHeight w:val="283"/>
        </w:trPr>
        <w:tc>
          <w:tcPr>
            <w:tcW w:w="2410" w:type="dxa"/>
            <w:tcBorders>
              <w:top w:val="nil"/>
              <w:bottom w:val="nil"/>
            </w:tcBorders>
            <w:shd w:val="clear" w:color="auto" w:fill="auto"/>
            <w:noWrap/>
            <w:vAlign w:val="bottom"/>
          </w:tcPr>
          <w:p w14:paraId="5BC4874F"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Subtotal subsidiarias</w:t>
            </w:r>
          </w:p>
        </w:tc>
        <w:tc>
          <w:tcPr>
            <w:tcW w:w="160" w:type="dxa"/>
            <w:tcBorders>
              <w:top w:val="nil"/>
              <w:bottom w:val="nil"/>
            </w:tcBorders>
          </w:tcPr>
          <w:p w14:paraId="1D87C415"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Borders>
              <w:top w:val="nil"/>
              <w:bottom w:val="nil"/>
            </w:tcBorders>
            <w:vAlign w:val="bottom"/>
          </w:tcPr>
          <w:p w14:paraId="7C7A2B86"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top w:val="nil"/>
              <w:bottom w:val="nil"/>
            </w:tcBorders>
          </w:tcPr>
          <w:p w14:paraId="75E4A1F9"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top w:val="nil"/>
              <w:bottom w:val="nil"/>
            </w:tcBorders>
            <w:shd w:val="clear" w:color="auto" w:fill="auto"/>
            <w:noWrap/>
            <w:vAlign w:val="bottom"/>
          </w:tcPr>
          <w:p w14:paraId="5F26B5AE" w14:textId="77777777" w:rsidR="000040B2" w:rsidRPr="00224BC5" w:rsidRDefault="000040B2" w:rsidP="001A5891">
            <w:pPr>
              <w:tabs>
                <w:tab w:val="decimal" w:pos="1276"/>
              </w:tabs>
              <w:spacing w:after="0" w:line="240" w:lineRule="auto"/>
              <w:rPr>
                <w:rFonts w:ascii="Arial" w:hAnsi="Arial" w:cs="Arial"/>
                <w:sz w:val="16"/>
                <w:szCs w:val="16"/>
              </w:rPr>
            </w:pPr>
            <w:r w:rsidRPr="00224BC5">
              <w:rPr>
                <w:rFonts w:ascii="Arial" w:hAnsi="Arial" w:cs="Arial"/>
                <w:sz w:val="16"/>
                <w:szCs w:val="16"/>
              </w:rPr>
              <w:t>40,002,890</w:t>
            </w:r>
          </w:p>
        </w:tc>
        <w:tc>
          <w:tcPr>
            <w:tcW w:w="160" w:type="dxa"/>
            <w:tcBorders>
              <w:top w:val="nil"/>
              <w:bottom w:val="nil"/>
            </w:tcBorders>
            <w:vAlign w:val="bottom"/>
          </w:tcPr>
          <w:p w14:paraId="6B14C786" w14:textId="77777777" w:rsidR="000040B2" w:rsidRPr="00224BC5" w:rsidRDefault="000040B2" w:rsidP="001A5891">
            <w:pPr>
              <w:spacing w:after="0" w:line="240" w:lineRule="auto"/>
              <w:rPr>
                <w:rFonts w:ascii="Arial" w:hAnsi="Arial" w:cs="Arial"/>
                <w:sz w:val="16"/>
                <w:szCs w:val="16"/>
              </w:rPr>
            </w:pPr>
          </w:p>
        </w:tc>
        <w:tc>
          <w:tcPr>
            <w:tcW w:w="1115" w:type="dxa"/>
            <w:tcBorders>
              <w:top w:val="nil"/>
              <w:bottom w:val="nil"/>
            </w:tcBorders>
            <w:shd w:val="clear" w:color="auto" w:fill="auto"/>
            <w:noWrap/>
            <w:vAlign w:val="bottom"/>
          </w:tcPr>
          <w:p w14:paraId="17374E6D" w14:textId="77777777" w:rsidR="000040B2" w:rsidRPr="00224BC5" w:rsidRDefault="000040B2" w:rsidP="001A5891">
            <w:pPr>
              <w:tabs>
                <w:tab w:val="decimal" w:pos="1276"/>
              </w:tabs>
              <w:spacing w:after="0" w:line="240" w:lineRule="auto"/>
              <w:rPr>
                <w:rFonts w:ascii="Arial" w:hAnsi="Arial" w:cs="Arial"/>
                <w:sz w:val="16"/>
                <w:szCs w:val="16"/>
              </w:rPr>
            </w:pPr>
            <w:r w:rsidRPr="00224BC5">
              <w:rPr>
                <w:rFonts w:ascii="Arial" w:hAnsi="Arial" w:cs="Arial"/>
                <w:sz w:val="16"/>
                <w:szCs w:val="16"/>
              </w:rPr>
              <w:t>36,856,054</w:t>
            </w:r>
          </w:p>
        </w:tc>
        <w:tc>
          <w:tcPr>
            <w:tcW w:w="161" w:type="dxa"/>
            <w:tcBorders>
              <w:top w:val="nil"/>
              <w:bottom w:val="nil"/>
            </w:tcBorders>
          </w:tcPr>
          <w:p w14:paraId="3FC8710E"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tcBorders>
              <w:top w:val="nil"/>
              <w:bottom w:val="nil"/>
            </w:tcBorders>
          </w:tcPr>
          <w:p w14:paraId="07A60E8A" w14:textId="77777777" w:rsidR="000040B2" w:rsidRPr="00224BC5" w:rsidRDefault="000040B2" w:rsidP="001A5891">
            <w:pPr>
              <w:tabs>
                <w:tab w:val="decimal" w:pos="1276"/>
              </w:tabs>
              <w:spacing w:after="0" w:line="240" w:lineRule="auto"/>
              <w:rPr>
                <w:rFonts w:ascii="Arial" w:hAnsi="Arial" w:cs="Arial"/>
                <w:sz w:val="16"/>
                <w:szCs w:val="16"/>
              </w:rPr>
            </w:pPr>
          </w:p>
        </w:tc>
      </w:tr>
      <w:tr w:rsidR="000040B2" w:rsidRPr="00224BC5" w14:paraId="7517F564" w14:textId="77777777" w:rsidTr="001A5891">
        <w:trPr>
          <w:trHeight w:val="283"/>
        </w:trPr>
        <w:tc>
          <w:tcPr>
            <w:tcW w:w="2410" w:type="dxa"/>
            <w:tcBorders>
              <w:top w:val="nil"/>
              <w:bottom w:val="nil"/>
            </w:tcBorders>
            <w:shd w:val="clear" w:color="auto" w:fill="auto"/>
            <w:noWrap/>
            <w:vAlign w:val="bottom"/>
          </w:tcPr>
          <w:p w14:paraId="77921FA2" w14:textId="77777777" w:rsidR="000040B2" w:rsidRPr="00224BC5" w:rsidRDefault="000040B2" w:rsidP="001A5891">
            <w:pPr>
              <w:spacing w:after="0" w:line="240" w:lineRule="auto"/>
              <w:ind w:left="-70"/>
              <w:rPr>
                <w:rFonts w:ascii="Arial" w:hAnsi="Arial" w:cs="Arial"/>
                <w:sz w:val="16"/>
                <w:szCs w:val="16"/>
                <w:u w:val="single"/>
              </w:rPr>
            </w:pPr>
          </w:p>
        </w:tc>
        <w:tc>
          <w:tcPr>
            <w:tcW w:w="160" w:type="dxa"/>
            <w:tcBorders>
              <w:top w:val="nil"/>
              <w:bottom w:val="nil"/>
            </w:tcBorders>
          </w:tcPr>
          <w:p w14:paraId="3BD47AC5"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1258" w:type="dxa"/>
            <w:tcBorders>
              <w:top w:val="nil"/>
              <w:bottom w:val="nil"/>
            </w:tcBorders>
            <w:vAlign w:val="bottom"/>
          </w:tcPr>
          <w:p w14:paraId="6176A737"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160" w:type="dxa"/>
            <w:tcBorders>
              <w:top w:val="nil"/>
              <w:bottom w:val="nil"/>
            </w:tcBorders>
          </w:tcPr>
          <w:p w14:paraId="1FF9C60B"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top w:val="nil"/>
              <w:bottom w:val="nil"/>
            </w:tcBorders>
            <w:shd w:val="clear" w:color="auto" w:fill="auto"/>
            <w:noWrap/>
            <w:vAlign w:val="bottom"/>
          </w:tcPr>
          <w:p w14:paraId="4C2F5E66"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top w:val="nil"/>
              <w:bottom w:val="nil"/>
            </w:tcBorders>
            <w:vAlign w:val="bottom"/>
          </w:tcPr>
          <w:p w14:paraId="5045570E" w14:textId="77777777" w:rsidR="000040B2" w:rsidRPr="00224BC5" w:rsidRDefault="000040B2" w:rsidP="001A5891">
            <w:pPr>
              <w:spacing w:after="0" w:line="240" w:lineRule="auto"/>
              <w:rPr>
                <w:rFonts w:ascii="Arial" w:hAnsi="Arial" w:cs="Arial"/>
                <w:sz w:val="16"/>
                <w:szCs w:val="16"/>
              </w:rPr>
            </w:pPr>
          </w:p>
        </w:tc>
        <w:tc>
          <w:tcPr>
            <w:tcW w:w="1115" w:type="dxa"/>
            <w:tcBorders>
              <w:top w:val="nil"/>
              <w:bottom w:val="nil"/>
            </w:tcBorders>
            <w:shd w:val="clear" w:color="auto" w:fill="auto"/>
            <w:noWrap/>
            <w:vAlign w:val="bottom"/>
          </w:tcPr>
          <w:p w14:paraId="0F29926D" w14:textId="77777777" w:rsidR="000040B2" w:rsidRPr="00224BC5" w:rsidRDefault="000040B2" w:rsidP="001A5891">
            <w:pPr>
              <w:tabs>
                <w:tab w:val="decimal" w:pos="1276"/>
              </w:tabs>
              <w:spacing w:after="0" w:line="240" w:lineRule="auto"/>
              <w:rPr>
                <w:rFonts w:ascii="Arial" w:hAnsi="Arial" w:cs="Arial"/>
                <w:sz w:val="16"/>
                <w:szCs w:val="16"/>
              </w:rPr>
            </w:pPr>
          </w:p>
        </w:tc>
        <w:tc>
          <w:tcPr>
            <w:tcW w:w="161" w:type="dxa"/>
            <w:tcBorders>
              <w:top w:val="nil"/>
              <w:bottom w:val="nil"/>
            </w:tcBorders>
          </w:tcPr>
          <w:p w14:paraId="48E30702"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tcBorders>
              <w:top w:val="nil"/>
              <w:bottom w:val="nil"/>
            </w:tcBorders>
          </w:tcPr>
          <w:p w14:paraId="4890C665" w14:textId="77777777" w:rsidR="000040B2" w:rsidRPr="00224BC5" w:rsidRDefault="000040B2" w:rsidP="001A5891">
            <w:pPr>
              <w:tabs>
                <w:tab w:val="decimal" w:pos="1276"/>
              </w:tabs>
              <w:spacing w:after="0" w:line="240" w:lineRule="auto"/>
              <w:rPr>
                <w:rFonts w:ascii="Arial" w:hAnsi="Arial" w:cs="Arial"/>
                <w:sz w:val="16"/>
                <w:szCs w:val="16"/>
              </w:rPr>
            </w:pPr>
          </w:p>
        </w:tc>
      </w:tr>
      <w:bookmarkEnd w:id="12"/>
      <w:tr w:rsidR="000040B2" w:rsidRPr="00224BC5" w14:paraId="75011965" w14:textId="77777777" w:rsidTr="001A5891">
        <w:trPr>
          <w:trHeight w:val="283"/>
        </w:trPr>
        <w:tc>
          <w:tcPr>
            <w:tcW w:w="2410" w:type="dxa"/>
            <w:tcBorders>
              <w:top w:val="nil"/>
            </w:tcBorders>
            <w:shd w:val="clear" w:color="auto" w:fill="auto"/>
            <w:noWrap/>
            <w:vAlign w:val="bottom"/>
          </w:tcPr>
          <w:p w14:paraId="0FFDD573" w14:textId="77777777" w:rsidR="000040B2" w:rsidRPr="00224BC5" w:rsidRDefault="000040B2" w:rsidP="001A5891">
            <w:pPr>
              <w:spacing w:after="0" w:line="240" w:lineRule="auto"/>
              <w:ind w:left="-70"/>
              <w:rPr>
                <w:rFonts w:ascii="Arial" w:hAnsi="Arial" w:cs="Arial"/>
                <w:i/>
                <w:iCs/>
                <w:sz w:val="16"/>
                <w:szCs w:val="16"/>
                <w:u w:val="single"/>
              </w:rPr>
            </w:pPr>
            <w:r w:rsidRPr="00224BC5">
              <w:rPr>
                <w:rFonts w:ascii="Arial" w:hAnsi="Arial" w:cs="Arial"/>
                <w:i/>
                <w:iCs/>
                <w:sz w:val="16"/>
                <w:szCs w:val="16"/>
                <w:u w:val="single"/>
              </w:rPr>
              <w:t>Asociadas</w:t>
            </w:r>
          </w:p>
        </w:tc>
        <w:tc>
          <w:tcPr>
            <w:tcW w:w="160" w:type="dxa"/>
            <w:tcBorders>
              <w:top w:val="nil"/>
            </w:tcBorders>
          </w:tcPr>
          <w:p w14:paraId="17F24AF0"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1258" w:type="dxa"/>
            <w:tcBorders>
              <w:top w:val="nil"/>
            </w:tcBorders>
            <w:vAlign w:val="bottom"/>
          </w:tcPr>
          <w:p w14:paraId="45318878"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160" w:type="dxa"/>
            <w:tcBorders>
              <w:top w:val="nil"/>
            </w:tcBorders>
          </w:tcPr>
          <w:p w14:paraId="184D2EAD"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top w:val="nil"/>
            </w:tcBorders>
            <w:shd w:val="clear" w:color="auto" w:fill="auto"/>
            <w:noWrap/>
            <w:vAlign w:val="bottom"/>
          </w:tcPr>
          <w:p w14:paraId="64045679"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top w:val="nil"/>
            </w:tcBorders>
            <w:vAlign w:val="bottom"/>
          </w:tcPr>
          <w:p w14:paraId="15763F92" w14:textId="77777777" w:rsidR="000040B2" w:rsidRPr="00224BC5" w:rsidRDefault="000040B2" w:rsidP="001A5891">
            <w:pPr>
              <w:spacing w:after="0" w:line="240" w:lineRule="auto"/>
              <w:rPr>
                <w:rFonts w:ascii="Arial" w:hAnsi="Arial" w:cs="Arial"/>
                <w:sz w:val="16"/>
                <w:szCs w:val="16"/>
              </w:rPr>
            </w:pPr>
          </w:p>
        </w:tc>
        <w:tc>
          <w:tcPr>
            <w:tcW w:w="1115" w:type="dxa"/>
            <w:tcBorders>
              <w:top w:val="nil"/>
            </w:tcBorders>
            <w:shd w:val="clear" w:color="auto" w:fill="auto"/>
            <w:noWrap/>
            <w:vAlign w:val="bottom"/>
          </w:tcPr>
          <w:p w14:paraId="74716ED2" w14:textId="77777777" w:rsidR="000040B2" w:rsidRPr="00224BC5" w:rsidRDefault="000040B2" w:rsidP="001A5891">
            <w:pPr>
              <w:tabs>
                <w:tab w:val="decimal" w:pos="1276"/>
              </w:tabs>
              <w:spacing w:after="0" w:line="240" w:lineRule="auto"/>
              <w:rPr>
                <w:rFonts w:ascii="Arial" w:hAnsi="Arial" w:cs="Arial"/>
                <w:sz w:val="16"/>
                <w:szCs w:val="16"/>
              </w:rPr>
            </w:pPr>
          </w:p>
        </w:tc>
        <w:tc>
          <w:tcPr>
            <w:tcW w:w="161" w:type="dxa"/>
            <w:tcBorders>
              <w:top w:val="nil"/>
            </w:tcBorders>
          </w:tcPr>
          <w:p w14:paraId="3EB563A1" w14:textId="77777777" w:rsidR="000040B2" w:rsidRPr="00224BC5" w:rsidRDefault="000040B2" w:rsidP="001A5891">
            <w:pPr>
              <w:tabs>
                <w:tab w:val="decimal" w:pos="1276"/>
              </w:tabs>
              <w:spacing w:after="0" w:line="240" w:lineRule="auto"/>
              <w:rPr>
                <w:rFonts w:ascii="Arial" w:hAnsi="Arial" w:cs="Arial"/>
                <w:sz w:val="16"/>
                <w:szCs w:val="16"/>
              </w:rPr>
            </w:pPr>
          </w:p>
        </w:tc>
        <w:tc>
          <w:tcPr>
            <w:tcW w:w="3525" w:type="dxa"/>
            <w:tcBorders>
              <w:top w:val="nil"/>
            </w:tcBorders>
          </w:tcPr>
          <w:p w14:paraId="4FBBDC59" w14:textId="77777777" w:rsidR="000040B2" w:rsidRPr="00224BC5" w:rsidRDefault="000040B2" w:rsidP="001A5891">
            <w:pPr>
              <w:tabs>
                <w:tab w:val="decimal" w:pos="1276"/>
              </w:tabs>
              <w:spacing w:after="0" w:line="240" w:lineRule="auto"/>
              <w:rPr>
                <w:rFonts w:ascii="Arial" w:hAnsi="Arial" w:cs="Arial"/>
                <w:sz w:val="16"/>
                <w:szCs w:val="16"/>
              </w:rPr>
            </w:pPr>
          </w:p>
        </w:tc>
      </w:tr>
      <w:tr w:rsidR="000040B2" w:rsidRPr="00224BC5" w14:paraId="42663572" w14:textId="77777777" w:rsidTr="001A5891">
        <w:trPr>
          <w:trHeight w:val="283"/>
        </w:trPr>
        <w:tc>
          <w:tcPr>
            <w:tcW w:w="2410" w:type="dxa"/>
            <w:shd w:val="clear" w:color="auto" w:fill="auto"/>
            <w:noWrap/>
            <w:vAlign w:val="center"/>
          </w:tcPr>
          <w:p w14:paraId="46383A71" w14:textId="77777777" w:rsidR="000040B2" w:rsidRPr="00224BC5" w:rsidRDefault="000040B2" w:rsidP="001A5891">
            <w:pPr>
              <w:spacing w:after="0" w:line="240" w:lineRule="auto"/>
              <w:ind w:left="-70"/>
              <w:rPr>
                <w:rFonts w:ascii="Arial" w:hAnsi="Arial" w:cs="Arial"/>
                <w:sz w:val="15"/>
                <w:szCs w:val="15"/>
                <w:u w:val="single"/>
                <w:lang w:val="en-US"/>
              </w:rPr>
            </w:pPr>
            <w:proofErr w:type="spellStart"/>
            <w:r w:rsidRPr="00224BC5">
              <w:rPr>
                <w:rFonts w:ascii="Arial" w:hAnsi="Arial" w:cs="Arial"/>
                <w:sz w:val="15"/>
                <w:szCs w:val="15"/>
                <w:lang w:val="en-US"/>
              </w:rPr>
              <w:t>Latam</w:t>
            </w:r>
            <w:proofErr w:type="spellEnd"/>
            <w:r w:rsidRPr="00224BC5">
              <w:rPr>
                <w:rFonts w:ascii="Arial" w:hAnsi="Arial" w:cs="Arial"/>
                <w:sz w:val="15"/>
                <w:szCs w:val="15"/>
                <w:lang w:val="en-US"/>
              </w:rPr>
              <w:t xml:space="preserve"> Fiber Home Cable </w:t>
            </w:r>
            <w:proofErr w:type="spellStart"/>
            <w:r w:rsidRPr="00224BC5">
              <w:rPr>
                <w:rFonts w:ascii="Arial" w:hAnsi="Arial" w:cs="Arial"/>
                <w:sz w:val="15"/>
                <w:szCs w:val="15"/>
                <w:lang w:val="en-US"/>
              </w:rPr>
              <w:t>Cia.Ltda</w:t>
            </w:r>
            <w:proofErr w:type="spellEnd"/>
            <w:r w:rsidRPr="00224BC5">
              <w:rPr>
                <w:rFonts w:ascii="Arial" w:hAnsi="Arial" w:cs="Arial"/>
                <w:sz w:val="15"/>
                <w:szCs w:val="15"/>
                <w:lang w:val="en-US"/>
              </w:rPr>
              <w:t>.</w:t>
            </w:r>
          </w:p>
        </w:tc>
        <w:tc>
          <w:tcPr>
            <w:tcW w:w="160" w:type="dxa"/>
          </w:tcPr>
          <w:p w14:paraId="7626D98A" w14:textId="77777777" w:rsidR="000040B2" w:rsidRPr="00224BC5" w:rsidRDefault="000040B2" w:rsidP="001A5891">
            <w:pPr>
              <w:tabs>
                <w:tab w:val="decimal" w:pos="1276"/>
              </w:tabs>
              <w:spacing w:after="0" w:line="240" w:lineRule="auto"/>
              <w:ind w:right="210"/>
              <w:jc w:val="center"/>
              <w:rPr>
                <w:rFonts w:ascii="Arial" w:hAnsi="Arial" w:cs="Arial"/>
                <w:sz w:val="16"/>
                <w:szCs w:val="16"/>
                <w:lang w:val="en-US"/>
              </w:rPr>
            </w:pPr>
          </w:p>
        </w:tc>
        <w:tc>
          <w:tcPr>
            <w:tcW w:w="1258" w:type="dxa"/>
            <w:vAlign w:val="center"/>
          </w:tcPr>
          <w:p w14:paraId="4B7470D4" w14:textId="77777777" w:rsidR="000040B2" w:rsidRPr="00224BC5" w:rsidRDefault="000040B2" w:rsidP="001A5891">
            <w:pPr>
              <w:tabs>
                <w:tab w:val="decimal" w:pos="1276"/>
              </w:tabs>
              <w:spacing w:after="0" w:line="240" w:lineRule="auto"/>
              <w:ind w:right="210"/>
              <w:jc w:val="center"/>
              <w:rPr>
                <w:rFonts w:ascii="Arial" w:hAnsi="Arial" w:cs="Arial"/>
                <w:sz w:val="16"/>
                <w:szCs w:val="16"/>
                <w:lang w:val="en-US"/>
              </w:rPr>
            </w:pPr>
            <w:r w:rsidRPr="00224BC5">
              <w:rPr>
                <w:rFonts w:ascii="Arial" w:hAnsi="Arial" w:cs="Arial"/>
                <w:sz w:val="16"/>
                <w:szCs w:val="16"/>
              </w:rPr>
              <w:t>49.00%</w:t>
            </w:r>
          </w:p>
        </w:tc>
        <w:tc>
          <w:tcPr>
            <w:tcW w:w="160" w:type="dxa"/>
          </w:tcPr>
          <w:p w14:paraId="4D194BDB"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shd w:val="clear" w:color="auto" w:fill="auto"/>
            <w:noWrap/>
            <w:vAlign w:val="center"/>
          </w:tcPr>
          <w:p w14:paraId="5E7FFE67" w14:textId="77777777" w:rsidR="000040B2" w:rsidRPr="00224BC5" w:rsidRDefault="000040B2" w:rsidP="001A5891">
            <w:pPr>
              <w:tabs>
                <w:tab w:val="decimal" w:pos="764"/>
              </w:tabs>
              <w:spacing w:after="0" w:line="240" w:lineRule="auto"/>
              <w:jc w:val="center"/>
              <w:rPr>
                <w:rFonts w:ascii="Arial" w:hAnsi="Arial" w:cs="Arial"/>
                <w:sz w:val="16"/>
                <w:szCs w:val="16"/>
              </w:rPr>
            </w:pPr>
            <w:r w:rsidRPr="00224BC5">
              <w:rPr>
                <w:rFonts w:ascii="Arial" w:hAnsi="Arial" w:cs="Arial"/>
                <w:sz w:val="16"/>
                <w:szCs w:val="16"/>
                <w:lang w:val="en-US"/>
              </w:rPr>
              <w:t>3,675,000</w:t>
            </w:r>
          </w:p>
        </w:tc>
        <w:tc>
          <w:tcPr>
            <w:tcW w:w="160" w:type="dxa"/>
            <w:vAlign w:val="center"/>
          </w:tcPr>
          <w:p w14:paraId="6F4F9A32" w14:textId="77777777" w:rsidR="000040B2" w:rsidRPr="00224BC5" w:rsidRDefault="000040B2" w:rsidP="001A5891">
            <w:pPr>
              <w:spacing w:after="0" w:line="240" w:lineRule="auto"/>
              <w:jc w:val="center"/>
              <w:rPr>
                <w:rFonts w:ascii="Arial" w:hAnsi="Arial" w:cs="Arial"/>
                <w:sz w:val="16"/>
                <w:szCs w:val="16"/>
              </w:rPr>
            </w:pPr>
          </w:p>
        </w:tc>
        <w:tc>
          <w:tcPr>
            <w:tcW w:w="1115" w:type="dxa"/>
            <w:shd w:val="clear" w:color="auto" w:fill="auto"/>
            <w:noWrap/>
            <w:vAlign w:val="center"/>
          </w:tcPr>
          <w:p w14:paraId="5BDB55C4" w14:textId="77777777" w:rsidR="000040B2" w:rsidRPr="00224BC5" w:rsidRDefault="000040B2" w:rsidP="001A5891">
            <w:pPr>
              <w:tabs>
                <w:tab w:val="decimal" w:pos="900"/>
              </w:tabs>
              <w:spacing w:after="0" w:line="240" w:lineRule="auto"/>
              <w:jc w:val="center"/>
              <w:rPr>
                <w:rFonts w:ascii="Arial" w:hAnsi="Arial" w:cs="Arial"/>
                <w:sz w:val="16"/>
                <w:szCs w:val="16"/>
              </w:rPr>
            </w:pPr>
            <w:r w:rsidRPr="00224BC5">
              <w:rPr>
                <w:rFonts w:ascii="Arial" w:hAnsi="Arial" w:cs="Arial"/>
                <w:sz w:val="16"/>
                <w:szCs w:val="16"/>
                <w:lang w:val="en-US"/>
              </w:rPr>
              <w:t>3,675,000</w:t>
            </w:r>
          </w:p>
        </w:tc>
        <w:tc>
          <w:tcPr>
            <w:tcW w:w="161" w:type="dxa"/>
            <w:vAlign w:val="center"/>
          </w:tcPr>
          <w:p w14:paraId="087625BC" w14:textId="77777777" w:rsidR="000040B2" w:rsidRPr="00224BC5" w:rsidRDefault="000040B2" w:rsidP="001A5891">
            <w:pPr>
              <w:tabs>
                <w:tab w:val="decimal" w:pos="1276"/>
              </w:tabs>
              <w:spacing w:after="0" w:line="240" w:lineRule="auto"/>
              <w:jc w:val="center"/>
              <w:rPr>
                <w:rFonts w:ascii="Arial" w:hAnsi="Arial" w:cs="Arial"/>
                <w:sz w:val="16"/>
                <w:szCs w:val="16"/>
                <w:lang w:val="en-US"/>
              </w:rPr>
            </w:pPr>
          </w:p>
        </w:tc>
        <w:tc>
          <w:tcPr>
            <w:tcW w:w="3525" w:type="dxa"/>
            <w:vAlign w:val="center"/>
          </w:tcPr>
          <w:p w14:paraId="3792557E"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Fabricación de cables de fibra óptica para la </w:t>
            </w:r>
          </w:p>
          <w:p w14:paraId="03E6A575"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transmisión de imágenes en directo.</w:t>
            </w:r>
          </w:p>
        </w:tc>
      </w:tr>
      <w:tr w:rsidR="000040B2" w:rsidRPr="00224BC5" w14:paraId="1119697C" w14:textId="77777777" w:rsidTr="008D384F">
        <w:trPr>
          <w:trHeight w:val="283"/>
        </w:trPr>
        <w:tc>
          <w:tcPr>
            <w:tcW w:w="2410" w:type="dxa"/>
            <w:shd w:val="clear" w:color="auto" w:fill="auto"/>
            <w:noWrap/>
            <w:vAlign w:val="center"/>
          </w:tcPr>
          <w:p w14:paraId="661D3C3D" w14:textId="679AC2D8" w:rsidR="000040B2" w:rsidRPr="008D384F" w:rsidRDefault="000040B2" w:rsidP="001A5891">
            <w:pPr>
              <w:spacing w:after="0" w:line="240" w:lineRule="auto"/>
              <w:ind w:left="-70"/>
              <w:rPr>
                <w:rFonts w:ascii="Arial" w:hAnsi="Arial" w:cs="Arial"/>
                <w:sz w:val="16"/>
                <w:szCs w:val="16"/>
              </w:rPr>
            </w:pPr>
            <w:r w:rsidRPr="008D384F">
              <w:rPr>
                <w:rFonts w:ascii="Arial" w:hAnsi="Arial" w:cs="Arial"/>
                <w:sz w:val="16"/>
                <w:szCs w:val="16"/>
              </w:rPr>
              <w:t xml:space="preserve">Security Data </w:t>
            </w:r>
            <w:r w:rsidR="00173C43" w:rsidRPr="008D384F">
              <w:rPr>
                <w:rFonts w:ascii="Arial" w:hAnsi="Arial" w:cs="Arial"/>
                <w:sz w:val="16"/>
                <w:szCs w:val="16"/>
              </w:rPr>
              <w:t xml:space="preserve">Seguridad </w:t>
            </w:r>
            <w:r w:rsidR="008D384F" w:rsidRPr="008D384F">
              <w:rPr>
                <w:rFonts w:ascii="Arial" w:hAnsi="Arial" w:cs="Arial"/>
                <w:sz w:val="16"/>
                <w:szCs w:val="16"/>
              </w:rPr>
              <w:t xml:space="preserve">en </w:t>
            </w:r>
            <w:r w:rsidR="008D384F">
              <w:rPr>
                <w:rFonts w:ascii="Arial" w:hAnsi="Arial" w:cs="Arial"/>
                <w:sz w:val="16"/>
                <w:szCs w:val="16"/>
              </w:rPr>
              <w:t>D</w:t>
            </w:r>
            <w:r w:rsidR="008D384F" w:rsidRPr="008D384F">
              <w:rPr>
                <w:rFonts w:ascii="Arial" w:hAnsi="Arial" w:cs="Arial"/>
                <w:sz w:val="16"/>
                <w:szCs w:val="16"/>
              </w:rPr>
              <w:t xml:space="preserve">atos </w:t>
            </w:r>
            <w:r w:rsidR="008D384F">
              <w:rPr>
                <w:rFonts w:ascii="Arial" w:hAnsi="Arial" w:cs="Arial"/>
                <w:sz w:val="16"/>
                <w:szCs w:val="16"/>
              </w:rPr>
              <w:t xml:space="preserve">y Firma Digital </w:t>
            </w:r>
            <w:r w:rsidRPr="008D384F">
              <w:rPr>
                <w:rFonts w:ascii="Arial" w:hAnsi="Arial" w:cs="Arial"/>
                <w:sz w:val="16"/>
                <w:szCs w:val="16"/>
              </w:rPr>
              <w:t>S.A.</w:t>
            </w:r>
          </w:p>
        </w:tc>
        <w:tc>
          <w:tcPr>
            <w:tcW w:w="160" w:type="dxa"/>
          </w:tcPr>
          <w:p w14:paraId="0A9CEA99" w14:textId="77777777" w:rsidR="000040B2" w:rsidRPr="008D384F" w:rsidRDefault="000040B2" w:rsidP="001A5891">
            <w:pPr>
              <w:tabs>
                <w:tab w:val="decimal" w:pos="1276"/>
              </w:tabs>
              <w:spacing w:after="0" w:line="240" w:lineRule="auto"/>
              <w:ind w:right="210"/>
              <w:jc w:val="center"/>
              <w:rPr>
                <w:rFonts w:ascii="Arial" w:hAnsi="Arial" w:cs="Arial"/>
                <w:sz w:val="16"/>
                <w:szCs w:val="16"/>
              </w:rPr>
            </w:pPr>
          </w:p>
        </w:tc>
        <w:tc>
          <w:tcPr>
            <w:tcW w:w="1258" w:type="dxa"/>
            <w:vAlign w:val="center"/>
          </w:tcPr>
          <w:p w14:paraId="40E09B6A" w14:textId="77777777" w:rsidR="000040B2" w:rsidRPr="00224BC5" w:rsidRDefault="000040B2" w:rsidP="001A5891">
            <w:pPr>
              <w:tabs>
                <w:tab w:val="decimal" w:pos="1276"/>
              </w:tabs>
              <w:spacing w:after="0" w:line="240" w:lineRule="auto"/>
              <w:ind w:right="210"/>
              <w:jc w:val="center"/>
              <w:rPr>
                <w:rFonts w:ascii="Arial" w:hAnsi="Arial" w:cs="Arial"/>
                <w:sz w:val="16"/>
                <w:szCs w:val="16"/>
                <w:lang w:val="en-US"/>
              </w:rPr>
            </w:pPr>
            <w:r w:rsidRPr="00224BC5">
              <w:rPr>
                <w:rFonts w:ascii="Arial" w:hAnsi="Arial" w:cs="Arial"/>
                <w:sz w:val="16"/>
                <w:szCs w:val="16"/>
                <w:lang w:val="en-US"/>
              </w:rPr>
              <w:t>40.00%</w:t>
            </w:r>
          </w:p>
        </w:tc>
        <w:tc>
          <w:tcPr>
            <w:tcW w:w="160" w:type="dxa"/>
          </w:tcPr>
          <w:p w14:paraId="03B71551"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bottom w:val="nil"/>
            </w:tcBorders>
            <w:shd w:val="clear" w:color="auto" w:fill="auto"/>
            <w:noWrap/>
            <w:vAlign w:val="center"/>
          </w:tcPr>
          <w:p w14:paraId="21B975CE" w14:textId="77777777" w:rsidR="000040B2" w:rsidRPr="00224BC5" w:rsidRDefault="000040B2" w:rsidP="001A5891">
            <w:pPr>
              <w:tabs>
                <w:tab w:val="decimal" w:pos="764"/>
              </w:tabs>
              <w:spacing w:after="0" w:line="240" w:lineRule="auto"/>
              <w:jc w:val="center"/>
              <w:rPr>
                <w:rFonts w:ascii="Arial" w:hAnsi="Arial" w:cs="Arial"/>
                <w:sz w:val="16"/>
                <w:szCs w:val="16"/>
                <w:lang w:val="en-US"/>
              </w:rPr>
            </w:pPr>
            <w:r w:rsidRPr="00224BC5">
              <w:rPr>
                <w:rFonts w:ascii="Arial" w:hAnsi="Arial" w:cs="Arial"/>
                <w:sz w:val="16"/>
                <w:szCs w:val="16"/>
                <w:lang w:val="en-US"/>
              </w:rPr>
              <w:t>84,000</w:t>
            </w:r>
          </w:p>
        </w:tc>
        <w:tc>
          <w:tcPr>
            <w:tcW w:w="160" w:type="dxa"/>
            <w:tcBorders>
              <w:bottom w:val="nil"/>
            </w:tcBorders>
            <w:vAlign w:val="center"/>
          </w:tcPr>
          <w:p w14:paraId="62E92E36" w14:textId="77777777" w:rsidR="000040B2" w:rsidRPr="00224BC5" w:rsidRDefault="000040B2" w:rsidP="001A5891">
            <w:pPr>
              <w:spacing w:after="0" w:line="240" w:lineRule="auto"/>
              <w:jc w:val="center"/>
              <w:rPr>
                <w:rFonts w:ascii="Arial" w:hAnsi="Arial" w:cs="Arial"/>
                <w:sz w:val="16"/>
                <w:szCs w:val="16"/>
                <w:lang w:val="en-US"/>
              </w:rPr>
            </w:pPr>
          </w:p>
        </w:tc>
        <w:tc>
          <w:tcPr>
            <w:tcW w:w="1115" w:type="dxa"/>
            <w:tcBorders>
              <w:bottom w:val="nil"/>
            </w:tcBorders>
            <w:shd w:val="clear" w:color="auto" w:fill="auto"/>
            <w:noWrap/>
            <w:vAlign w:val="center"/>
          </w:tcPr>
          <w:p w14:paraId="269EA74F" w14:textId="77777777" w:rsidR="000040B2" w:rsidRPr="00224BC5" w:rsidRDefault="000040B2" w:rsidP="001A5891">
            <w:pPr>
              <w:tabs>
                <w:tab w:val="decimal" w:pos="900"/>
              </w:tabs>
              <w:spacing w:after="0" w:line="240" w:lineRule="auto"/>
              <w:jc w:val="center"/>
              <w:rPr>
                <w:rFonts w:ascii="Arial" w:hAnsi="Arial" w:cs="Arial"/>
                <w:sz w:val="16"/>
                <w:szCs w:val="16"/>
                <w:lang w:val="en-US"/>
              </w:rPr>
            </w:pPr>
            <w:r w:rsidRPr="00224BC5">
              <w:rPr>
                <w:rFonts w:ascii="Arial" w:hAnsi="Arial" w:cs="Arial"/>
                <w:sz w:val="16"/>
                <w:szCs w:val="16"/>
                <w:lang w:val="en-US"/>
              </w:rPr>
              <w:t>84,000</w:t>
            </w:r>
          </w:p>
        </w:tc>
        <w:tc>
          <w:tcPr>
            <w:tcW w:w="161" w:type="dxa"/>
            <w:vAlign w:val="center"/>
          </w:tcPr>
          <w:p w14:paraId="2F854570" w14:textId="77777777" w:rsidR="000040B2" w:rsidRPr="00224BC5" w:rsidRDefault="000040B2" w:rsidP="001A5891">
            <w:pPr>
              <w:tabs>
                <w:tab w:val="decimal" w:pos="1276"/>
              </w:tabs>
              <w:spacing w:after="0" w:line="240" w:lineRule="auto"/>
              <w:jc w:val="center"/>
              <w:rPr>
                <w:rFonts w:ascii="Arial" w:hAnsi="Arial" w:cs="Arial"/>
                <w:sz w:val="16"/>
                <w:szCs w:val="16"/>
                <w:lang w:val="en-US"/>
              </w:rPr>
            </w:pPr>
          </w:p>
        </w:tc>
        <w:tc>
          <w:tcPr>
            <w:tcW w:w="3525" w:type="dxa"/>
            <w:vAlign w:val="center"/>
          </w:tcPr>
          <w:p w14:paraId="26C594F5"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Certificaciones digitales y de firmas </w:t>
            </w:r>
          </w:p>
          <w:p w14:paraId="04F0487C"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electrónicas.</w:t>
            </w:r>
          </w:p>
        </w:tc>
      </w:tr>
      <w:tr w:rsidR="000040B2" w:rsidRPr="00224BC5" w14:paraId="5974C814" w14:textId="77777777" w:rsidTr="008D384F">
        <w:trPr>
          <w:trHeight w:val="283"/>
        </w:trPr>
        <w:tc>
          <w:tcPr>
            <w:tcW w:w="2410" w:type="dxa"/>
            <w:shd w:val="clear" w:color="auto" w:fill="auto"/>
            <w:noWrap/>
            <w:vAlign w:val="center"/>
          </w:tcPr>
          <w:p w14:paraId="16F06283" w14:textId="77777777" w:rsidR="000040B2" w:rsidRPr="00224BC5" w:rsidRDefault="000040B2" w:rsidP="001A5891">
            <w:pPr>
              <w:spacing w:after="0" w:line="240" w:lineRule="auto"/>
              <w:ind w:left="-70"/>
              <w:rPr>
                <w:rFonts w:ascii="Arial" w:hAnsi="Arial" w:cs="Arial"/>
                <w:sz w:val="16"/>
                <w:szCs w:val="16"/>
                <w:lang w:val="en-US"/>
              </w:rPr>
            </w:pPr>
            <w:proofErr w:type="spellStart"/>
            <w:r w:rsidRPr="00224BC5">
              <w:rPr>
                <w:rFonts w:ascii="Arial" w:hAnsi="Arial" w:cs="Arial"/>
                <w:sz w:val="16"/>
                <w:szCs w:val="16"/>
                <w:lang w:val="en-US"/>
              </w:rPr>
              <w:t>Otros</w:t>
            </w:r>
            <w:proofErr w:type="spellEnd"/>
          </w:p>
        </w:tc>
        <w:tc>
          <w:tcPr>
            <w:tcW w:w="160" w:type="dxa"/>
          </w:tcPr>
          <w:p w14:paraId="1EFFF25D" w14:textId="77777777" w:rsidR="000040B2" w:rsidRPr="00224BC5" w:rsidRDefault="000040B2" w:rsidP="001A5891">
            <w:pPr>
              <w:tabs>
                <w:tab w:val="decimal" w:pos="1276"/>
              </w:tabs>
              <w:spacing w:after="0" w:line="240" w:lineRule="auto"/>
              <w:ind w:right="210"/>
              <w:jc w:val="center"/>
              <w:rPr>
                <w:rFonts w:ascii="Arial" w:hAnsi="Arial" w:cs="Arial"/>
                <w:sz w:val="16"/>
                <w:szCs w:val="16"/>
                <w:lang w:val="en-US"/>
              </w:rPr>
            </w:pPr>
          </w:p>
        </w:tc>
        <w:tc>
          <w:tcPr>
            <w:tcW w:w="1258" w:type="dxa"/>
            <w:vAlign w:val="center"/>
          </w:tcPr>
          <w:p w14:paraId="5C01AB28" w14:textId="77777777" w:rsidR="000040B2" w:rsidRPr="00224BC5" w:rsidRDefault="000040B2" w:rsidP="001A5891">
            <w:pPr>
              <w:tabs>
                <w:tab w:val="decimal" w:pos="1276"/>
              </w:tabs>
              <w:spacing w:after="0" w:line="240" w:lineRule="auto"/>
              <w:ind w:right="210"/>
              <w:jc w:val="center"/>
              <w:rPr>
                <w:rFonts w:ascii="Arial" w:hAnsi="Arial" w:cs="Arial"/>
                <w:sz w:val="16"/>
                <w:szCs w:val="16"/>
                <w:lang w:val="en-US"/>
              </w:rPr>
            </w:pPr>
            <w:r w:rsidRPr="00224BC5">
              <w:rPr>
                <w:rFonts w:ascii="Arial" w:hAnsi="Arial" w:cs="Arial"/>
                <w:sz w:val="16"/>
                <w:szCs w:val="16"/>
                <w:lang w:val="en-US"/>
              </w:rPr>
              <w:t>40.00%</w:t>
            </w:r>
          </w:p>
        </w:tc>
        <w:tc>
          <w:tcPr>
            <w:tcW w:w="160" w:type="dxa"/>
          </w:tcPr>
          <w:p w14:paraId="47100169" w14:textId="77777777" w:rsidR="000040B2" w:rsidRPr="00224BC5" w:rsidRDefault="000040B2" w:rsidP="001A5891">
            <w:pPr>
              <w:tabs>
                <w:tab w:val="decimal" w:pos="1276"/>
              </w:tabs>
              <w:spacing w:after="0" w:line="240" w:lineRule="auto"/>
              <w:rPr>
                <w:rFonts w:ascii="Arial" w:hAnsi="Arial" w:cs="Arial"/>
                <w:sz w:val="16"/>
                <w:szCs w:val="16"/>
                <w:lang w:val="en-US"/>
              </w:rPr>
            </w:pPr>
          </w:p>
        </w:tc>
        <w:tc>
          <w:tcPr>
            <w:tcW w:w="974" w:type="dxa"/>
            <w:tcBorders>
              <w:bottom w:val="single" w:sz="6" w:space="0" w:color="auto"/>
            </w:tcBorders>
            <w:shd w:val="clear" w:color="auto" w:fill="auto"/>
            <w:noWrap/>
            <w:vAlign w:val="center"/>
          </w:tcPr>
          <w:p w14:paraId="4C12F7DA" w14:textId="77777777" w:rsidR="000040B2" w:rsidRPr="00224BC5" w:rsidRDefault="000040B2" w:rsidP="001A5891">
            <w:pPr>
              <w:tabs>
                <w:tab w:val="decimal" w:pos="764"/>
              </w:tabs>
              <w:spacing w:after="0" w:line="240" w:lineRule="auto"/>
              <w:jc w:val="center"/>
              <w:rPr>
                <w:rFonts w:ascii="Arial" w:hAnsi="Arial" w:cs="Arial"/>
                <w:sz w:val="16"/>
                <w:szCs w:val="16"/>
                <w:lang w:val="en-US"/>
              </w:rPr>
            </w:pPr>
            <w:r w:rsidRPr="00224BC5">
              <w:rPr>
                <w:rFonts w:ascii="Arial" w:hAnsi="Arial" w:cs="Arial"/>
                <w:sz w:val="16"/>
                <w:szCs w:val="16"/>
                <w:lang w:val="en-US"/>
              </w:rPr>
              <w:t>9,500</w:t>
            </w:r>
          </w:p>
        </w:tc>
        <w:tc>
          <w:tcPr>
            <w:tcW w:w="160" w:type="dxa"/>
            <w:tcBorders>
              <w:bottom w:val="nil"/>
            </w:tcBorders>
            <w:vAlign w:val="center"/>
          </w:tcPr>
          <w:p w14:paraId="0EBB56D1" w14:textId="77777777" w:rsidR="000040B2" w:rsidRPr="00224BC5" w:rsidRDefault="000040B2" w:rsidP="001A5891">
            <w:pPr>
              <w:spacing w:after="0" w:line="240" w:lineRule="auto"/>
              <w:jc w:val="center"/>
              <w:rPr>
                <w:rFonts w:ascii="Arial" w:hAnsi="Arial" w:cs="Arial"/>
                <w:sz w:val="16"/>
                <w:szCs w:val="16"/>
                <w:lang w:val="en-US"/>
              </w:rPr>
            </w:pPr>
          </w:p>
        </w:tc>
        <w:tc>
          <w:tcPr>
            <w:tcW w:w="1115" w:type="dxa"/>
            <w:tcBorders>
              <w:bottom w:val="single" w:sz="6" w:space="0" w:color="auto"/>
            </w:tcBorders>
            <w:shd w:val="clear" w:color="auto" w:fill="auto"/>
            <w:noWrap/>
            <w:vAlign w:val="center"/>
          </w:tcPr>
          <w:p w14:paraId="43FE43A0" w14:textId="77777777" w:rsidR="000040B2" w:rsidRPr="00224BC5" w:rsidRDefault="000040B2" w:rsidP="001A5891">
            <w:pPr>
              <w:tabs>
                <w:tab w:val="decimal" w:pos="900"/>
              </w:tabs>
              <w:spacing w:after="0" w:line="240" w:lineRule="auto"/>
              <w:jc w:val="center"/>
              <w:rPr>
                <w:rFonts w:ascii="Arial" w:hAnsi="Arial" w:cs="Arial"/>
                <w:sz w:val="16"/>
                <w:szCs w:val="16"/>
                <w:lang w:val="en-US"/>
              </w:rPr>
            </w:pPr>
            <w:r w:rsidRPr="00224BC5">
              <w:rPr>
                <w:rFonts w:ascii="Arial" w:hAnsi="Arial" w:cs="Arial"/>
                <w:sz w:val="16"/>
                <w:szCs w:val="16"/>
                <w:lang w:val="en-US"/>
              </w:rPr>
              <w:t>9,500</w:t>
            </w:r>
          </w:p>
        </w:tc>
        <w:tc>
          <w:tcPr>
            <w:tcW w:w="161" w:type="dxa"/>
            <w:vAlign w:val="center"/>
          </w:tcPr>
          <w:p w14:paraId="0C7537B5" w14:textId="77777777" w:rsidR="000040B2" w:rsidRPr="00224BC5" w:rsidRDefault="000040B2" w:rsidP="001A5891">
            <w:pPr>
              <w:tabs>
                <w:tab w:val="decimal" w:pos="1276"/>
              </w:tabs>
              <w:spacing w:after="0" w:line="240" w:lineRule="auto"/>
              <w:jc w:val="center"/>
              <w:rPr>
                <w:rFonts w:ascii="Arial" w:hAnsi="Arial" w:cs="Arial"/>
                <w:sz w:val="16"/>
                <w:szCs w:val="16"/>
                <w:lang w:val="en-US"/>
              </w:rPr>
            </w:pPr>
          </w:p>
        </w:tc>
        <w:tc>
          <w:tcPr>
            <w:tcW w:w="3525" w:type="dxa"/>
            <w:vAlign w:val="center"/>
          </w:tcPr>
          <w:p w14:paraId="07E6C16C"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Actividades relacionadas con el análisis, </w:t>
            </w:r>
          </w:p>
          <w:p w14:paraId="3A96F539"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diseño y programación de sistemas </w:t>
            </w:r>
          </w:p>
          <w:p w14:paraId="4C4A4CE5" w14:textId="77777777" w:rsidR="000040B2" w:rsidRPr="00224BC5" w:rsidRDefault="000040B2" w:rsidP="001A5891">
            <w:pPr>
              <w:tabs>
                <w:tab w:val="decimal" w:pos="771"/>
              </w:tabs>
              <w:spacing w:after="0" w:line="240" w:lineRule="auto"/>
              <w:rPr>
                <w:rFonts w:ascii="Arial" w:hAnsi="Arial" w:cs="Arial"/>
                <w:sz w:val="16"/>
                <w:szCs w:val="16"/>
              </w:rPr>
            </w:pPr>
            <w:r w:rsidRPr="00224BC5">
              <w:rPr>
                <w:rFonts w:ascii="Arial" w:hAnsi="Arial" w:cs="Arial"/>
                <w:sz w:val="16"/>
                <w:szCs w:val="16"/>
              </w:rPr>
              <w:t xml:space="preserve">   informáticos.</w:t>
            </w:r>
          </w:p>
        </w:tc>
      </w:tr>
      <w:tr w:rsidR="000040B2" w:rsidRPr="00224BC5" w14:paraId="3628D048" w14:textId="77777777" w:rsidTr="008D384F">
        <w:trPr>
          <w:trHeight w:val="44"/>
        </w:trPr>
        <w:tc>
          <w:tcPr>
            <w:tcW w:w="2410" w:type="dxa"/>
            <w:shd w:val="clear" w:color="auto" w:fill="auto"/>
            <w:noWrap/>
            <w:vAlign w:val="bottom"/>
          </w:tcPr>
          <w:p w14:paraId="702C8DC4" w14:textId="77777777" w:rsidR="000040B2" w:rsidRPr="00224BC5" w:rsidRDefault="000040B2" w:rsidP="001A5891">
            <w:pPr>
              <w:spacing w:after="0" w:line="240" w:lineRule="auto"/>
              <w:ind w:left="-70"/>
              <w:rPr>
                <w:rFonts w:ascii="Arial" w:hAnsi="Arial" w:cs="Arial"/>
                <w:sz w:val="16"/>
                <w:szCs w:val="16"/>
              </w:rPr>
            </w:pPr>
          </w:p>
        </w:tc>
        <w:tc>
          <w:tcPr>
            <w:tcW w:w="160" w:type="dxa"/>
          </w:tcPr>
          <w:p w14:paraId="7847849F"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Pr>
          <w:p w14:paraId="6AB7C1AB"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Pr>
          <w:p w14:paraId="268DAB58"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tcBorders>
              <w:top w:val="single" w:sz="6" w:space="0" w:color="auto"/>
            </w:tcBorders>
            <w:shd w:val="clear" w:color="auto" w:fill="auto"/>
            <w:noWrap/>
            <w:vAlign w:val="center"/>
          </w:tcPr>
          <w:p w14:paraId="23F309DD" w14:textId="77777777" w:rsidR="000040B2" w:rsidRPr="00224BC5" w:rsidRDefault="000040B2" w:rsidP="001A5891">
            <w:pPr>
              <w:tabs>
                <w:tab w:val="decimal" w:pos="764"/>
              </w:tabs>
              <w:spacing w:after="0" w:line="240" w:lineRule="auto"/>
              <w:jc w:val="center"/>
              <w:rPr>
                <w:rFonts w:ascii="Arial" w:hAnsi="Arial" w:cs="Arial"/>
                <w:sz w:val="16"/>
                <w:szCs w:val="16"/>
              </w:rPr>
            </w:pPr>
          </w:p>
        </w:tc>
        <w:tc>
          <w:tcPr>
            <w:tcW w:w="160" w:type="dxa"/>
            <w:tcBorders>
              <w:top w:val="nil"/>
            </w:tcBorders>
            <w:vAlign w:val="center"/>
          </w:tcPr>
          <w:p w14:paraId="3DCE3448" w14:textId="77777777" w:rsidR="000040B2" w:rsidRPr="00224BC5" w:rsidRDefault="000040B2" w:rsidP="001A5891">
            <w:pPr>
              <w:spacing w:after="0" w:line="240" w:lineRule="auto"/>
              <w:jc w:val="center"/>
              <w:rPr>
                <w:rFonts w:ascii="Arial" w:hAnsi="Arial" w:cs="Arial"/>
                <w:sz w:val="16"/>
                <w:szCs w:val="16"/>
              </w:rPr>
            </w:pPr>
          </w:p>
        </w:tc>
        <w:tc>
          <w:tcPr>
            <w:tcW w:w="1115" w:type="dxa"/>
            <w:tcBorders>
              <w:top w:val="single" w:sz="6" w:space="0" w:color="auto"/>
            </w:tcBorders>
            <w:shd w:val="clear" w:color="auto" w:fill="auto"/>
            <w:noWrap/>
            <w:vAlign w:val="center"/>
          </w:tcPr>
          <w:p w14:paraId="2AB8958F" w14:textId="77777777" w:rsidR="000040B2" w:rsidRPr="00224BC5" w:rsidRDefault="000040B2" w:rsidP="001A5891">
            <w:pPr>
              <w:tabs>
                <w:tab w:val="decimal" w:pos="900"/>
              </w:tabs>
              <w:spacing w:after="0" w:line="240" w:lineRule="auto"/>
              <w:jc w:val="center"/>
              <w:rPr>
                <w:rFonts w:ascii="Arial" w:hAnsi="Arial" w:cs="Arial"/>
                <w:sz w:val="16"/>
                <w:szCs w:val="16"/>
              </w:rPr>
            </w:pPr>
          </w:p>
        </w:tc>
        <w:tc>
          <w:tcPr>
            <w:tcW w:w="161" w:type="dxa"/>
            <w:vAlign w:val="center"/>
          </w:tcPr>
          <w:p w14:paraId="064E5BE8"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vAlign w:val="center"/>
          </w:tcPr>
          <w:p w14:paraId="0728754D" w14:textId="77777777" w:rsidR="000040B2" w:rsidRPr="00224BC5" w:rsidRDefault="000040B2" w:rsidP="001A5891">
            <w:pPr>
              <w:tabs>
                <w:tab w:val="decimal" w:pos="771"/>
              </w:tabs>
              <w:spacing w:after="0" w:line="240" w:lineRule="auto"/>
              <w:rPr>
                <w:rFonts w:ascii="Arial" w:hAnsi="Arial" w:cs="Arial"/>
                <w:sz w:val="16"/>
                <w:szCs w:val="16"/>
              </w:rPr>
            </w:pPr>
          </w:p>
        </w:tc>
      </w:tr>
      <w:tr w:rsidR="000040B2" w:rsidRPr="00224BC5" w14:paraId="7B255077" w14:textId="77777777" w:rsidTr="001A5891">
        <w:trPr>
          <w:trHeight w:val="247"/>
        </w:trPr>
        <w:tc>
          <w:tcPr>
            <w:tcW w:w="2410" w:type="dxa"/>
            <w:shd w:val="clear" w:color="auto" w:fill="auto"/>
            <w:noWrap/>
            <w:vAlign w:val="bottom"/>
          </w:tcPr>
          <w:p w14:paraId="56CB34AB"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Subtotal asociadas</w:t>
            </w:r>
          </w:p>
        </w:tc>
        <w:tc>
          <w:tcPr>
            <w:tcW w:w="160" w:type="dxa"/>
          </w:tcPr>
          <w:p w14:paraId="4CB06E25"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Pr>
          <w:p w14:paraId="277E5C1B"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Pr>
          <w:p w14:paraId="35A04968"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shd w:val="clear" w:color="auto" w:fill="auto"/>
            <w:noWrap/>
            <w:vAlign w:val="center"/>
          </w:tcPr>
          <w:p w14:paraId="612CED33" w14:textId="77777777" w:rsidR="000040B2" w:rsidRPr="00224BC5" w:rsidRDefault="000040B2" w:rsidP="001A5891">
            <w:pPr>
              <w:tabs>
                <w:tab w:val="decimal" w:pos="764"/>
              </w:tabs>
              <w:spacing w:after="0" w:line="240" w:lineRule="auto"/>
              <w:jc w:val="center"/>
              <w:rPr>
                <w:rFonts w:ascii="Arial" w:hAnsi="Arial" w:cs="Arial"/>
                <w:sz w:val="16"/>
                <w:szCs w:val="16"/>
              </w:rPr>
            </w:pPr>
            <w:r w:rsidRPr="00224BC5">
              <w:rPr>
                <w:rFonts w:ascii="Arial" w:hAnsi="Arial" w:cs="Arial"/>
                <w:sz w:val="16"/>
                <w:szCs w:val="16"/>
              </w:rPr>
              <w:t>3,768,500</w:t>
            </w:r>
          </w:p>
        </w:tc>
        <w:tc>
          <w:tcPr>
            <w:tcW w:w="160" w:type="dxa"/>
            <w:vAlign w:val="center"/>
          </w:tcPr>
          <w:p w14:paraId="1394B63D" w14:textId="77777777" w:rsidR="000040B2" w:rsidRPr="00224BC5" w:rsidRDefault="000040B2" w:rsidP="001A5891">
            <w:pPr>
              <w:spacing w:after="0" w:line="240" w:lineRule="auto"/>
              <w:jc w:val="center"/>
              <w:rPr>
                <w:rFonts w:ascii="Arial" w:hAnsi="Arial" w:cs="Arial"/>
                <w:sz w:val="16"/>
                <w:szCs w:val="16"/>
              </w:rPr>
            </w:pPr>
          </w:p>
        </w:tc>
        <w:tc>
          <w:tcPr>
            <w:tcW w:w="1115" w:type="dxa"/>
            <w:shd w:val="clear" w:color="auto" w:fill="auto"/>
            <w:noWrap/>
            <w:vAlign w:val="center"/>
          </w:tcPr>
          <w:p w14:paraId="4B200D8A" w14:textId="77777777" w:rsidR="000040B2" w:rsidRPr="00224BC5" w:rsidRDefault="000040B2" w:rsidP="001A5891">
            <w:pPr>
              <w:tabs>
                <w:tab w:val="decimal" w:pos="900"/>
              </w:tabs>
              <w:spacing w:after="0" w:line="240" w:lineRule="auto"/>
              <w:jc w:val="center"/>
              <w:rPr>
                <w:rFonts w:ascii="Arial" w:hAnsi="Arial" w:cs="Arial"/>
                <w:sz w:val="16"/>
                <w:szCs w:val="16"/>
              </w:rPr>
            </w:pPr>
            <w:r w:rsidRPr="00224BC5">
              <w:rPr>
                <w:rFonts w:ascii="Arial" w:hAnsi="Arial" w:cs="Arial"/>
                <w:sz w:val="16"/>
                <w:szCs w:val="16"/>
              </w:rPr>
              <w:t>3,768,500</w:t>
            </w:r>
          </w:p>
        </w:tc>
        <w:tc>
          <w:tcPr>
            <w:tcW w:w="161" w:type="dxa"/>
            <w:vAlign w:val="center"/>
          </w:tcPr>
          <w:p w14:paraId="27B436A2"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vAlign w:val="center"/>
          </w:tcPr>
          <w:p w14:paraId="47A0B3FA" w14:textId="77777777" w:rsidR="000040B2" w:rsidRPr="00224BC5" w:rsidRDefault="000040B2" w:rsidP="001A5891">
            <w:pPr>
              <w:tabs>
                <w:tab w:val="decimal" w:pos="1276"/>
              </w:tabs>
              <w:spacing w:after="0" w:line="240" w:lineRule="auto"/>
              <w:jc w:val="center"/>
              <w:rPr>
                <w:rFonts w:ascii="Arial" w:hAnsi="Arial" w:cs="Arial"/>
                <w:sz w:val="16"/>
                <w:szCs w:val="16"/>
              </w:rPr>
            </w:pPr>
          </w:p>
        </w:tc>
      </w:tr>
      <w:tr w:rsidR="000040B2" w:rsidRPr="00224BC5" w14:paraId="23960DC4" w14:textId="77777777" w:rsidTr="008D384F">
        <w:trPr>
          <w:trHeight w:val="151"/>
        </w:trPr>
        <w:tc>
          <w:tcPr>
            <w:tcW w:w="2410" w:type="dxa"/>
            <w:shd w:val="clear" w:color="auto" w:fill="auto"/>
            <w:noWrap/>
            <w:vAlign w:val="bottom"/>
          </w:tcPr>
          <w:p w14:paraId="618CCC7B" w14:textId="77777777" w:rsidR="000040B2" w:rsidRPr="00224BC5" w:rsidRDefault="000040B2" w:rsidP="001A5891">
            <w:pPr>
              <w:spacing w:after="0" w:line="240" w:lineRule="auto"/>
              <w:ind w:left="-70"/>
              <w:rPr>
                <w:rFonts w:ascii="Arial" w:hAnsi="Arial" w:cs="Arial"/>
                <w:sz w:val="16"/>
                <w:szCs w:val="16"/>
              </w:rPr>
            </w:pPr>
          </w:p>
        </w:tc>
        <w:tc>
          <w:tcPr>
            <w:tcW w:w="160" w:type="dxa"/>
          </w:tcPr>
          <w:p w14:paraId="718D7035"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Pr>
          <w:p w14:paraId="5A16A62D"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Pr>
          <w:p w14:paraId="31F1EF2E"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tcBorders>
              <w:bottom w:val="nil"/>
            </w:tcBorders>
            <w:shd w:val="clear" w:color="auto" w:fill="auto"/>
            <w:noWrap/>
            <w:vAlign w:val="center"/>
          </w:tcPr>
          <w:p w14:paraId="29718198"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160" w:type="dxa"/>
            <w:tcBorders>
              <w:bottom w:val="nil"/>
            </w:tcBorders>
            <w:vAlign w:val="center"/>
          </w:tcPr>
          <w:p w14:paraId="02855B72" w14:textId="77777777" w:rsidR="000040B2" w:rsidRPr="00224BC5" w:rsidRDefault="000040B2" w:rsidP="001A5891">
            <w:pPr>
              <w:spacing w:after="0" w:line="240" w:lineRule="auto"/>
              <w:jc w:val="center"/>
              <w:rPr>
                <w:rFonts w:ascii="Arial" w:hAnsi="Arial" w:cs="Arial"/>
                <w:sz w:val="16"/>
                <w:szCs w:val="16"/>
              </w:rPr>
            </w:pPr>
          </w:p>
        </w:tc>
        <w:tc>
          <w:tcPr>
            <w:tcW w:w="1115" w:type="dxa"/>
            <w:tcBorders>
              <w:bottom w:val="nil"/>
            </w:tcBorders>
            <w:shd w:val="clear" w:color="auto" w:fill="auto"/>
            <w:noWrap/>
            <w:vAlign w:val="center"/>
          </w:tcPr>
          <w:p w14:paraId="5111D2DE"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161" w:type="dxa"/>
            <w:vAlign w:val="center"/>
          </w:tcPr>
          <w:p w14:paraId="33D3802B"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vAlign w:val="center"/>
          </w:tcPr>
          <w:p w14:paraId="53E8C338" w14:textId="77777777" w:rsidR="000040B2" w:rsidRPr="00224BC5" w:rsidRDefault="000040B2" w:rsidP="001A5891">
            <w:pPr>
              <w:tabs>
                <w:tab w:val="decimal" w:pos="1276"/>
              </w:tabs>
              <w:spacing w:after="0" w:line="240" w:lineRule="auto"/>
              <w:jc w:val="center"/>
              <w:rPr>
                <w:rFonts w:ascii="Arial" w:hAnsi="Arial" w:cs="Arial"/>
                <w:sz w:val="16"/>
                <w:szCs w:val="16"/>
              </w:rPr>
            </w:pPr>
          </w:p>
        </w:tc>
      </w:tr>
      <w:tr w:rsidR="000040B2" w:rsidRPr="00224BC5" w14:paraId="5DA09665" w14:textId="77777777" w:rsidTr="008D384F">
        <w:trPr>
          <w:trHeight w:val="197"/>
        </w:trPr>
        <w:tc>
          <w:tcPr>
            <w:tcW w:w="2410" w:type="dxa"/>
            <w:shd w:val="clear" w:color="auto" w:fill="auto"/>
            <w:noWrap/>
            <w:vAlign w:val="bottom"/>
          </w:tcPr>
          <w:p w14:paraId="4E9AEA8C"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 xml:space="preserve">Deterioro </w:t>
            </w:r>
            <w:r w:rsidRPr="00224BC5">
              <w:rPr>
                <w:rFonts w:ascii="Arial" w:hAnsi="Arial" w:cs="Arial"/>
                <w:b/>
                <w:bCs/>
                <w:sz w:val="16"/>
                <w:szCs w:val="16"/>
              </w:rPr>
              <w:t xml:space="preserve">(2) </w:t>
            </w:r>
          </w:p>
        </w:tc>
        <w:tc>
          <w:tcPr>
            <w:tcW w:w="160" w:type="dxa"/>
          </w:tcPr>
          <w:p w14:paraId="2824EE9A"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Pr>
          <w:p w14:paraId="2BE25972"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Pr>
          <w:p w14:paraId="258E398A"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tcBorders>
              <w:bottom w:val="single" w:sz="6" w:space="0" w:color="auto"/>
            </w:tcBorders>
            <w:shd w:val="clear" w:color="auto" w:fill="auto"/>
            <w:noWrap/>
            <w:vAlign w:val="center"/>
          </w:tcPr>
          <w:p w14:paraId="5C4235C7" w14:textId="77777777" w:rsidR="000040B2" w:rsidRPr="00224BC5" w:rsidRDefault="000040B2" w:rsidP="001A5891">
            <w:pPr>
              <w:tabs>
                <w:tab w:val="decimal" w:pos="1276"/>
              </w:tabs>
              <w:spacing w:after="0" w:line="240" w:lineRule="auto"/>
              <w:jc w:val="center"/>
              <w:rPr>
                <w:rFonts w:ascii="Arial" w:hAnsi="Arial" w:cs="Arial"/>
                <w:sz w:val="16"/>
                <w:szCs w:val="16"/>
              </w:rPr>
            </w:pPr>
            <w:r w:rsidRPr="00224BC5">
              <w:rPr>
                <w:rFonts w:ascii="Arial" w:hAnsi="Arial" w:cs="Arial"/>
                <w:sz w:val="16"/>
                <w:szCs w:val="16"/>
              </w:rPr>
              <w:t>(1,606,183)</w:t>
            </w:r>
          </w:p>
        </w:tc>
        <w:tc>
          <w:tcPr>
            <w:tcW w:w="160" w:type="dxa"/>
            <w:tcBorders>
              <w:bottom w:val="nil"/>
            </w:tcBorders>
            <w:vAlign w:val="center"/>
          </w:tcPr>
          <w:p w14:paraId="7315FA8B" w14:textId="77777777" w:rsidR="000040B2" w:rsidRPr="00224BC5" w:rsidRDefault="000040B2" w:rsidP="001A5891">
            <w:pPr>
              <w:spacing w:after="0" w:line="240" w:lineRule="auto"/>
              <w:jc w:val="center"/>
              <w:rPr>
                <w:rFonts w:ascii="Arial" w:hAnsi="Arial" w:cs="Arial"/>
                <w:sz w:val="16"/>
                <w:szCs w:val="16"/>
              </w:rPr>
            </w:pPr>
          </w:p>
        </w:tc>
        <w:tc>
          <w:tcPr>
            <w:tcW w:w="1115" w:type="dxa"/>
            <w:tcBorders>
              <w:bottom w:val="single" w:sz="6" w:space="0" w:color="auto"/>
            </w:tcBorders>
            <w:shd w:val="clear" w:color="auto" w:fill="auto"/>
            <w:noWrap/>
            <w:vAlign w:val="center"/>
          </w:tcPr>
          <w:p w14:paraId="2D398BE0" w14:textId="77777777" w:rsidR="000040B2" w:rsidRPr="00224BC5" w:rsidRDefault="000040B2" w:rsidP="001A5891">
            <w:pPr>
              <w:tabs>
                <w:tab w:val="decimal" w:pos="1276"/>
              </w:tabs>
              <w:spacing w:after="0" w:line="240" w:lineRule="auto"/>
              <w:jc w:val="center"/>
              <w:rPr>
                <w:rFonts w:ascii="Arial" w:hAnsi="Arial" w:cs="Arial"/>
                <w:sz w:val="16"/>
                <w:szCs w:val="16"/>
              </w:rPr>
            </w:pPr>
            <w:r w:rsidRPr="00224BC5">
              <w:rPr>
                <w:rFonts w:ascii="Arial" w:hAnsi="Arial" w:cs="Arial"/>
                <w:sz w:val="16"/>
                <w:szCs w:val="16"/>
              </w:rPr>
              <w:t>(1,606,183)</w:t>
            </w:r>
          </w:p>
        </w:tc>
        <w:tc>
          <w:tcPr>
            <w:tcW w:w="161" w:type="dxa"/>
            <w:vAlign w:val="center"/>
          </w:tcPr>
          <w:p w14:paraId="13B7E113"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vAlign w:val="center"/>
          </w:tcPr>
          <w:p w14:paraId="1042616F" w14:textId="77777777" w:rsidR="000040B2" w:rsidRPr="00224BC5" w:rsidRDefault="000040B2" w:rsidP="001A5891">
            <w:pPr>
              <w:tabs>
                <w:tab w:val="decimal" w:pos="1276"/>
              </w:tabs>
              <w:spacing w:after="0" w:line="240" w:lineRule="auto"/>
              <w:jc w:val="center"/>
              <w:rPr>
                <w:rFonts w:ascii="Arial" w:hAnsi="Arial" w:cs="Arial"/>
                <w:sz w:val="16"/>
                <w:szCs w:val="16"/>
              </w:rPr>
            </w:pPr>
          </w:p>
        </w:tc>
      </w:tr>
      <w:tr w:rsidR="000040B2" w:rsidRPr="00224BC5" w14:paraId="7686DF07" w14:textId="77777777" w:rsidTr="008D384F">
        <w:trPr>
          <w:trHeight w:val="201"/>
        </w:trPr>
        <w:tc>
          <w:tcPr>
            <w:tcW w:w="2410" w:type="dxa"/>
            <w:tcBorders>
              <w:bottom w:val="nil"/>
            </w:tcBorders>
            <w:shd w:val="clear" w:color="auto" w:fill="auto"/>
            <w:noWrap/>
            <w:vAlign w:val="bottom"/>
            <w:hideMark/>
          </w:tcPr>
          <w:p w14:paraId="74B68DEF" w14:textId="77777777" w:rsidR="000040B2" w:rsidRPr="00224BC5" w:rsidRDefault="000040B2" w:rsidP="001A5891">
            <w:pPr>
              <w:spacing w:after="0" w:line="240" w:lineRule="auto"/>
              <w:ind w:left="-70"/>
              <w:rPr>
                <w:rFonts w:ascii="Arial" w:hAnsi="Arial" w:cs="Arial"/>
                <w:sz w:val="16"/>
                <w:szCs w:val="16"/>
              </w:rPr>
            </w:pPr>
          </w:p>
        </w:tc>
        <w:tc>
          <w:tcPr>
            <w:tcW w:w="160" w:type="dxa"/>
            <w:tcBorders>
              <w:bottom w:val="nil"/>
            </w:tcBorders>
          </w:tcPr>
          <w:p w14:paraId="1A700396"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Borders>
              <w:bottom w:val="nil"/>
            </w:tcBorders>
          </w:tcPr>
          <w:p w14:paraId="56464B69"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bottom w:val="nil"/>
            </w:tcBorders>
          </w:tcPr>
          <w:p w14:paraId="61C7E4A4"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tcBorders>
              <w:top w:val="single" w:sz="6" w:space="0" w:color="auto"/>
              <w:bottom w:val="nil"/>
            </w:tcBorders>
            <w:shd w:val="clear" w:color="auto" w:fill="auto"/>
            <w:noWrap/>
            <w:vAlign w:val="center"/>
            <w:hideMark/>
          </w:tcPr>
          <w:p w14:paraId="4C9B5E30"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160" w:type="dxa"/>
            <w:tcBorders>
              <w:top w:val="nil"/>
              <w:bottom w:val="nil"/>
            </w:tcBorders>
            <w:vAlign w:val="center"/>
          </w:tcPr>
          <w:p w14:paraId="7F7945E1" w14:textId="77777777" w:rsidR="000040B2" w:rsidRPr="00224BC5" w:rsidRDefault="000040B2" w:rsidP="001A5891">
            <w:pPr>
              <w:spacing w:after="0" w:line="240" w:lineRule="auto"/>
              <w:jc w:val="center"/>
              <w:rPr>
                <w:rFonts w:ascii="Arial" w:hAnsi="Arial" w:cs="Arial"/>
                <w:sz w:val="16"/>
                <w:szCs w:val="16"/>
              </w:rPr>
            </w:pPr>
          </w:p>
        </w:tc>
        <w:tc>
          <w:tcPr>
            <w:tcW w:w="1115" w:type="dxa"/>
            <w:tcBorders>
              <w:top w:val="single" w:sz="6" w:space="0" w:color="auto"/>
              <w:bottom w:val="nil"/>
            </w:tcBorders>
            <w:shd w:val="clear" w:color="auto" w:fill="auto"/>
            <w:noWrap/>
            <w:vAlign w:val="center"/>
            <w:hideMark/>
          </w:tcPr>
          <w:p w14:paraId="6A7ABEE6"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161" w:type="dxa"/>
            <w:tcBorders>
              <w:bottom w:val="nil"/>
            </w:tcBorders>
            <w:vAlign w:val="center"/>
          </w:tcPr>
          <w:p w14:paraId="01FA68A2"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tcBorders>
              <w:bottom w:val="nil"/>
            </w:tcBorders>
            <w:vAlign w:val="center"/>
          </w:tcPr>
          <w:p w14:paraId="7E8CB19D" w14:textId="77777777" w:rsidR="000040B2" w:rsidRPr="00224BC5" w:rsidRDefault="000040B2" w:rsidP="001A5891">
            <w:pPr>
              <w:tabs>
                <w:tab w:val="decimal" w:pos="1276"/>
              </w:tabs>
              <w:spacing w:after="0" w:line="240" w:lineRule="auto"/>
              <w:jc w:val="center"/>
              <w:rPr>
                <w:rFonts w:ascii="Arial" w:hAnsi="Arial" w:cs="Arial"/>
                <w:sz w:val="16"/>
                <w:szCs w:val="16"/>
              </w:rPr>
            </w:pPr>
          </w:p>
        </w:tc>
      </w:tr>
      <w:tr w:rsidR="000040B2" w:rsidRPr="00224BC5" w14:paraId="3A736B7D" w14:textId="77777777" w:rsidTr="001A5891">
        <w:trPr>
          <w:trHeight w:val="150"/>
        </w:trPr>
        <w:tc>
          <w:tcPr>
            <w:tcW w:w="2410" w:type="dxa"/>
            <w:tcBorders>
              <w:bottom w:val="nil"/>
            </w:tcBorders>
            <w:shd w:val="clear" w:color="auto" w:fill="auto"/>
            <w:noWrap/>
            <w:vAlign w:val="bottom"/>
          </w:tcPr>
          <w:p w14:paraId="2F26FE37" w14:textId="77777777" w:rsidR="000040B2" w:rsidRPr="00224BC5" w:rsidRDefault="000040B2" w:rsidP="001A5891">
            <w:pPr>
              <w:spacing w:after="0" w:line="240" w:lineRule="auto"/>
              <w:ind w:left="-70"/>
              <w:rPr>
                <w:rFonts w:ascii="Arial" w:hAnsi="Arial" w:cs="Arial"/>
                <w:sz w:val="16"/>
                <w:szCs w:val="16"/>
              </w:rPr>
            </w:pPr>
            <w:r w:rsidRPr="00224BC5">
              <w:rPr>
                <w:rFonts w:ascii="Arial" w:hAnsi="Arial" w:cs="Arial"/>
                <w:sz w:val="16"/>
                <w:szCs w:val="16"/>
              </w:rPr>
              <w:t>Total</w:t>
            </w:r>
          </w:p>
        </w:tc>
        <w:tc>
          <w:tcPr>
            <w:tcW w:w="160" w:type="dxa"/>
            <w:tcBorders>
              <w:bottom w:val="nil"/>
            </w:tcBorders>
          </w:tcPr>
          <w:p w14:paraId="05F34266" w14:textId="77777777" w:rsidR="000040B2" w:rsidRPr="00224BC5" w:rsidRDefault="000040B2" w:rsidP="001A5891">
            <w:pPr>
              <w:tabs>
                <w:tab w:val="decimal" w:pos="1276"/>
              </w:tabs>
              <w:spacing w:after="0" w:line="240" w:lineRule="auto"/>
              <w:rPr>
                <w:rFonts w:ascii="Arial" w:hAnsi="Arial" w:cs="Arial"/>
                <w:sz w:val="16"/>
                <w:szCs w:val="16"/>
              </w:rPr>
            </w:pPr>
          </w:p>
        </w:tc>
        <w:tc>
          <w:tcPr>
            <w:tcW w:w="1258" w:type="dxa"/>
            <w:tcBorders>
              <w:bottom w:val="nil"/>
            </w:tcBorders>
          </w:tcPr>
          <w:p w14:paraId="6047024B" w14:textId="77777777" w:rsidR="000040B2" w:rsidRPr="00224BC5" w:rsidRDefault="000040B2" w:rsidP="001A5891">
            <w:pPr>
              <w:tabs>
                <w:tab w:val="decimal" w:pos="1276"/>
              </w:tabs>
              <w:spacing w:after="0" w:line="240" w:lineRule="auto"/>
              <w:rPr>
                <w:rFonts w:ascii="Arial" w:hAnsi="Arial" w:cs="Arial"/>
                <w:sz w:val="16"/>
                <w:szCs w:val="16"/>
              </w:rPr>
            </w:pPr>
          </w:p>
        </w:tc>
        <w:tc>
          <w:tcPr>
            <w:tcW w:w="160" w:type="dxa"/>
            <w:tcBorders>
              <w:bottom w:val="nil"/>
            </w:tcBorders>
          </w:tcPr>
          <w:p w14:paraId="1F2FDCC7" w14:textId="77777777" w:rsidR="000040B2" w:rsidRPr="00224BC5" w:rsidRDefault="000040B2" w:rsidP="001A5891">
            <w:pPr>
              <w:tabs>
                <w:tab w:val="decimal" w:pos="1276"/>
              </w:tabs>
              <w:spacing w:after="0" w:line="240" w:lineRule="auto"/>
              <w:rPr>
                <w:rFonts w:ascii="Arial" w:hAnsi="Arial" w:cs="Arial"/>
                <w:sz w:val="16"/>
                <w:szCs w:val="16"/>
              </w:rPr>
            </w:pPr>
          </w:p>
        </w:tc>
        <w:tc>
          <w:tcPr>
            <w:tcW w:w="974" w:type="dxa"/>
            <w:tcBorders>
              <w:bottom w:val="double" w:sz="4" w:space="0" w:color="auto"/>
            </w:tcBorders>
            <w:shd w:val="clear" w:color="auto" w:fill="auto"/>
            <w:noWrap/>
            <w:vAlign w:val="center"/>
          </w:tcPr>
          <w:p w14:paraId="0A35767E" w14:textId="77777777" w:rsidR="000040B2" w:rsidRPr="00224BC5" w:rsidRDefault="000040B2" w:rsidP="001A5891">
            <w:pPr>
              <w:tabs>
                <w:tab w:val="decimal" w:pos="622"/>
              </w:tabs>
              <w:spacing w:after="0" w:line="240" w:lineRule="auto"/>
              <w:rPr>
                <w:rFonts w:ascii="Arial" w:hAnsi="Arial" w:cs="Arial"/>
                <w:sz w:val="16"/>
                <w:szCs w:val="16"/>
              </w:rPr>
            </w:pPr>
            <w:r w:rsidRPr="00224BC5">
              <w:rPr>
                <w:rFonts w:ascii="Arial" w:hAnsi="Arial" w:cs="Arial"/>
                <w:sz w:val="16"/>
                <w:szCs w:val="16"/>
              </w:rPr>
              <w:t>42,165,</w:t>
            </w:r>
            <w:r w:rsidRPr="00224BC5">
              <w:rPr>
                <w:rFonts w:ascii="Arial" w:hAnsi="Arial" w:cs="Arial"/>
                <w:sz w:val="16"/>
                <w:szCs w:val="16"/>
                <w:lang w:val="en-US"/>
              </w:rPr>
              <w:t>207</w:t>
            </w:r>
          </w:p>
        </w:tc>
        <w:tc>
          <w:tcPr>
            <w:tcW w:w="160" w:type="dxa"/>
            <w:tcBorders>
              <w:bottom w:val="nil"/>
            </w:tcBorders>
            <w:vAlign w:val="center"/>
          </w:tcPr>
          <w:p w14:paraId="400F7C17" w14:textId="77777777" w:rsidR="000040B2" w:rsidRPr="00224BC5" w:rsidRDefault="000040B2" w:rsidP="001A5891">
            <w:pPr>
              <w:spacing w:after="0" w:line="240" w:lineRule="auto"/>
              <w:jc w:val="center"/>
              <w:rPr>
                <w:rFonts w:ascii="Arial" w:hAnsi="Arial" w:cs="Arial"/>
                <w:sz w:val="16"/>
                <w:szCs w:val="16"/>
              </w:rPr>
            </w:pPr>
          </w:p>
        </w:tc>
        <w:tc>
          <w:tcPr>
            <w:tcW w:w="1115" w:type="dxa"/>
            <w:tcBorders>
              <w:bottom w:val="double" w:sz="4" w:space="0" w:color="auto"/>
            </w:tcBorders>
            <w:shd w:val="clear" w:color="auto" w:fill="auto"/>
            <w:noWrap/>
            <w:vAlign w:val="center"/>
          </w:tcPr>
          <w:p w14:paraId="2D1860AA" w14:textId="77777777" w:rsidR="000040B2" w:rsidRPr="00224BC5" w:rsidRDefault="000040B2" w:rsidP="001A5891">
            <w:pPr>
              <w:tabs>
                <w:tab w:val="decimal" w:pos="900"/>
              </w:tabs>
              <w:spacing w:after="0" w:line="240" w:lineRule="auto"/>
              <w:jc w:val="center"/>
              <w:rPr>
                <w:rFonts w:ascii="Arial" w:hAnsi="Arial" w:cs="Arial"/>
                <w:sz w:val="16"/>
                <w:szCs w:val="16"/>
              </w:rPr>
            </w:pPr>
            <w:r w:rsidRPr="00224BC5">
              <w:rPr>
                <w:rFonts w:ascii="Arial" w:hAnsi="Arial" w:cs="Arial"/>
                <w:sz w:val="16"/>
                <w:szCs w:val="16"/>
              </w:rPr>
              <w:t>39,</w:t>
            </w:r>
            <w:r w:rsidRPr="00224BC5">
              <w:rPr>
                <w:rFonts w:ascii="Arial" w:hAnsi="Arial" w:cs="Arial"/>
                <w:sz w:val="16"/>
                <w:szCs w:val="16"/>
                <w:lang w:val="en-US"/>
              </w:rPr>
              <w:t>018</w:t>
            </w:r>
            <w:r w:rsidRPr="00224BC5">
              <w:rPr>
                <w:rFonts w:ascii="Arial" w:hAnsi="Arial" w:cs="Arial"/>
                <w:sz w:val="16"/>
                <w:szCs w:val="16"/>
              </w:rPr>
              <w:t>,371</w:t>
            </w:r>
          </w:p>
        </w:tc>
        <w:tc>
          <w:tcPr>
            <w:tcW w:w="161" w:type="dxa"/>
            <w:tcBorders>
              <w:bottom w:val="nil"/>
            </w:tcBorders>
            <w:vAlign w:val="center"/>
          </w:tcPr>
          <w:p w14:paraId="1B41193A" w14:textId="77777777" w:rsidR="000040B2" w:rsidRPr="00224BC5" w:rsidRDefault="000040B2" w:rsidP="001A5891">
            <w:pPr>
              <w:tabs>
                <w:tab w:val="decimal" w:pos="1276"/>
              </w:tabs>
              <w:spacing w:after="0" w:line="240" w:lineRule="auto"/>
              <w:jc w:val="center"/>
              <w:rPr>
                <w:rFonts w:ascii="Arial" w:hAnsi="Arial" w:cs="Arial"/>
                <w:sz w:val="16"/>
                <w:szCs w:val="16"/>
              </w:rPr>
            </w:pPr>
          </w:p>
        </w:tc>
        <w:tc>
          <w:tcPr>
            <w:tcW w:w="3525" w:type="dxa"/>
            <w:tcBorders>
              <w:bottom w:val="nil"/>
            </w:tcBorders>
            <w:vAlign w:val="center"/>
          </w:tcPr>
          <w:p w14:paraId="2B7173C7" w14:textId="77777777" w:rsidR="000040B2" w:rsidRPr="00224BC5" w:rsidRDefault="000040B2" w:rsidP="001A5891">
            <w:pPr>
              <w:tabs>
                <w:tab w:val="decimal" w:pos="1276"/>
              </w:tabs>
              <w:spacing w:after="0" w:line="240" w:lineRule="auto"/>
              <w:jc w:val="center"/>
              <w:rPr>
                <w:rFonts w:ascii="Arial" w:hAnsi="Arial" w:cs="Arial"/>
                <w:sz w:val="16"/>
                <w:szCs w:val="16"/>
              </w:rPr>
            </w:pPr>
          </w:p>
        </w:tc>
      </w:tr>
    </w:tbl>
    <w:p w14:paraId="716306AB" w14:textId="4D098012" w:rsidR="000040B2" w:rsidRDefault="000040B2" w:rsidP="006266C1">
      <w:pPr>
        <w:tabs>
          <w:tab w:val="left" w:pos="1276"/>
        </w:tabs>
        <w:spacing w:after="0" w:line="240" w:lineRule="auto"/>
        <w:ind w:left="567"/>
        <w:contextualSpacing/>
        <w:jc w:val="both"/>
        <w:rPr>
          <w:rFonts w:ascii="Arial" w:hAnsi="Arial" w:cs="Arial"/>
          <w:color w:val="000000" w:themeColor="text1"/>
          <w:sz w:val="20"/>
          <w:szCs w:val="20"/>
        </w:rPr>
      </w:pPr>
    </w:p>
    <w:p w14:paraId="137F1DAA" w14:textId="77777777" w:rsidR="00C952D0" w:rsidRPr="00224BC5" w:rsidRDefault="00C952D0" w:rsidP="00C952D0">
      <w:pPr>
        <w:spacing w:after="0" w:line="240" w:lineRule="auto"/>
        <w:ind w:left="567"/>
        <w:jc w:val="both"/>
        <w:rPr>
          <w:rFonts w:ascii="Arial" w:hAnsi="Arial" w:cs="Arial"/>
          <w:sz w:val="20"/>
          <w:szCs w:val="20"/>
        </w:rPr>
      </w:pPr>
      <w:r w:rsidRPr="00224BC5">
        <w:rPr>
          <w:rFonts w:ascii="Arial" w:hAnsi="Arial" w:cs="Arial"/>
          <w:sz w:val="20"/>
          <w:szCs w:val="20"/>
        </w:rPr>
        <w:t xml:space="preserve">Durante el </w:t>
      </w:r>
      <w:r w:rsidRPr="00224BC5">
        <w:rPr>
          <w:rFonts w:ascii="Arial" w:hAnsi="Arial" w:cs="Arial"/>
          <w:color w:val="000000" w:themeColor="text1"/>
          <w:sz w:val="20"/>
          <w:szCs w:val="20"/>
        </w:rPr>
        <w:t>año</w:t>
      </w:r>
      <w:r w:rsidRPr="00224BC5">
        <w:rPr>
          <w:rFonts w:ascii="Arial" w:hAnsi="Arial" w:cs="Arial"/>
          <w:sz w:val="20"/>
          <w:szCs w:val="20"/>
        </w:rPr>
        <w:t xml:space="preserve"> 2020:</w:t>
      </w:r>
    </w:p>
    <w:p w14:paraId="0EA1D0B0" w14:textId="77777777" w:rsidR="00C952D0" w:rsidRPr="00224BC5" w:rsidRDefault="00C952D0" w:rsidP="00C952D0">
      <w:pPr>
        <w:spacing w:after="0" w:line="240" w:lineRule="auto"/>
        <w:ind w:left="567"/>
        <w:jc w:val="both"/>
        <w:rPr>
          <w:rFonts w:ascii="Arial" w:hAnsi="Arial" w:cs="Arial"/>
          <w:b/>
          <w:bCs/>
          <w:sz w:val="14"/>
          <w:szCs w:val="14"/>
        </w:rPr>
      </w:pPr>
    </w:p>
    <w:p w14:paraId="70CF9FD0" w14:textId="77777777" w:rsidR="00C952D0" w:rsidRPr="00224BC5" w:rsidRDefault="00C952D0" w:rsidP="00C952D0">
      <w:pPr>
        <w:pStyle w:val="ListParagraph"/>
        <w:numPr>
          <w:ilvl w:val="0"/>
          <w:numId w:val="43"/>
        </w:numPr>
        <w:tabs>
          <w:tab w:val="left" w:pos="1276"/>
        </w:tabs>
        <w:spacing w:after="0" w:line="240" w:lineRule="auto"/>
        <w:jc w:val="both"/>
        <w:rPr>
          <w:rFonts w:ascii="Arial" w:hAnsi="Arial" w:cs="Arial"/>
          <w:b/>
          <w:bCs/>
          <w:sz w:val="20"/>
          <w:szCs w:val="20"/>
        </w:rPr>
      </w:pPr>
      <w:r w:rsidRPr="00224BC5">
        <w:rPr>
          <w:rFonts w:ascii="Arial" w:hAnsi="Arial" w:cs="Arial"/>
          <w:sz w:val="20"/>
          <w:szCs w:val="20"/>
        </w:rPr>
        <w:t>Corresponde a reclasificación que asciende a US$3.4 millones relacionado con cuentas por cobrar con Cable Andino Inc.</w:t>
      </w:r>
      <w:r w:rsidRPr="00224BC5">
        <w:rPr>
          <w:rFonts w:ascii="Arial" w:hAnsi="Arial" w:cs="Arial"/>
          <w:b/>
          <w:bCs/>
          <w:sz w:val="20"/>
          <w:szCs w:val="20"/>
        </w:rPr>
        <w:t xml:space="preserve"> </w:t>
      </w:r>
    </w:p>
    <w:p w14:paraId="6832F163" w14:textId="77777777" w:rsidR="00C952D0" w:rsidRPr="00224BC5" w:rsidRDefault="00C952D0" w:rsidP="00C952D0">
      <w:pPr>
        <w:pStyle w:val="ListParagraph"/>
        <w:tabs>
          <w:tab w:val="left" w:pos="1276"/>
        </w:tabs>
        <w:spacing w:after="0" w:line="240" w:lineRule="auto"/>
        <w:ind w:left="927"/>
        <w:jc w:val="both"/>
        <w:rPr>
          <w:rFonts w:ascii="Arial" w:hAnsi="Arial" w:cs="Arial"/>
          <w:b/>
          <w:bCs/>
          <w:sz w:val="14"/>
          <w:szCs w:val="14"/>
        </w:rPr>
      </w:pPr>
    </w:p>
    <w:p w14:paraId="07201497" w14:textId="1E510754" w:rsidR="00AA720C" w:rsidRDefault="00AA720C" w:rsidP="00C952D0">
      <w:pPr>
        <w:tabs>
          <w:tab w:val="left" w:pos="1276"/>
        </w:tabs>
        <w:spacing w:after="0" w:line="240" w:lineRule="auto"/>
        <w:ind w:left="567"/>
        <w:contextualSpacing/>
        <w:jc w:val="both"/>
        <w:rPr>
          <w:rFonts w:ascii="Arial" w:hAnsi="Arial" w:cs="Arial"/>
          <w:color w:val="000000" w:themeColor="text1"/>
          <w:sz w:val="20"/>
          <w:szCs w:val="20"/>
        </w:rPr>
      </w:pPr>
      <w:r w:rsidRPr="0084228E">
        <w:rPr>
          <w:rFonts w:ascii="Arial" w:hAnsi="Arial" w:cs="Arial"/>
          <w:sz w:val="20"/>
          <w:szCs w:val="20"/>
        </w:rPr>
        <w:t>La Compañía dejó de ser accionistas de las entidades subsidiarias en razón que se encuentran en procesos de liquidación. En el ejercicio económico anterior 2019</w:t>
      </w:r>
      <w:r>
        <w:rPr>
          <w:rFonts w:ascii="Arial" w:hAnsi="Arial" w:cs="Arial"/>
          <w:sz w:val="20"/>
          <w:szCs w:val="20"/>
        </w:rPr>
        <w:t xml:space="preserve"> </w:t>
      </w:r>
      <w:r w:rsidRPr="0084228E">
        <w:rPr>
          <w:rFonts w:ascii="Arial" w:hAnsi="Arial" w:cs="Arial"/>
          <w:sz w:val="20"/>
          <w:szCs w:val="20"/>
        </w:rPr>
        <w:t xml:space="preserve">los porcentajes de participación fueron como sigue: (a) </w:t>
      </w:r>
      <w:proofErr w:type="spellStart"/>
      <w:r w:rsidRPr="0084228E">
        <w:rPr>
          <w:rFonts w:ascii="Arial" w:hAnsi="Arial" w:cs="Arial"/>
          <w:sz w:val="20"/>
          <w:szCs w:val="20"/>
        </w:rPr>
        <w:t>Transtelco</w:t>
      </w:r>
      <w:proofErr w:type="spellEnd"/>
      <w:r w:rsidRPr="0084228E">
        <w:rPr>
          <w:rFonts w:ascii="Arial" w:hAnsi="Arial" w:cs="Arial"/>
          <w:sz w:val="20"/>
          <w:szCs w:val="20"/>
        </w:rPr>
        <w:t xml:space="preserve"> S.A. con el 68%;</w:t>
      </w:r>
      <w:r>
        <w:rPr>
          <w:rFonts w:ascii="Arial" w:hAnsi="Arial" w:cs="Arial"/>
          <w:sz w:val="20"/>
          <w:szCs w:val="20"/>
        </w:rPr>
        <w:t xml:space="preserve"> </w:t>
      </w:r>
      <w:r w:rsidRPr="0084228E">
        <w:rPr>
          <w:rFonts w:ascii="Arial" w:hAnsi="Arial" w:cs="Arial"/>
          <w:sz w:val="20"/>
          <w:szCs w:val="20"/>
        </w:rPr>
        <w:t xml:space="preserve">(b) </w:t>
      </w:r>
      <w:proofErr w:type="spellStart"/>
      <w:r w:rsidRPr="0084228E">
        <w:rPr>
          <w:rFonts w:ascii="Arial" w:hAnsi="Arial" w:cs="Arial"/>
          <w:sz w:val="20"/>
          <w:szCs w:val="20"/>
        </w:rPr>
        <w:t>Netspeed</w:t>
      </w:r>
      <w:proofErr w:type="spellEnd"/>
      <w:r w:rsidRPr="0084228E">
        <w:rPr>
          <w:rFonts w:ascii="Arial" w:hAnsi="Arial" w:cs="Arial"/>
          <w:sz w:val="20"/>
          <w:szCs w:val="20"/>
        </w:rPr>
        <w:t xml:space="preserve"> S.A. con el 50%; y (c) </w:t>
      </w:r>
      <w:proofErr w:type="spellStart"/>
      <w:r w:rsidRPr="0084228E">
        <w:rPr>
          <w:rFonts w:ascii="Arial" w:hAnsi="Arial" w:cs="Arial"/>
          <w:sz w:val="20"/>
          <w:szCs w:val="20"/>
        </w:rPr>
        <w:t>Econocompu</w:t>
      </w:r>
      <w:proofErr w:type="spellEnd"/>
      <w:r w:rsidRPr="0084228E">
        <w:rPr>
          <w:rFonts w:ascii="Arial" w:hAnsi="Arial" w:cs="Arial"/>
          <w:sz w:val="20"/>
          <w:szCs w:val="20"/>
        </w:rPr>
        <w:t xml:space="preserve"> S.A. con el 92.80%.</w:t>
      </w:r>
    </w:p>
    <w:p w14:paraId="65D403A6" w14:textId="77777777" w:rsidR="00AA720C" w:rsidRDefault="00AA720C" w:rsidP="00C952D0">
      <w:pPr>
        <w:tabs>
          <w:tab w:val="left" w:pos="1276"/>
        </w:tabs>
        <w:spacing w:after="0" w:line="240" w:lineRule="auto"/>
        <w:ind w:left="567"/>
        <w:contextualSpacing/>
        <w:jc w:val="both"/>
        <w:rPr>
          <w:rFonts w:ascii="Arial" w:hAnsi="Arial" w:cs="Arial"/>
          <w:color w:val="000000" w:themeColor="text1"/>
          <w:sz w:val="20"/>
          <w:szCs w:val="20"/>
        </w:rPr>
      </w:pPr>
    </w:p>
    <w:p w14:paraId="334BB3E5" w14:textId="22AA79E3" w:rsidR="008E71E1" w:rsidRDefault="00C952D0" w:rsidP="00C952D0">
      <w:pPr>
        <w:tabs>
          <w:tab w:val="left" w:pos="1276"/>
        </w:tabs>
        <w:spacing w:after="0" w:line="240" w:lineRule="auto"/>
        <w:ind w:left="567"/>
        <w:contextualSpacing/>
        <w:jc w:val="both"/>
        <w:rPr>
          <w:rFonts w:ascii="Arial" w:hAnsi="Arial" w:cs="Arial"/>
          <w:color w:val="000000" w:themeColor="text1"/>
          <w:sz w:val="20"/>
          <w:szCs w:val="20"/>
        </w:rPr>
      </w:pPr>
      <w:r w:rsidRPr="00224BC5">
        <w:rPr>
          <w:rFonts w:ascii="Arial" w:hAnsi="Arial" w:cs="Arial"/>
          <w:color w:val="000000" w:themeColor="text1"/>
          <w:sz w:val="20"/>
          <w:szCs w:val="20"/>
        </w:rPr>
        <w:t xml:space="preserve">La Compañía realizó un análisis y no se identificaron ajustes adicionales por deterioro en los estados financieros </w:t>
      </w:r>
      <w:r>
        <w:rPr>
          <w:rFonts w:ascii="Arial" w:hAnsi="Arial" w:cs="Arial"/>
          <w:color w:val="000000" w:themeColor="text1"/>
          <w:sz w:val="20"/>
          <w:szCs w:val="20"/>
        </w:rPr>
        <w:t>de Tel</w:t>
      </w:r>
      <w:r w:rsidR="00DD52E4">
        <w:rPr>
          <w:rFonts w:ascii="Arial" w:hAnsi="Arial" w:cs="Arial"/>
          <w:color w:val="000000" w:themeColor="text1"/>
          <w:sz w:val="20"/>
          <w:szCs w:val="20"/>
        </w:rPr>
        <w:t>c</w:t>
      </w:r>
      <w:r>
        <w:rPr>
          <w:rFonts w:ascii="Arial" w:hAnsi="Arial" w:cs="Arial"/>
          <w:color w:val="000000" w:themeColor="text1"/>
          <w:sz w:val="20"/>
          <w:szCs w:val="20"/>
        </w:rPr>
        <w:t>one</w:t>
      </w:r>
      <w:r w:rsidR="00DD52E4">
        <w:rPr>
          <w:rFonts w:ascii="Arial" w:hAnsi="Arial" w:cs="Arial"/>
          <w:color w:val="000000" w:themeColor="text1"/>
          <w:sz w:val="20"/>
          <w:szCs w:val="20"/>
        </w:rPr>
        <w:t>t</w:t>
      </w:r>
      <w:r>
        <w:rPr>
          <w:rFonts w:ascii="Arial" w:hAnsi="Arial" w:cs="Arial"/>
          <w:color w:val="000000" w:themeColor="text1"/>
          <w:sz w:val="20"/>
          <w:szCs w:val="20"/>
        </w:rPr>
        <w:t xml:space="preserve"> y su Compañía relacionada</w:t>
      </w:r>
      <w:r w:rsidRPr="00224BC5">
        <w:rPr>
          <w:rFonts w:ascii="Arial" w:hAnsi="Arial" w:cs="Arial"/>
          <w:color w:val="000000" w:themeColor="text1"/>
          <w:sz w:val="20"/>
          <w:szCs w:val="20"/>
        </w:rPr>
        <w:t xml:space="preserve"> sobre las inversiones en acciones en subsidiarias y asociadas que deban ser reconocidas con cargos a los resultados del año.</w:t>
      </w:r>
    </w:p>
    <w:p w14:paraId="691F495F" w14:textId="704EC23C" w:rsidR="00AA720C" w:rsidRDefault="00AA720C" w:rsidP="00C952D0">
      <w:pPr>
        <w:tabs>
          <w:tab w:val="left" w:pos="1276"/>
        </w:tabs>
        <w:spacing w:after="0" w:line="240" w:lineRule="auto"/>
        <w:ind w:left="567"/>
        <w:contextualSpacing/>
        <w:jc w:val="both"/>
        <w:rPr>
          <w:rFonts w:ascii="Arial" w:hAnsi="Arial" w:cs="Arial"/>
          <w:color w:val="000000" w:themeColor="text1"/>
          <w:sz w:val="20"/>
          <w:szCs w:val="20"/>
        </w:rPr>
      </w:pPr>
    </w:p>
    <w:p w14:paraId="4724A5DE" w14:textId="77777777" w:rsidR="00AA720C" w:rsidRPr="0084228E" w:rsidRDefault="00AA720C" w:rsidP="00AA720C">
      <w:pPr>
        <w:pStyle w:val="ListParagraph"/>
        <w:tabs>
          <w:tab w:val="left" w:pos="1276"/>
        </w:tabs>
        <w:spacing w:after="0" w:line="240" w:lineRule="auto"/>
        <w:ind w:left="567"/>
        <w:jc w:val="both"/>
        <w:rPr>
          <w:rFonts w:ascii="Arial" w:hAnsi="Arial" w:cs="Arial"/>
          <w:b/>
          <w:bCs/>
          <w:sz w:val="20"/>
          <w:szCs w:val="20"/>
        </w:rPr>
      </w:pPr>
      <w:r w:rsidRPr="0084228E">
        <w:rPr>
          <w:rFonts w:ascii="Arial" w:hAnsi="Arial" w:cs="Arial"/>
          <w:color w:val="000000" w:themeColor="text1"/>
          <w:sz w:val="20"/>
          <w:szCs w:val="20"/>
        </w:rPr>
        <w:t xml:space="preserve">Al 31 de diciembre del 2020, el saldo de deterioro de inversiones incluye principalmente lo siguiente: (a) </w:t>
      </w:r>
      <w:proofErr w:type="spellStart"/>
      <w:r w:rsidRPr="0084228E">
        <w:rPr>
          <w:rFonts w:ascii="Arial" w:hAnsi="Arial" w:cs="Arial"/>
          <w:color w:val="000000" w:themeColor="text1"/>
          <w:sz w:val="20"/>
          <w:szCs w:val="20"/>
        </w:rPr>
        <w:t>Transtelco</w:t>
      </w:r>
      <w:proofErr w:type="spellEnd"/>
      <w:r w:rsidRPr="0084228E">
        <w:rPr>
          <w:rFonts w:ascii="Arial" w:hAnsi="Arial" w:cs="Arial"/>
          <w:color w:val="000000" w:themeColor="text1"/>
          <w:sz w:val="20"/>
          <w:szCs w:val="20"/>
        </w:rPr>
        <w:t xml:space="preserve"> S.A. por US$943,459; (c) </w:t>
      </w:r>
      <w:proofErr w:type="spellStart"/>
      <w:r w:rsidRPr="0084228E">
        <w:rPr>
          <w:rFonts w:ascii="Arial" w:hAnsi="Arial" w:cs="Arial"/>
          <w:color w:val="000000" w:themeColor="text1"/>
          <w:sz w:val="20"/>
          <w:szCs w:val="20"/>
        </w:rPr>
        <w:t>Netspeed</w:t>
      </w:r>
      <w:proofErr w:type="spellEnd"/>
      <w:r w:rsidRPr="0084228E">
        <w:rPr>
          <w:rFonts w:ascii="Arial" w:hAnsi="Arial" w:cs="Arial"/>
          <w:color w:val="000000" w:themeColor="text1"/>
          <w:sz w:val="20"/>
          <w:szCs w:val="20"/>
        </w:rPr>
        <w:t xml:space="preserve"> S.A. por US$147,840; (c) </w:t>
      </w:r>
      <w:proofErr w:type="spellStart"/>
      <w:r w:rsidRPr="0084228E">
        <w:rPr>
          <w:rFonts w:ascii="Arial" w:hAnsi="Arial" w:cs="Arial"/>
          <w:color w:val="000000" w:themeColor="text1"/>
          <w:sz w:val="20"/>
          <w:szCs w:val="20"/>
        </w:rPr>
        <w:t>Econocompu</w:t>
      </w:r>
      <w:proofErr w:type="spellEnd"/>
      <w:r w:rsidRPr="0084228E">
        <w:rPr>
          <w:rFonts w:ascii="Arial" w:hAnsi="Arial" w:cs="Arial"/>
          <w:color w:val="000000" w:themeColor="text1"/>
          <w:sz w:val="20"/>
          <w:szCs w:val="20"/>
        </w:rPr>
        <w:t xml:space="preserve"> S.A. por US$140,952; y (d) Telsoterra S.A. por US$366,832 que corresponde el 20% del costo de la inversión.</w:t>
      </w:r>
    </w:p>
    <w:p w14:paraId="187E7A40" w14:textId="77777777" w:rsidR="00AA720C" w:rsidRPr="0074154F" w:rsidRDefault="00AA720C" w:rsidP="00C952D0">
      <w:pPr>
        <w:tabs>
          <w:tab w:val="left" w:pos="1276"/>
        </w:tabs>
        <w:spacing w:after="0" w:line="240" w:lineRule="auto"/>
        <w:ind w:left="567"/>
        <w:contextualSpacing/>
        <w:jc w:val="both"/>
        <w:rPr>
          <w:rFonts w:ascii="Arial" w:hAnsi="Arial" w:cs="Arial"/>
          <w:color w:val="000000" w:themeColor="text1"/>
          <w:sz w:val="20"/>
          <w:szCs w:val="20"/>
        </w:rPr>
      </w:pPr>
    </w:p>
    <w:p w14:paraId="76ED2FB7" w14:textId="77777777" w:rsidR="00264552" w:rsidRPr="0074154F" w:rsidRDefault="00264552" w:rsidP="00264552">
      <w:pPr>
        <w:pStyle w:val="ListParagraph"/>
        <w:spacing w:after="0" w:line="240" w:lineRule="auto"/>
        <w:ind w:left="993" w:right="-1"/>
        <w:contextualSpacing w:val="0"/>
        <w:jc w:val="both"/>
        <w:rPr>
          <w:rFonts w:ascii="Arial" w:hAnsi="Arial" w:cs="Arial"/>
          <w:sz w:val="18"/>
          <w:szCs w:val="18"/>
        </w:rPr>
      </w:pPr>
    </w:p>
    <w:p w14:paraId="44189466" w14:textId="7E01EB50" w:rsidR="00D63991" w:rsidRPr="0074154F" w:rsidRDefault="00D63991" w:rsidP="009348A9">
      <w:pPr>
        <w:spacing w:after="0"/>
        <w:ind w:left="567"/>
        <w:rPr>
          <w:rFonts w:ascii="Arial" w:hAnsi="Arial" w:cs="Arial"/>
          <w:sz w:val="2"/>
          <w:szCs w:val="2"/>
        </w:rPr>
      </w:pPr>
    </w:p>
    <w:p w14:paraId="2AAD493C" w14:textId="54DF4F4C" w:rsidR="00D63991" w:rsidRPr="0074154F" w:rsidRDefault="00D63991" w:rsidP="009348A9">
      <w:pPr>
        <w:spacing w:after="0"/>
        <w:ind w:left="567"/>
        <w:rPr>
          <w:rFonts w:ascii="Arial" w:hAnsi="Arial" w:cs="Arial"/>
          <w:sz w:val="4"/>
          <w:szCs w:val="4"/>
        </w:rPr>
      </w:pPr>
    </w:p>
    <w:p w14:paraId="15F201E9" w14:textId="77777777" w:rsidR="00D63991" w:rsidRPr="0074154F" w:rsidRDefault="00D63991" w:rsidP="009348A9">
      <w:pPr>
        <w:spacing w:after="0"/>
        <w:ind w:left="567"/>
        <w:rPr>
          <w:rFonts w:ascii="Arial" w:hAnsi="Arial" w:cs="Arial"/>
          <w:sz w:val="4"/>
          <w:szCs w:val="4"/>
        </w:rPr>
      </w:pPr>
    </w:p>
    <w:p w14:paraId="7460A775" w14:textId="77777777" w:rsidR="00264552" w:rsidRPr="0074154F" w:rsidRDefault="00264552" w:rsidP="00264552">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 xml:space="preserve">PROPIEDADES DE INVERSIÓN </w:t>
      </w:r>
    </w:p>
    <w:p w14:paraId="3B0532BC" w14:textId="77777777" w:rsidR="00264552" w:rsidRPr="0074154F" w:rsidRDefault="00264552" w:rsidP="00264552">
      <w:pPr>
        <w:rPr>
          <w:sz w:val="12"/>
          <w:szCs w:val="12"/>
          <w:lang w:eastAsia="es-EC"/>
        </w:rPr>
      </w:pPr>
    </w:p>
    <w:tbl>
      <w:tblPr>
        <w:tblW w:w="8503" w:type="dxa"/>
        <w:jc w:val="right"/>
        <w:tblCellMar>
          <w:left w:w="70" w:type="dxa"/>
          <w:right w:w="70" w:type="dxa"/>
        </w:tblCellMar>
        <w:tblLook w:val="04A0" w:firstRow="1" w:lastRow="0" w:firstColumn="1" w:lastColumn="0" w:noHBand="0" w:noVBand="1"/>
      </w:tblPr>
      <w:tblGrid>
        <w:gridCol w:w="5171"/>
        <w:gridCol w:w="1837"/>
        <w:gridCol w:w="225"/>
        <w:gridCol w:w="1837"/>
      </w:tblGrid>
      <w:tr w:rsidR="00264552" w:rsidRPr="0074154F" w14:paraId="4D3C0886" w14:textId="77777777" w:rsidTr="008F5308">
        <w:trPr>
          <w:trHeight w:val="283"/>
          <w:jc w:val="right"/>
        </w:trPr>
        <w:tc>
          <w:tcPr>
            <w:tcW w:w="5272" w:type="dxa"/>
            <w:tcBorders>
              <w:top w:val="nil"/>
              <w:left w:val="nil"/>
              <w:bottom w:val="nil"/>
              <w:right w:val="nil"/>
            </w:tcBorders>
            <w:shd w:val="clear" w:color="auto" w:fill="auto"/>
            <w:noWrap/>
            <w:vAlign w:val="bottom"/>
            <w:hideMark/>
          </w:tcPr>
          <w:p w14:paraId="51781A42" w14:textId="77777777" w:rsidR="00264552" w:rsidRPr="0074154F" w:rsidRDefault="00264552"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7942627" w14:textId="77777777" w:rsidR="00264552" w:rsidRPr="0074154F" w:rsidRDefault="00264552"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tcBorders>
              <w:top w:val="nil"/>
              <w:left w:val="nil"/>
              <w:bottom w:val="nil"/>
              <w:right w:val="nil"/>
            </w:tcBorders>
            <w:shd w:val="clear" w:color="auto" w:fill="auto"/>
            <w:noWrap/>
            <w:vAlign w:val="bottom"/>
            <w:hideMark/>
          </w:tcPr>
          <w:p w14:paraId="59886748" w14:textId="77777777" w:rsidR="00264552" w:rsidRPr="0074154F" w:rsidRDefault="00264552" w:rsidP="008F5308">
            <w:pPr>
              <w:spacing w:after="0" w:line="240" w:lineRule="auto"/>
              <w:ind w:right="58"/>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60EF0913" w14:textId="77777777" w:rsidR="00264552" w:rsidRPr="0074154F" w:rsidRDefault="00264552"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264552" w:rsidRPr="0074154F" w14:paraId="626E62F2" w14:textId="77777777" w:rsidTr="009348A9">
        <w:trPr>
          <w:trHeight w:val="215"/>
          <w:jc w:val="right"/>
        </w:trPr>
        <w:tc>
          <w:tcPr>
            <w:tcW w:w="5272" w:type="dxa"/>
            <w:tcBorders>
              <w:top w:val="nil"/>
              <w:left w:val="nil"/>
              <w:bottom w:val="nil"/>
              <w:right w:val="nil"/>
            </w:tcBorders>
            <w:shd w:val="clear" w:color="auto" w:fill="auto"/>
            <w:noWrap/>
            <w:vAlign w:val="bottom"/>
            <w:hideMark/>
          </w:tcPr>
          <w:p w14:paraId="131FE8BB" w14:textId="77777777" w:rsidR="00264552" w:rsidRPr="0074154F" w:rsidRDefault="00264552"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4A2FFE90" w14:textId="77777777" w:rsidR="00264552" w:rsidRPr="0074154F" w:rsidRDefault="00264552" w:rsidP="008F5308">
            <w:pPr>
              <w:spacing w:after="0" w:line="240" w:lineRule="auto"/>
              <w:rPr>
                <w:rFonts w:ascii="Arial" w:eastAsia="Times New Roman" w:hAnsi="Arial" w:cs="Arial"/>
                <w:sz w:val="20"/>
                <w:szCs w:val="20"/>
                <w:lang w:eastAsia="es-EC"/>
              </w:rPr>
            </w:pPr>
          </w:p>
        </w:tc>
        <w:tc>
          <w:tcPr>
            <w:tcW w:w="227" w:type="dxa"/>
            <w:tcBorders>
              <w:top w:val="nil"/>
              <w:left w:val="nil"/>
              <w:bottom w:val="nil"/>
              <w:right w:val="nil"/>
            </w:tcBorders>
            <w:shd w:val="clear" w:color="auto" w:fill="auto"/>
            <w:noWrap/>
            <w:vAlign w:val="bottom"/>
            <w:hideMark/>
          </w:tcPr>
          <w:p w14:paraId="2E45AFBB" w14:textId="77777777" w:rsidR="00264552" w:rsidRPr="0074154F" w:rsidRDefault="00264552" w:rsidP="008F5308">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42737578" w14:textId="77777777" w:rsidR="00264552" w:rsidRPr="0074154F" w:rsidRDefault="00264552" w:rsidP="008F5308">
            <w:pPr>
              <w:spacing w:after="0" w:line="240" w:lineRule="auto"/>
              <w:rPr>
                <w:rFonts w:ascii="Arial" w:eastAsia="Times New Roman" w:hAnsi="Arial" w:cs="Arial"/>
                <w:sz w:val="20"/>
                <w:szCs w:val="20"/>
                <w:lang w:eastAsia="es-EC"/>
              </w:rPr>
            </w:pPr>
          </w:p>
        </w:tc>
      </w:tr>
      <w:tr w:rsidR="00264552" w:rsidRPr="0074154F" w14:paraId="2E232325" w14:textId="77777777" w:rsidTr="0087468F">
        <w:trPr>
          <w:trHeight w:val="208"/>
          <w:jc w:val="right"/>
        </w:trPr>
        <w:tc>
          <w:tcPr>
            <w:tcW w:w="5272" w:type="dxa"/>
            <w:tcBorders>
              <w:top w:val="nil"/>
              <w:left w:val="nil"/>
              <w:right w:val="nil"/>
            </w:tcBorders>
            <w:shd w:val="clear" w:color="auto" w:fill="auto"/>
            <w:noWrap/>
            <w:vAlign w:val="bottom"/>
          </w:tcPr>
          <w:p w14:paraId="3FD6BC66" w14:textId="26F6BEDE" w:rsidR="00264552" w:rsidRPr="0074154F" w:rsidRDefault="00264552" w:rsidP="008F530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 xml:space="preserve">Costo </w:t>
            </w:r>
          </w:p>
        </w:tc>
        <w:tc>
          <w:tcPr>
            <w:tcW w:w="1502" w:type="dxa"/>
            <w:tcBorders>
              <w:top w:val="nil"/>
              <w:left w:val="nil"/>
              <w:right w:val="nil"/>
            </w:tcBorders>
            <w:shd w:val="clear" w:color="auto" w:fill="auto"/>
            <w:noWrap/>
            <w:vAlign w:val="bottom"/>
          </w:tcPr>
          <w:p w14:paraId="2C0670C5" w14:textId="77777777" w:rsidR="00264552" w:rsidRPr="0074154F" w:rsidRDefault="00264552" w:rsidP="008F5308">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953,392</w:t>
            </w:r>
          </w:p>
        </w:tc>
        <w:tc>
          <w:tcPr>
            <w:tcW w:w="227" w:type="dxa"/>
            <w:tcBorders>
              <w:top w:val="nil"/>
              <w:left w:val="nil"/>
              <w:right w:val="nil"/>
            </w:tcBorders>
            <w:shd w:val="clear" w:color="auto" w:fill="auto"/>
            <w:noWrap/>
            <w:vAlign w:val="bottom"/>
          </w:tcPr>
          <w:p w14:paraId="0E20F5A2" w14:textId="77777777" w:rsidR="00264552" w:rsidRPr="0074154F" w:rsidRDefault="00264552" w:rsidP="008F530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17C06F2" w14:textId="77777777" w:rsidR="00264552" w:rsidRPr="0074154F" w:rsidRDefault="00264552" w:rsidP="008F5308">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953,392</w:t>
            </w:r>
          </w:p>
        </w:tc>
      </w:tr>
      <w:tr w:rsidR="00264552" w:rsidRPr="0074154F" w14:paraId="355CEB22" w14:textId="77777777" w:rsidTr="0087468F">
        <w:trPr>
          <w:trHeight w:val="112"/>
          <w:jc w:val="right"/>
        </w:trPr>
        <w:tc>
          <w:tcPr>
            <w:tcW w:w="5272" w:type="dxa"/>
            <w:tcBorders>
              <w:top w:val="nil"/>
              <w:left w:val="nil"/>
              <w:right w:val="nil"/>
            </w:tcBorders>
            <w:shd w:val="clear" w:color="auto" w:fill="auto"/>
            <w:noWrap/>
            <w:vAlign w:val="bottom"/>
          </w:tcPr>
          <w:p w14:paraId="150802E2" w14:textId="77777777" w:rsidR="00264552" w:rsidRPr="0074154F" w:rsidRDefault="00264552" w:rsidP="008F530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Depreciación acumulada</w:t>
            </w:r>
          </w:p>
        </w:tc>
        <w:tc>
          <w:tcPr>
            <w:tcW w:w="1502" w:type="dxa"/>
            <w:tcBorders>
              <w:top w:val="nil"/>
              <w:left w:val="nil"/>
              <w:bottom w:val="single" w:sz="4" w:space="0" w:color="auto"/>
              <w:right w:val="nil"/>
            </w:tcBorders>
            <w:shd w:val="clear" w:color="auto" w:fill="auto"/>
            <w:noWrap/>
            <w:vAlign w:val="bottom"/>
          </w:tcPr>
          <w:p w14:paraId="6F6353AB" w14:textId="77777777" w:rsidR="00264552" w:rsidRPr="0074154F" w:rsidRDefault="00264552" w:rsidP="008F5308">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(407,801)</w:t>
            </w:r>
          </w:p>
        </w:tc>
        <w:tc>
          <w:tcPr>
            <w:tcW w:w="227" w:type="dxa"/>
            <w:tcBorders>
              <w:top w:val="nil"/>
              <w:left w:val="nil"/>
              <w:right w:val="nil"/>
            </w:tcBorders>
            <w:shd w:val="clear" w:color="auto" w:fill="auto"/>
            <w:noWrap/>
            <w:vAlign w:val="bottom"/>
          </w:tcPr>
          <w:p w14:paraId="508DB078" w14:textId="77777777" w:rsidR="00264552" w:rsidRPr="0074154F" w:rsidRDefault="00264552" w:rsidP="008F5308">
            <w:pPr>
              <w:spacing w:after="0" w:line="240" w:lineRule="auto"/>
              <w:rPr>
                <w:rFonts w:ascii="Arial" w:eastAsia="Times New Roman" w:hAnsi="Arial" w:cs="Arial"/>
                <w:sz w:val="20"/>
                <w:szCs w:val="20"/>
                <w:lang w:eastAsia="es-EC"/>
              </w:rPr>
            </w:pPr>
          </w:p>
        </w:tc>
        <w:tc>
          <w:tcPr>
            <w:tcW w:w="1502" w:type="dxa"/>
            <w:tcBorders>
              <w:top w:val="nil"/>
              <w:left w:val="nil"/>
              <w:bottom w:val="single" w:sz="4" w:space="0" w:color="auto"/>
              <w:right w:val="nil"/>
            </w:tcBorders>
            <w:shd w:val="clear" w:color="auto" w:fill="auto"/>
            <w:noWrap/>
            <w:vAlign w:val="bottom"/>
          </w:tcPr>
          <w:p w14:paraId="66B7D46B" w14:textId="77777777" w:rsidR="00264552" w:rsidRPr="0074154F" w:rsidRDefault="00264552" w:rsidP="008F5308">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(368,591)</w:t>
            </w:r>
          </w:p>
        </w:tc>
      </w:tr>
      <w:tr w:rsidR="00264552" w:rsidRPr="0074154F" w14:paraId="33137ED9" w14:textId="77777777" w:rsidTr="00137ECC">
        <w:trPr>
          <w:trHeight w:val="157"/>
          <w:jc w:val="right"/>
        </w:trPr>
        <w:tc>
          <w:tcPr>
            <w:tcW w:w="5272" w:type="dxa"/>
            <w:tcBorders>
              <w:top w:val="nil"/>
              <w:left w:val="nil"/>
              <w:bottom w:val="nil"/>
              <w:right w:val="nil"/>
            </w:tcBorders>
            <w:shd w:val="clear" w:color="auto" w:fill="auto"/>
            <w:noWrap/>
            <w:vAlign w:val="bottom"/>
          </w:tcPr>
          <w:p w14:paraId="48B53E29" w14:textId="77777777" w:rsidR="00264552" w:rsidRPr="0074154F" w:rsidRDefault="00264552" w:rsidP="008F5308">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6C1E7752" w14:textId="77777777" w:rsidR="00264552" w:rsidRPr="0074154F" w:rsidRDefault="00264552" w:rsidP="008F5308">
            <w:pPr>
              <w:tabs>
                <w:tab w:val="decimal" w:pos="1276"/>
              </w:tabs>
              <w:spacing w:after="0" w:line="240" w:lineRule="auto"/>
              <w:rPr>
                <w:rFonts w:ascii="Arial" w:eastAsia="Times New Roman" w:hAnsi="Arial" w:cs="Arial"/>
                <w:color w:val="000000"/>
                <w:sz w:val="20"/>
                <w:szCs w:val="20"/>
                <w:lang w:eastAsia="es-EC"/>
              </w:rPr>
            </w:pPr>
          </w:p>
        </w:tc>
        <w:tc>
          <w:tcPr>
            <w:tcW w:w="227" w:type="dxa"/>
            <w:tcBorders>
              <w:top w:val="nil"/>
              <w:left w:val="nil"/>
              <w:right w:val="nil"/>
            </w:tcBorders>
            <w:shd w:val="clear" w:color="auto" w:fill="auto"/>
            <w:noWrap/>
            <w:vAlign w:val="bottom"/>
          </w:tcPr>
          <w:p w14:paraId="67D4691E" w14:textId="77777777" w:rsidR="00264552" w:rsidRPr="0074154F" w:rsidRDefault="00264552" w:rsidP="008F5308">
            <w:pPr>
              <w:spacing w:after="0" w:line="240" w:lineRule="auto"/>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5AD18621" w14:textId="77777777" w:rsidR="00264552" w:rsidRPr="0074154F" w:rsidRDefault="00264552" w:rsidP="008F5308">
            <w:pPr>
              <w:tabs>
                <w:tab w:val="decimal" w:pos="1276"/>
              </w:tabs>
              <w:spacing w:after="0" w:line="240" w:lineRule="auto"/>
              <w:rPr>
                <w:rFonts w:ascii="Arial" w:eastAsia="Times New Roman" w:hAnsi="Arial" w:cs="Arial"/>
                <w:color w:val="000000"/>
                <w:sz w:val="20"/>
                <w:szCs w:val="20"/>
                <w:lang w:eastAsia="es-EC"/>
              </w:rPr>
            </w:pPr>
          </w:p>
        </w:tc>
      </w:tr>
      <w:tr w:rsidR="00264552" w:rsidRPr="0074154F" w14:paraId="08B6F101" w14:textId="77777777" w:rsidTr="0087468F">
        <w:trPr>
          <w:trHeight w:val="75"/>
          <w:jc w:val="right"/>
        </w:trPr>
        <w:tc>
          <w:tcPr>
            <w:tcW w:w="5272" w:type="dxa"/>
            <w:tcBorders>
              <w:top w:val="nil"/>
              <w:left w:val="nil"/>
              <w:bottom w:val="nil"/>
              <w:right w:val="nil"/>
            </w:tcBorders>
            <w:shd w:val="clear" w:color="auto" w:fill="auto"/>
            <w:noWrap/>
            <w:vAlign w:val="bottom"/>
          </w:tcPr>
          <w:p w14:paraId="0DF62307" w14:textId="77777777" w:rsidR="00264552" w:rsidRPr="0074154F" w:rsidRDefault="00264552" w:rsidP="008F530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36AA6F01" w14:textId="77777777" w:rsidR="00264552" w:rsidRPr="0074154F" w:rsidRDefault="00264552" w:rsidP="008F5308">
            <w:pPr>
              <w:tabs>
                <w:tab w:val="decimal" w:pos="1276"/>
              </w:tabs>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545,591</w:t>
            </w:r>
          </w:p>
        </w:tc>
        <w:tc>
          <w:tcPr>
            <w:tcW w:w="227" w:type="dxa"/>
            <w:tcBorders>
              <w:left w:val="nil"/>
              <w:right w:val="nil"/>
            </w:tcBorders>
            <w:shd w:val="clear" w:color="auto" w:fill="auto"/>
            <w:noWrap/>
            <w:vAlign w:val="bottom"/>
          </w:tcPr>
          <w:p w14:paraId="43713A54" w14:textId="77777777" w:rsidR="00264552" w:rsidRPr="0074154F" w:rsidRDefault="00264552" w:rsidP="008F5308">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69D76E7F" w14:textId="77777777" w:rsidR="00264552" w:rsidRPr="0074154F" w:rsidRDefault="00264552" w:rsidP="008F5308">
            <w:pPr>
              <w:tabs>
                <w:tab w:val="decimal" w:pos="1276"/>
              </w:tabs>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584,801</w:t>
            </w:r>
          </w:p>
        </w:tc>
      </w:tr>
    </w:tbl>
    <w:p w14:paraId="6D48784B" w14:textId="77777777" w:rsidR="00264552" w:rsidRPr="0074154F" w:rsidRDefault="00264552" w:rsidP="00264552">
      <w:pPr>
        <w:ind w:left="567"/>
        <w:jc w:val="both"/>
        <w:rPr>
          <w:rFonts w:ascii="Arial" w:hAnsi="Arial" w:cs="Arial"/>
          <w:sz w:val="10"/>
          <w:szCs w:val="10"/>
          <w:lang w:eastAsia="es-EC"/>
        </w:rPr>
      </w:pPr>
    </w:p>
    <w:tbl>
      <w:tblPr>
        <w:tblW w:w="8505" w:type="dxa"/>
        <w:tblInd w:w="567" w:type="dxa"/>
        <w:tblLayout w:type="fixed"/>
        <w:tblCellMar>
          <w:left w:w="70" w:type="dxa"/>
          <w:right w:w="70" w:type="dxa"/>
        </w:tblCellMar>
        <w:tblLook w:val="04A0" w:firstRow="1" w:lastRow="0" w:firstColumn="1" w:lastColumn="0" w:noHBand="0" w:noVBand="1"/>
      </w:tblPr>
      <w:tblGrid>
        <w:gridCol w:w="4820"/>
        <w:gridCol w:w="1136"/>
        <w:gridCol w:w="160"/>
        <w:gridCol w:w="1114"/>
        <w:gridCol w:w="162"/>
        <w:gridCol w:w="1113"/>
      </w:tblGrid>
      <w:tr w:rsidR="00264552" w:rsidRPr="0074154F" w14:paraId="1CC79C09" w14:textId="77777777" w:rsidTr="00264552">
        <w:trPr>
          <w:trHeight w:val="227"/>
        </w:trPr>
        <w:tc>
          <w:tcPr>
            <w:tcW w:w="4820" w:type="dxa"/>
            <w:shd w:val="solid" w:color="FFFFFF" w:fill="auto"/>
            <w:vAlign w:val="bottom"/>
          </w:tcPr>
          <w:p w14:paraId="103BD9A6"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color w:val="000000"/>
                <w:sz w:val="20"/>
                <w:szCs w:val="20"/>
                <w:u w:val="single"/>
                <w:lang w:val="es-ES" w:bidi="es-ES"/>
              </w:rPr>
            </w:pPr>
          </w:p>
        </w:tc>
        <w:tc>
          <w:tcPr>
            <w:tcW w:w="1136" w:type="dxa"/>
            <w:shd w:val="solid" w:color="FFFFFF" w:fill="auto"/>
            <w:vAlign w:val="bottom"/>
            <w:hideMark/>
          </w:tcPr>
          <w:p w14:paraId="63196748"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r w:rsidRPr="0074154F">
              <w:rPr>
                <w:rFonts w:ascii="Arial" w:eastAsia="Arial Unicode MS" w:hAnsi="Arial" w:cs="Arial"/>
                <w:b/>
                <w:color w:val="000000"/>
                <w:sz w:val="20"/>
                <w:szCs w:val="20"/>
                <w:u w:val="single"/>
                <w:lang w:val="es-ES" w:bidi="es-ES"/>
              </w:rPr>
              <w:t>Terrenos</w:t>
            </w:r>
          </w:p>
        </w:tc>
        <w:tc>
          <w:tcPr>
            <w:tcW w:w="160" w:type="dxa"/>
            <w:shd w:val="solid" w:color="FFFFFF" w:fill="auto"/>
          </w:tcPr>
          <w:p w14:paraId="609C14EA"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114" w:type="dxa"/>
            <w:shd w:val="solid" w:color="FFFFFF" w:fill="auto"/>
            <w:vAlign w:val="bottom"/>
            <w:hideMark/>
          </w:tcPr>
          <w:p w14:paraId="5EDB3417"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r w:rsidRPr="0074154F">
              <w:rPr>
                <w:rFonts w:ascii="Arial" w:eastAsia="Arial Unicode MS" w:hAnsi="Arial" w:cs="Arial"/>
                <w:b/>
                <w:color w:val="000000"/>
                <w:sz w:val="20"/>
                <w:szCs w:val="20"/>
                <w:u w:val="single"/>
                <w:lang w:val="es-ES" w:bidi="es-ES"/>
              </w:rPr>
              <w:t>Edificios</w:t>
            </w:r>
          </w:p>
        </w:tc>
        <w:tc>
          <w:tcPr>
            <w:tcW w:w="162" w:type="dxa"/>
            <w:shd w:val="solid" w:color="FFFFFF" w:fill="auto"/>
          </w:tcPr>
          <w:p w14:paraId="1A6A4374"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113" w:type="dxa"/>
            <w:shd w:val="solid" w:color="FFFFFF" w:fill="auto"/>
            <w:vAlign w:val="bottom"/>
            <w:hideMark/>
          </w:tcPr>
          <w:p w14:paraId="79AA7E99"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lang w:val="es-ES" w:bidi="es-ES"/>
              </w:rPr>
            </w:pPr>
            <w:r w:rsidRPr="0074154F">
              <w:rPr>
                <w:rFonts w:ascii="Arial" w:eastAsia="Arial Unicode MS" w:hAnsi="Arial" w:cs="Arial"/>
                <w:b/>
                <w:color w:val="000000"/>
                <w:sz w:val="20"/>
                <w:szCs w:val="20"/>
                <w:u w:val="single"/>
                <w:lang w:val="es-ES" w:bidi="es-ES"/>
              </w:rPr>
              <w:t>Total</w:t>
            </w:r>
          </w:p>
        </w:tc>
      </w:tr>
      <w:tr w:rsidR="00264552" w:rsidRPr="0074154F" w14:paraId="70103373" w14:textId="77777777" w:rsidTr="006C53B0">
        <w:trPr>
          <w:trHeight w:val="185"/>
        </w:trPr>
        <w:tc>
          <w:tcPr>
            <w:tcW w:w="4820" w:type="dxa"/>
            <w:shd w:val="solid" w:color="FFFFFF" w:fill="auto"/>
            <w:vAlign w:val="bottom"/>
          </w:tcPr>
          <w:p w14:paraId="30B9C0D7"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color w:val="000000"/>
                <w:sz w:val="20"/>
                <w:szCs w:val="20"/>
                <w:u w:val="single"/>
                <w:lang w:val="es-ES" w:bidi="es-ES"/>
              </w:rPr>
            </w:pPr>
          </w:p>
        </w:tc>
        <w:tc>
          <w:tcPr>
            <w:tcW w:w="1136" w:type="dxa"/>
            <w:shd w:val="solid" w:color="FFFFFF" w:fill="auto"/>
            <w:vAlign w:val="bottom"/>
          </w:tcPr>
          <w:p w14:paraId="6127BB17"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60" w:type="dxa"/>
            <w:shd w:val="solid" w:color="FFFFFF" w:fill="auto"/>
          </w:tcPr>
          <w:p w14:paraId="4C414A08"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114" w:type="dxa"/>
            <w:shd w:val="solid" w:color="FFFFFF" w:fill="auto"/>
            <w:vAlign w:val="bottom"/>
          </w:tcPr>
          <w:p w14:paraId="7FC1E53A"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62" w:type="dxa"/>
            <w:shd w:val="solid" w:color="FFFFFF" w:fill="auto"/>
          </w:tcPr>
          <w:p w14:paraId="4C83D77C"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c>
          <w:tcPr>
            <w:tcW w:w="1113" w:type="dxa"/>
            <w:shd w:val="solid" w:color="FFFFFF" w:fill="auto"/>
            <w:vAlign w:val="bottom"/>
          </w:tcPr>
          <w:p w14:paraId="78EE7BCC" w14:textId="77777777" w:rsidR="00264552" w:rsidRPr="0074154F" w:rsidRDefault="00264552" w:rsidP="008F5308">
            <w:pPr>
              <w:widowControl w:val="0"/>
              <w:autoSpaceDE w:val="0"/>
              <w:autoSpaceDN w:val="0"/>
              <w:adjustRightInd w:val="0"/>
              <w:spacing w:after="0" w:line="240" w:lineRule="auto"/>
              <w:jc w:val="center"/>
              <w:rPr>
                <w:rFonts w:ascii="Arial" w:eastAsia="Arial Unicode MS" w:hAnsi="Arial" w:cs="Arial"/>
                <w:b/>
                <w:color w:val="000000"/>
                <w:sz w:val="20"/>
                <w:szCs w:val="20"/>
                <w:u w:val="single"/>
                <w:lang w:val="es-ES" w:bidi="es-ES"/>
              </w:rPr>
            </w:pPr>
          </w:p>
        </w:tc>
      </w:tr>
      <w:tr w:rsidR="00264552" w:rsidRPr="0074154F" w14:paraId="0E41A5E5" w14:textId="77777777" w:rsidTr="00264552">
        <w:trPr>
          <w:trHeight w:val="227"/>
        </w:trPr>
        <w:tc>
          <w:tcPr>
            <w:tcW w:w="4820" w:type="dxa"/>
            <w:shd w:val="solid" w:color="FFFFFF" w:fill="auto"/>
            <w:vAlign w:val="bottom"/>
            <w:hideMark/>
          </w:tcPr>
          <w:p w14:paraId="3892A3CF" w14:textId="63050ADC"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bCs/>
                <w:color w:val="000000"/>
                <w:sz w:val="20"/>
                <w:szCs w:val="20"/>
                <w:u w:val="single"/>
                <w:lang w:val="es-ES" w:bidi="es-ES"/>
              </w:rPr>
            </w:pPr>
            <w:r w:rsidRPr="0074154F">
              <w:rPr>
                <w:rFonts w:ascii="Arial" w:eastAsia="Arial Unicode MS" w:hAnsi="Arial" w:cs="Arial"/>
                <w:b/>
                <w:iCs/>
                <w:color w:val="000000"/>
                <w:sz w:val="20"/>
                <w:szCs w:val="20"/>
                <w:u w:val="single"/>
                <w:lang w:val="es-ES" w:bidi="es-ES"/>
              </w:rPr>
              <w:t>Costo</w:t>
            </w:r>
            <w:r w:rsidRPr="0074154F">
              <w:rPr>
                <w:rFonts w:ascii="Arial" w:eastAsia="Arial Unicode MS" w:hAnsi="Arial" w:cs="Arial"/>
                <w:iCs/>
                <w:color w:val="000000"/>
                <w:sz w:val="20"/>
                <w:szCs w:val="20"/>
                <w:lang w:val="es-ES" w:bidi="es-ES"/>
              </w:rPr>
              <w:t>:</w:t>
            </w:r>
          </w:p>
        </w:tc>
        <w:tc>
          <w:tcPr>
            <w:tcW w:w="1136" w:type="dxa"/>
            <w:shd w:val="solid" w:color="FFFFFF" w:fill="auto"/>
            <w:vAlign w:val="bottom"/>
          </w:tcPr>
          <w:p w14:paraId="6CA31EBA"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60" w:type="dxa"/>
            <w:shd w:val="solid" w:color="FFFFFF" w:fill="auto"/>
          </w:tcPr>
          <w:p w14:paraId="48DEC04D"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114" w:type="dxa"/>
            <w:shd w:val="solid" w:color="FFFFFF" w:fill="auto"/>
            <w:vAlign w:val="bottom"/>
          </w:tcPr>
          <w:p w14:paraId="24843832"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62" w:type="dxa"/>
            <w:shd w:val="solid" w:color="FFFFFF" w:fill="auto"/>
          </w:tcPr>
          <w:p w14:paraId="7F6C910E"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113" w:type="dxa"/>
            <w:shd w:val="solid" w:color="FFFFFF" w:fill="auto"/>
            <w:vAlign w:val="bottom"/>
          </w:tcPr>
          <w:p w14:paraId="0305BD73"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r>
      <w:tr w:rsidR="00264552" w:rsidRPr="0074154F" w14:paraId="7C94E604" w14:textId="77777777" w:rsidTr="006C53B0">
        <w:trPr>
          <w:trHeight w:val="60"/>
        </w:trPr>
        <w:tc>
          <w:tcPr>
            <w:tcW w:w="4820" w:type="dxa"/>
            <w:shd w:val="solid" w:color="FFFFFF" w:fill="auto"/>
            <w:vAlign w:val="bottom"/>
          </w:tcPr>
          <w:p w14:paraId="0785EFC1"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iCs/>
                <w:color w:val="000000"/>
                <w:sz w:val="20"/>
                <w:szCs w:val="20"/>
                <w:u w:val="single"/>
                <w:lang w:val="es-ES" w:bidi="es-ES"/>
              </w:rPr>
            </w:pPr>
          </w:p>
        </w:tc>
        <w:tc>
          <w:tcPr>
            <w:tcW w:w="1136" w:type="dxa"/>
            <w:shd w:val="solid" w:color="FFFFFF" w:fill="auto"/>
            <w:vAlign w:val="bottom"/>
          </w:tcPr>
          <w:p w14:paraId="384B7403"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60" w:type="dxa"/>
            <w:shd w:val="solid" w:color="FFFFFF" w:fill="auto"/>
          </w:tcPr>
          <w:p w14:paraId="41AE7A12"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114" w:type="dxa"/>
            <w:shd w:val="solid" w:color="FFFFFF" w:fill="auto"/>
            <w:vAlign w:val="bottom"/>
          </w:tcPr>
          <w:p w14:paraId="5D8DDC5B"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62" w:type="dxa"/>
            <w:shd w:val="solid" w:color="FFFFFF" w:fill="auto"/>
          </w:tcPr>
          <w:p w14:paraId="264B6467"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c>
          <w:tcPr>
            <w:tcW w:w="1113" w:type="dxa"/>
            <w:shd w:val="solid" w:color="FFFFFF" w:fill="auto"/>
            <w:vAlign w:val="bottom"/>
          </w:tcPr>
          <w:p w14:paraId="355798FD" w14:textId="77777777" w:rsidR="00264552" w:rsidRPr="0074154F" w:rsidRDefault="00264552" w:rsidP="008F5308">
            <w:pPr>
              <w:widowControl w:val="0"/>
              <w:autoSpaceDE w:val="0"/>
              <w:autoSpaceDN w:val="0"/>
              <w:adjustRightInd w:val="0"/>
              <w:spacing w:after="0" w:line="240" w:lineRule="auto"/>
              <w:rPr>
                <w:rFonts w:ascii="Arial" w:eastAsia="Arial Unicode MS" w:hAnsi="Arial" w:cs="Arial"/>
                <w:color w:val="000000"/>
                <w:sz w:val="20"/>
                <w:szCs w:val="20"/>
                <w:lang w:val="es-ES" w:bidi="es-ES"/>
              </w:rPr>
            </w:pPr>
          </w:p>
        </w:tc>
      </w:tr>
      <w:tr w:rsidR="00264552" w:rsidRPr="0074154F" w14:paraId="0744DB9C" w14:textId="77777777" w:rsidTr="00264552">
        <w:trPr>
          <w:trHeight w:val="227"/>
        </w:trPr>
        <w:tc>
          <w:tcPr>
            <w:tcW w:w="4820" w:type="dxa"/>
            <w:shd w:val="solid" w:color="FFFFFF" w:fill="auto"/>
            <w:vAlign w:val="bottom"/>
            <w:hideMark/>
          </w:tcPr>
          <w:p w14:paraId="77492BEC"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ENERO 1, 2019</w:t>
            </w:r>
          </w:p>
        </w:tc>
        <w:tc>
          <w:tcPr>
            <w:tcW w:w="1136" w:type="dxa"/>
            <w:tcBorders>
              <w:bottom w:val="double" w:sz="4" w:space="0" w:color="auto"/>
            </w:tcBorders>
            <w:shd w:val="solid" w:color="FFFFFF" w:fill="auto"/>
            <w:vAlign w:val="bottom"/>
          </w:tcPr>
          <w:p w14:paraId="4D270255"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120,000</w:t>
            </w:r>
          </w:p>
        </w:tc>
        <w:tc>
          <w:tcPr>
            <w:tcW w:w="160" w:type="dxa"/>
            <w:shd w:val="solid" w:color="FFFFFF" w:fill="auto"/>
          </w:tcPr>
          <w:p w14:paraId="6C914B9F"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tcBorders>
              <w:bottom w:val="double" w:sz="4" w:space="0" w:color="auto"/>
            </w:tcBorders>
            <w:shd w:val="solid" w:color="FFFFFF" w:fill="auto"/>
            <w:vAlign w:val="bottom"/>
          </w:tcPr>
          <w:p w14:paraId="1D0EFD50"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833,392</w:t>
            </w:r>
          </w:p>
        </w:tc>
        <w:tc>
          <w:tcPr>
            <w:tcW w:w="162" w:type="dxa"/>
            <w:shd w:val="solid" w:color="FFFFFF" w:fill="auto"/>
          </w:tcPr>
          <w:p w14:paraId="6318A4ED"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bottom w:val="double" w:sz="4" w:space="0" w:color="auto"/>
            </w:tcBorders>
            <w:shd w:val="solid" w:color="FFFFFF" w:fill="auto"/>
            <w:vAlign w:val="bottom"/>
          </w:tcPr>
          <w:p w14:paraId="437C0126"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953,392</w:t>
            </w:r>
          </w:p>
        </w:tc>
      </w:tr>
      <w:tr w:rsidR="00264552" w:rsidRPr="0074154F" w14:paraId="77DB7CB0" w14:textId="77777777" w:rsidTr="0087468F">
        <w:trPr>
          <w:trHeight w:val="30"/>
        </w:trPr>
        <w:tc>
          <w:tcPr>
            <w:tcW w:w="4820" w:type="dxa"/>
            <w:shd w:val="solid" w:color="FFFFFF" w:fill="auto"/>
            <w:vAlign w:val="bottom"/>
          </w:tcPr>
          <w:p w14:paraId="77A9AA1D"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136" w:type="dxa"/>
            <w:tcBorders>
              <w:top w:val="double" w:sz="4" w:space="0" w:color="auto"/>
            </w:tcBorders>
            <w:shd w:val="solid" w:color="FFFFFF" w:fill="auto"/>
            <w:vAlign w:val="bottom"/>
          </w:tcPr>
          <w:p w14:paraId="42F00E73" w14:textId="77777777" w:rsidR="00264552" w:rsidRPr="0074154F" w:rsidRDefault="00264552" w:rsidP="008F5308">
            <w:pPr>
              <w:widowControl w:val="0"/>
              <w:tabs>
                <w:tab w:val="decimal" w:pos="779"/>
              </w:tabs>
              <w:spacing w:after="0" w:line="240" w:lineRule="auto"/>
              <w:rPr>
                <w:rFonts w:ascii="Arial" w:eastAsia="Arial Unicode MS" w:hAnsi="Arial" w:cs="Arial"/>
                <w:color w:val="000000"/>
                <w:sz w:val="20"/>
                <w:szCs w:val="20"/>
                <w:lang w:val="es-ES" w:eastAsia="es-ES" w:bidi="es-ES"/>
              </w:rPr>
            </w:pPr>
          </w:p>
        </w:tc>
        <w:tc>
          <w:tcPr>
            <w:tcW w:w="160" w:type="dxa"/>
            <w:shd w:val="solid" w:color="FFFFFF" w:fill="auto"/>
          </w:tcPr>
          <w:p w14:paraId="0E672B9F"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tcBorders>
              <w:top w:val="double" w:sz="4" w:space="0" w:color="auto"/>
            </w:tcBorders>
            <w:shd w:val="solid" w:color="FFFFFF" w:fill="auto"/>
            <w:vAlign w:val="bottom"/>
          </w:tcPr>
          <w:p w14:paraId="27011E12"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62" w:type="dxa"/>
            <w:shd w:val="solid" w:color="FFFFFF" w:fill="auto"/>
          </w:tcPr>
          <w:p w14:paraId="70EB71ED"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top w:val="double" w:sz="4" w:space="0" w:color="auto"/>
            </w:tcBorders>
            <w:shd w:val="solid" w:color="FFFFFF" w:fill="auto"/>
            <w:vAlign w:val="bottom"/>
          </w:tcPr>
          <w:p w14:paraId="137E85B0"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264552" w:rsidRPr="0074154F" w14:paraId="176E8B4C" w14:textId="77777777" w:rsidTr="00264552">
        <w:trPr>
          <w:trHeight w:val="227"/>
        </w:trPr>
        <w:tc>
          <w:tcPr>
            <w:tcW w:w="4820" w:type="dxa"/>
            <w:shd w:val="solid" w:color="FFFFFF" w:fill="auto"/>
            <w:vAlign w:val="bottom"/>
          </w:tcPr>
          <w:p w14:paraId="3A4B5E47"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b/>
                <w:bCs/>
                <w:color w:val="000000"/>
                <w:sz w:val="20"/>
                <w:szCs w:val="20"/>
                <w:u w:val="single"/>
                <w:lang w:val="es-ES" w:bidi="es-ES"/>
              </w:rPr>
            </w:pPr>
            <w:r w:rsidRPr="0074154F">
              <w:rPr>
                <w:rFonts w:ascii="Arial" w:eastAsia="Arial Unicode MS" w:hAnsi="Arial" w:cs="Arial"/>
                <w:b/>
                <w:bCs/>
                <w:color w:val="000000"/>
                <w:sz w:val="20"/>
                <w:szCs w:val="20"/>
                <w:u w:val="single"/>
                <w:lang w:val="es-ES" w:bidi="es-ES"/>
              </w:rPr>
              <w:t>Depreciación acumulada o deterioro</w:t>
            </w:r>
          </w:p>
        </w:tc>
        <w:tc>
          <w:tcPr>
            <w:tcW w:w="1136" w:type="dxa"/>
            <w:shd w:val="solid" w:color="FFFFFF" w:fill="auto"/>
          </w:tcPr>
          <w:p w14:paraId="786CAAD2" w14:textId="77777777" w:rsidR="00264552" w:rsidRPr="0074154F" w:rsidRDefault="00264552" w:rsidP="008F5308">
            <w:pPr>
              <w:tabs>
                <w:tab w:val="decimal" w:pos="779"/>
                <w:tab w:val="decimal" w:pos="963"/>
              </w:tabs>
              <w:spacing w:after="0" w:line="240" w:lineRule="auto"/>
              <w:rPr>
                <w:rFonts w:ascii="Arial" w:eastAsia="Times New Roman" w:hAnsi="Arial" w:cs="Arial"/>
                <w:sz w:val="20"/>
                <w:szCs w:val="20"/>
                <w:u w:val="double"/>
                <w:lang w:val="es-ES_tradnl"/>
              </w:rPr>
            </w:pPr>
          </w:p>
        </w:tc>
        <w:tc>
          <w:tcPr>
            <w:tcW w:w="160" w:type="dxa"/>
            <w:shd w:val="solid" w:color="FFFFFF" w:fill="auto"/>
          </w:tcPr>
          <w:p w14:paraId="7BE2431B" w14:textId="77777777" w:rsidR="00264552" w:rsidRPr="0074154F" w:rsidRDefault="00264552"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c>
          <w:tcPr>
            <w:tcW w:w="1114" w:type="dxa"/>
            <w:shd w:val="solid" w:color="FFFFFF" w:fill="auto"/>
            <w:vAlign w:val="bottom"/>
          </w:tcPr>
          <w:p w14:paraId="323556B9" w14:textId="77777777" w:rsidR="00264552" w:rsidRPr="0074154F" w:rsidRDefault="00264552"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c>
          <w:tcPr>
            <w:tcW w:w="162" w:type="dxa"/>
            <w:shd w:val="solid" w:color="FFFFFF" w:fill="auto"/>
          </w:tcPr>
          <w:p w14:paraId="434CD10C"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shd w:val="solid" w:color="FFFFFF" w:fill="auto"/>
            <w:vAlign w:val="bottom"/>
          </w:tcPr>
          <w:p w14:paraId="74FC8B07"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025C45" w:rsidRPr="0074154F" w14:paraId="3580F870" w14:textId="77777777" w:rsidTr="006C53B0">
        <w:trPr>
          <w:trHeight w:val="60"/>
        </w:trPr>
        <w:tc>
          <w:tcPr>
            <w:tcW w:w="4820" w:type="dxa"/>
            <w:shd w:val="solid" w:color="FFFFFF" w:fill="auto"/>
            <w:vAlign w:val="bottom"/>
          </w:tcPr>
          <w:p w14:paraId="43EB4C53" w14:textId="77777777" w:rsidR="00025C45" w:rsidRPr="0074154F" w:rsidRDefault="00025C45" w:rsidP="008F5308">
            <w:pPr>
              <w:widowControl w:val="0"/>
              <w:autoSpaceDE w:val="0"/>
              <w:autoSpaceDN w:val="0"/>
              <w:adjustRightInd w:val="0"/>
              <w:spacing w:after="0" w:line="240" w:lineRule="auto"/>
              <w:ind w:left="-70"/>
              <w:rPr>
                <w:rFonts w:ascii="Arial" w:eastAsia="Arial Unicode MS" w:hAnsi="Arial" w:cs="Arial"/>
                <w:b/>
                <w:bCs/>
                <w:color w:val="000000"/>
                <w:sz w:val="20"/>
                <w:szCs w:val="20"/>
                <w:u w:val="single"/>
                <w:lang w:val="es-ES" w:bidi="es-ES"/>
              </w:rPr>
            </w:pPr>
          </w:p>
        </w:tc>
        <w:tc>
          <w:tcPr>
            <w:tcW w:w="1136" w:type="dxa"/>
            <w:shd w:val="solid" w:color="FFFFFF" w:fill="auto"/>
          </w:tcPr>
          <w:p w14:paraId="34DBEE62" w14:textId="77777777" w:rsidR="00025C45" w:rsidRPr="0074154F" w:rsidRDefault="00025C45" w:rsidP="008F5308">
            <w:pPr>
              <w:tabs>
                <w:tab w:val="decimal" w:pos="779"/>
                <w:tab w:val="decimal" w:pos="963"/>
              </w:tabs>
              <w:spacing w:after="0" w:line="240" w:lineRule="auto"/>
              <w:rPr>
                <w:rFonts w:ascii="Arial" w:eastAsia="Times New Roman" w:hAnsi="Arial" w:cs="Arial"/>
                <w:sz w:val="20"/>
                <w:szCs w:val="20"/>
                <w:u w:val="double"/>
                <w:lang w:val="es-ES_tradnl"/>
              </w:rPr>
            </w:pPr>
          </w:p>
        </w:tc>
        <w:tc>
          <w:tcPr>
            <w:tcW w:w="160" w:type="dxa"/>
            <w:shd w:val="solid" w:color="FFFFFF" w:fill="auto"/>
          </w:tcPr>
          <w:p w14:paraId="74550475" w14:textId="77777777" w:rsidR="00025C45" w:rsidRPr="0074154F" w:rsidRDefault="00025C45"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c>
          <w:tcPr>
            <w:tcW w:w="1114" w:type="dxa"/>
            <w:shd w:val="solid" w:color="FFFFFF" w:fill="auto"/>
            <w:vAlign w:val="bottom"/>
          </w:tcPr>
          <w:p w14:paraId="7C98FB0E" w14:textId="77777777" w:rsidR="00025C45" w:rsidRPr="0074154F" w:rsidRDefault="00025C45" w:rsidP="008F5308">
            <w:pPr>
              <w:tabs>
                <w:tab w:val="decimal" w:pos="779"/>
                <w:tab w:val="decimal" w:pos="963"/>
              </w:tabs>
              <w:spacing w:after="0" w:line="240" w:lineRule="auto"/>
              <w:jc w:val="right"/>
              <w:rPr>
                <w:rFonts w:ascii="Arial" w:eastAsia="Times New Roman" w:hAnsi="Arial" w:cs="Arial"/>
                <w:sz w:val="20"/>
                <w:szCs w:val="20"/>
                <w:u w:val="double"/>
                <w:lang w:val="es-ES_tradnl"/>
              </w:rPr>
            </w:pPr>
          </w:p>
        </w:tc>
        <w:tc>
          <w:tcPr>
            <w:tcW w:w="162" w:type="dxa"/>
            <w:shd w:val="solid" w:color="FFFFFF" w:fill="auto"/>
          </w:tcPr>
          <w:p w14:paraId="13E44059" w14:textId="77777777" w:rsidR="00025C45" w:rsidRPr="0074154F" w:rsidRDefault="00025C45"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shd w:val="solid" w:color="FFFFFF" w:fill="auto"/>
            <w:vAlign w:val="bottom"/>
          </w:tcPr>
          <w:p w14:paraId="36855E57" w14:textId="77777777" w:rsidR="00025C45" w:rsidRPr="0074154F" w:rsidRDefault="00025C45"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264552" w:rsidRPr="0074154F" w14:paraId="125847B1" w14:textId="77777777" w:rsidTr="00D46EF7">
        <w:trPr>
          <w:trHeight w:val="112"/>
        </w:trPr>
        <w:tc>
          <w:tcPr>
            <w:tcW w:w="4820" w:type="dxa"/>
            <w:shd w:val="solid" w:color="FFFFFF" w:fill="auto"/>
            <w:vAlign w:val="bottom"/>
            <w:hideMark/>
          </w:tcPr>
          <w:p w14:paraId="06E2B0EA"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ENERO 1, 2019</w:t>
            </w:r>
          </w:p>
        </w:tc>
        <w:tc>
          <w:tcPr>
            <w:tcW w:w="1136" w:type="dxa"/>
            <w:shd w:val="solid" w:color="FFFFFF" w:fill="auto"/>
            <w:vAlign w:val="bottom"/>
          </w:tcPr>
          <w:p w14:paraId="41A9AD5E"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w:t>
            </w:r>
          </w:p>
        </w:tc>
        <w:tc>
          <w:tcPr>
            <w:tcW w:w="160" w:type="dxa"/>
            <w:shd w:val="solid" w:color="FFFFFF" w:fill="auto"/>
          </w:tcPr>
          <w:p w14:paraId="256CB702"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shd w:val="solid" w:color="FFFFFF" w:fill="auto"/>
            <w:vAlign w:val="bottom"/>
          </w:tcPr>
          <w:p w14:paraId="56B5829F"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(329,381)</w:t>
            </w:r>
          </w:p>
        </w:tc>
        <w:tc>
          <w:tcPr>
            <w:tcW w:w="162" w:type="dxa"/>
            <w:shd w:val="solid" w:color="FFFFFF" w:fill="auto"/>
          </w:tcPr>
          <w:p w14:paraId="0C60DEC3"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shd w:val="solid" w:color="FFFFFF" w:fill="auto"/>
            <w:vAlign w:val="bottom"/>
          </w:tcPr>
          <w:p w14:paraId="7B4E9FE0"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(329,381)</w:t>
            </w:r>
          </w:p>
        </w:tc>
      </w:tr>
      <w:tr w:rsidR="00264552" w:rsidRPr="0074154F" w14:paraId="27D83ACD" w14:textId="77777777" w:rsidTr="00264552">
        <w:trPr>
          <w:trHeight w:val="227"/>
        </w:trPr>
        <w:tc>
          <w:tcPr>
            <w:tcW w:w="4820" w:type="dxa"/>
            <w:shd w:val="solid" w:color="FFFFFF" w:fill="auto"/>
            <w:vAlign w:val="bottom"/>
            <w:hideMark/>
          </w:tcPr>
          <w:p w14:paraId="5FC319C1"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Depreciación</w:t>
            </w:r>
          </w:p>
        </w:tc>
        <w:tc>
          <w:tcPr>
            <w:tcW w:w="1136" w:type="dxa"/>
            <w:tcBorders>
              <w:bottom w:val="single" w:sz="4" w:space="0" w:color="auto"/>
            </w:tcBorders>
            <w:shd w:val="solid" w:color="FFFFFF" w:fill="auto"/>
            <w:vAlign w:val="bottom"/>
          </w:tcPr>
          <w:p w14:paraId="5ABFF3C1" w14:textId="77777777" w:rsidR="00264552" w:rsidRPr="0074154F" w:rsidRDefault="00264552" w:rsidP="008F5308">
            <w:pPr>
              <w:widowControl w:val="0"/>
              <w:tabs>
                <w:tab w:val="decimal" w:pos="779"/>
              </w:tabs>
              <w:spacing w:after="0" w:line="240" w:lineRule="auto"/>
              <w:jc w:val="right"/>
              <w:rPr>
                <w:rFonts w:ascii="Arial" w:eastAsia="Times New Roman" w:hAnsi="Arial" w:cs="Arial"/>
                <w:sz w:val="20"/>
                <w:szCs w:val="20"/>
                <w:lang w:val="es-ES_tradnl"/>
              </w:rPr>
            </w:pPr>
            <w:r w:rsidRPr="0074154F">
              <w:rPr>
                <w:rFonts w:ascii="Arial" w:eastAsia="Times New Roman" w:hAnsi="Arial" w:cs="Arial"/>
                <w:sz w:val="20"/>
                <w:szCs w:val="20"/>
                <w:lang w:val="es-ES_tradnl"/>
              </w:rPr>
              <w:t xml:space="preserve">         -</w:t>
            </w:r>
          </w:p>
        </w:tc>
        <w:tc>
          <w:tcPr>
            <w:tcW w:w="160" w:type="dxa"/>
            <w:shd w:val="solid" w:color="FFFFFF" w:fill="auto"/>
          </w:tcPr>
          <w:p w14:paraId="10F70982"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single"/>
                <w:lang w:val="es-ES" w:eastAsia="es-ES" w:bidi="es-ES"/>
              </w:rPr>
            </w:pPr>
          </w:p>
        </w:tc>
        <w:tc>
          <w:tcPr>
            <w:tcW w:w="1114" w:type="dxa"/>
            <w:tcBorders>
              <w:bottom w:val="single" w:sz="4" w:space="0" w:color="auto"/>
            </w:tcBorders>
            <w:shd w:val="solid" w:color="FFFFFF" w:fill="auto"/>
            <w:vAlign w:val="bottom"/>
          </w:tcPr>
          <w:p w14:paraId="70348442"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(39,210)</w:t>
            </w:r>
          </w:p>
        </w:tc>
        <w:tc>
          <w:tcPr>
            <w:tcW w:w="162" w:type="dxa"/>
            <w:shd w:val="solid" w:color="FFFFFF" w:fill="auto"/>
          </w:tcPr>
          <w:p w14:paraId="29C2D57C"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bottom w:val="single" w:sz="4" w:space="0" w:color="auto"/>
            </w:tcBorders>
            <w:shd w:val="solid" w:color="FFFFFF" w:fill="auto"/>
            <w:vAlign w:val="bottom"/>
          </w:tcPr>
          <w:p w14:paraId="3284B31D"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(39,210)</w:t>
            </w:r>
          </w:p>
        </w:tc>
      </w:tr>
      <w:tr w:rsidR="00264552" w:rsidRPr="0074154F" w14:paraId="7A8B6348" w14:textId="77777777" w:rsidTr="00264552">
        <w:trPr>
          <w:trHeight w:val="227"/>
        </w:trPr>
        <w:tc>
          <w:tcPr>
            <w:tcW w:w="4820" w:type="dxa"/>
            <w:shd w:val="solid" w:color="FFFFFF" w:fill="auto"/>
            <w:vAlign w:val="bottom"/>
          </w:tcPr>
          <w:p w14:paraId="2D548717"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136" w:type="dxa"/>
            <w:tcBorders>
              <w:top w:val="single" w:sz="4" w:space="0" w:color="auto"/>
            </w:tcBorders>
            <w:shd w:val="solid" w:color="FFFFFF" w:fill="auto"/>
            <w:vAlign w:val="bottom"/>
          </w:tcPr>
          <w:p w14:paraId="1ECF552C"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double"/>
                <w:lang w:val="es-ES" w:eastAsia="es-ES" w:bidi="es-ES"/>
              </w:rPr>
            </w:pPr>
          </w:p>
        </w:tc>
        <w:tc>
          <w:tcPr>
            <w:tcW w:w="160" w:type="dxa"/>
            <w:shd w:val="solid" w:color="FFFFFF" w:fill="auto"/>
          </w:tcPr>
          <w:p w14:paraId="13034E55"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u w:val="double"/>
                <w:lang w:val="es-ES" w:eastAsia="es-ES" w:bidi="es-ES"/>
              </w:rPr>
            </w:pPr>
          </w:p>
        </w:tc>
        <w:tc>
          <w:tcPr>
            <w:tcW w:w="1114" w:type="dxa"/>
            <w:tcBorders>
              <w:top w:val="single" w:sz="4" w:space="0" w:color="auto"/>
            </w:tcBorders>
            <w:shd w:val="solid" w:color="FFFFFF" w:fill="auto"/>
            <w:vAlign w:val="bottom"/>
          </w:tcPr>
          <w:p w14:paraId="00E0C217"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62" w:type="dxa"/>
            <w:shd w:val="solid" w:color="FFFFFF" w:fill="auto"/>
          </w:tcPr>
          <w:p w14:paraId="49828A1A"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top w:val="single" w:sz="4" w:space="0" w:color="auto"/>
            </w:tcBorders>
            <w:shd w:val="solid" w:color="FFFFFF" w:fill="auto"/>
            <w:vAlign w:val="bottom"/>
          </w:tcPr>
          <w:p w14:paraId="2FF8E58F"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264552" w:rsidRPr="0074154F" w14:paraId="5913726E" w14:textId="77777777" w:rsidTr="00264552">
        <w:trPr>
          <w:trHeight w:val="227"/>
        </w:trPr>
        <w:tc>
          <w:tcPr>
            <w:tcW w:w="4820" w:type="dxa"/>
            <w:shd w:val="solid" w:color="FFFFFF" w:fill="auto"/>
            <w:vAlign w:val="bottom"/>
            <w:hideMark/>
          </w:tcPr>
          <w:p w14:paraId="506CB42C"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DICIEMBRE 31, 2019</w:t>
            </w:r>
          </w:p>
        </w:tc>
        <w:tc>
          <w:tcPr>
            <w:tcW w:w="1136" w:type="dxa"/>
            <w:shd w:val="solid" w:color="FFFFFF" w:fill="auto"/>
            <w:vAlign w:val="bottom"/>
          </w:tcPr>
          <w:p w14:paraId="7548CEED" w14:textId="77777777" w:rsidR="00264552" w:rsidRPr="0074154F" w:rsidRDefault="00264552" w:rsidP="008F5308">
            <w:pPr>
              <w:widowControl w:val="0"/>
              <w:tabs>
                <w:tab w:val="decimal" w:pos="779"/>
              </w:tabs>
              <w:spacing w:after="0" w:line="240" w:lineRule="auto"/>
              <w:jc w:val="right"/>
              <w:rPr>
                <w:rFonts w:ascii="Arial" w:eastAsia="Times New Roman" w:hAnsi="Arial" w:cs="Arial"/>
                <w:sz w:val="20"/>
                <w:szCs w:val="20"/>
                <w:lang w:val="es-ES_tradnl"/>
              </w:rPr>
            </w:pPr>
            <w:r w:rsidRPr="0074154F">
              <w:rPr>
                <w:rFonts w:ascii="Arial" w:eastAsia="Times New Roman" w:hAnsi="Arial" w:cs="Arial"/>
                <w:sz w:val="20"/>
                <w:szCs w:val="20"/>
                <w:lang w:val="es-ES_tradnl"/>
              </w:rPr>
              <w:t xml:space="preserve">         -</w:t>
            </w:r>
          </w:p>
        </w:tc>
        <w:tc>
          <w:tcPr>
            <w:tcW w:w="160" w:type="dxa"/>
            <w:shd w:val="solid" w:color="FFFFFF" w:fill="auto"/>
          </w:tcPr>
          <w:p w14:paraId="05375D3A"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shd w:val="solid" w:color="FFFFFF" w:fill="auto"/>
            <w:vAlign w:val="bottom"/>
          </w:tcPr>
          <w:p w14:paraId="380028C0"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(368,591)</w:t>
            </w:r>
          </w:p>
        </w:tc>
        <w:tc>
          <w:tcPr>
            <w:tcW w:w="162" w:type="dxa"/>
            <w:shd w:val="solid" w:color="FFFFFF" w:fill="auto"/>
          </w:tcPr>
          <w:p w14:paraId="79282DCE"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shd w:val="solid" w:color="FFFFFF" w:fill="auto"/>
            <w:vAlign w:val="bottom"/>
          </w:tcPr>
          <w:p w14:paraId="157232CC"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(368,591)</w:t>
            </w:r>
          </w:p>
        </w:tc>
      </w:tr>
      <w:tr w:rsidR="00264552" w:rsidRPr="0074154F" w14:paraId="1D4B49CA" w14:textId="77777777" w:rsidTr="00264552">
        <w:trPr>
          <w:trHeight w:val="227"/>
        </w:trPr>
        <w:tc>
          <w:tcPr>
            <w:tcW w:w="4820" w:type="dxa"/>
            <w:shd w:val="solid" w:color="FFFFFF" w:fill="auto"/>
            <w:vAlign w:val="bottom"/>
          </w:tcPr>
          <w:p w14:paraId="5A19DA40"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136" w:type="dxa"/>
            <w:shd w:val="solid" w:color="FFFFFF" w:fill="auto"/>
            <w:vAlign w:val="bottom"/>
          </w:tcPr>
          <w:p w14:paraId="2CD69F7E" w14:textId="77777777" w:rsidR="00264552" w:rsidRPr="0074154F" w:rsidRDefault="00264552" w:rsidP="008F5308">
            <w:pPr>
              <w:widowControl w:val="0"/>
              <w:tabs>
                <w:tab w:val="decimal" w:pos="779"/>
              </w:tabs>
              <w:spacing w:after="0" w:line="240" w:lineRule="auto"/>
              <w:jc w:val="right"/>
              <w:rPr>
                <w:rFonts w:ascii="Arial" w:eastAsia="Times New Roman" w:hAnsi="Arial" w:cs="Arial"/>
                <w:sz w:val="20"/>
                <w:szCs w:val="20"/>
                <w:lang w:val="es-ES_tradnl"/>
              </w:rPr>
            </w:pPr>
          </w:p>
        </w:tc>
        <w:tc>
          <w:tcPr>
            <w:tcW w:w="160" w:type="dxa"/>
            <w:shd w:val="solid" w:color="FFFFFF" w:fill="auto"/>
          </w:tcPr>
          <w:p w14:paraId="40B1813C"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shd w:val="solid" w:color="FFFFFF" w:fill="auto"/>
            <w:vAlign w:val="bottom"/>
          </w:tcPr>
          <w:p w14:paraId="74B7BA2D"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62" w:type="dxa"/>
            <w:shd w:val="solid" w:color="FFFFFF" w:fill="auto"/>
          </w:tcPr>
          <w:p w14:paraId="476E5951"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shd w:val="solid" w:color="FFFFFF" w:fill="auto"/>
            <w:vAlign w:val="bottom"/>
          </w:tcPr>
          <w:p w14:paraId="6F6553C3"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264552" w:rsidRPr="0074154F" w14:paraId="413CCCB2" w14:textId="77777777" w:rsidTr="00264552">
        <w:trPr>
          <w:trHeight w:val="227"/>
        </w:trPr>
        <w:tc>
          <w:tcPr>
            <w:tcW w:w="4820" w:type="dxa"/>
            <w:shd w:val="solid" w:color="FFFFFF" w:fill="auto"/>
            <w:vAlign w:val="bottom"/>
          </w:tcPr>
          <w:p w14:paraId="6C5A9E3A" w14:textId="0F94B853"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Depreciación, Nota 2</w:t>
            </w:r>
            <w:r w:rsidR="00247CED" w:rsidRPr="0074154F">
              <w:rPr>
                <w:rFonts w:ascii="Arial" w:eastAsia="Arial Unicode MS" w:hAnsi="Arial" w:cs="Arial"/>
                <w:color w:val="000000"/>
                <w:sz w:val="20"/>
                <w:szCs w:val="20"/>
                <w:lang w:val="es-ES" w:bidi="es-ES"/>
              </w:rPr>
              <w:t>7</w:t>
            </w:r>
          </w:p>
        </w:tc>
        <w:tc>
          <w:tcPr>
            <w:tcW w:w="1136" w:type="dxa"/>
            <w:tcBorders>
              <w:bottom w:val="single" w:sz="4" w:space="0" w:color="auto"/>
            </w:tcBorders>
            <w:shd w:val="solid" w:color="FFFFFF" w:fill="auto"/>
            <w:vAlign w:val="bottom"/>
          </w:tcPr>
          <w:p w14:paraId="6B74FAB9" w14:textId="77777777" w:rsidR="00264552" w:rsidRPr="0074154F" w:rsidRDefault="00264552" w:rsidP="008F5308">
            <w:pPr>
              <w:widowControl w:val="0"/>
              <w:tabs>
                <w:tab w:val="decimal" w:pos="779"/>
              </w:tabs>
              <w:spacing w:after="0" w:line="240" w:lineRule="auto"/>
              <w:jc w:val="right"/>
              <w:rPr>
                <w:rFonts w:ascii="Arial" w:eastAsia="Times New Roman" w:hAnsi="Arial" w:cs="Arial"/>
                <w:sz w:val="20"/>
                <w:szCs w:val="20"/>
                <w:lang w:val="es-ES_tradnl"/>
              </w:rPr>
            </w:pPr>
            <w:r w:rsidRPr="0074154F">
              <w:rPr>
                <w:rFonts w:ascii="Arial" w:eastAsia="Times New Roman" w:hAnsi="Arial" w:cs="Arial"/>
                <w:sz w:val="20"/>
                <w:szCs w:val="20"/>
                <w:lang w:val="es-ES_tradnl"/>
              </w:rPr>
              <w:t xml:space="preserve">          -</w:t>
            </w:r>
          </w:p>
        </w:tc>
        <w:tc>
          <w:tcPr>
            <w:tcW w:w="160" w:type="dxa"/>
            <w:shd w:val="solid" w:color="FFFFFF" w:fill="auto"/>
          </w:tcPr>
          <w:p w14:paraId="01C37B87"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tcBorders>
              <w:bottom w:val="single" w:sz="4" w:space="0" w:color="auto"/>
            </w:tcBorders>
            <w:shd w:val="solid" w:color="FFFFFF" w:fill="auto"/>
            <w:vAlign w:val="bottom"/>
          </w:tcPr>
          <w:p w14:paraId="4366A84F"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(39,210)</w:t>
            </w:r>
          </w:p>
        </w:tc>
        <w:tc>
          <w:tcPr>
            <w:tcW w:w="162" w:type="dxa"/>
            <w:shd w:val="solid" w:color="FFFFFF" w:fill="auto"/>
          </w:tcPr>
          <w:p w14:paraId="5453B65E"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bottom w:val="single" w:sz="4" w:space="0" w:color="auto"/>
            </w:tcBorders>
            <w:shd w:val="solid" w:color="FFFFFF" w:fill="auto"/>
            <w:vAlign w:val="bottom"/>
          </w:tcPr>
          <w:p w14:paraId="2A88128F"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(39,210)</w:t>
            </w:r>
          </w:p>
        </w:tc>
      </w:tr>
      <w:tr w:rsidR="00264552" w:rsidRPr="0074154F" w14:paraId="4780CA34" w14:textId="77777777" w:rsidTr="00137ECC">
        <w:trPr>
          <w:trHeight w:val="173"/>
        </w:trPr>
        <w:tc>
          <w:tcPr>
            <w:tcW w:w="4820" w:type="dxa"/>
            <w:shd w:val="solid" w:color="FFFFFF" w:fill="auto"/>
            <w:vAlign w:val="bottom"/>
          </w:tcPr>
          <w:p w14:paraId="54858CD9"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136" w:type="dxa"/>
            <w:tcBorders>
              <w:top w:val="single" w:sz="4" w:space="0" w:color="auto"/>
            </w:tcBorders>
            <w:shd w:val="solid" w:color="FFFFFF" w:fill="auto"/>
            <w:vAlign w:val="bottom"/>
          </w:tcPr>
          <w:p w14:paraId="227945EA" w14:textId="77777777" w:rsidR="00264552" w:rsidRPr="0074154F" w:rsidRDefault="00264552" w:rsidP="008F5308">
            <w:pPr>
              <w:widowControl w:val="0"/>
              <w:tabs>
                <w:tab w:val="decimal" w:pos="779"/>
              </w:tabs>
              <w:spacing w:after="0" w:line="240" w:lineRule="auto"/>
              <w:rPr>
                <w:rFonts w:ascii="Arial" w:eastAsia="Times New Roman" w:hAnsi="Arial" w:cs="Arial"/>
                <w:sz w:val="20"/>
                <w:szCs w:val="20"/>
                <w:lang w:val="es-ES_tradnl"/>
              </w:rPr>
            </w:pPr>
          </w:p>
        </w:tc>
        <w:tc>
          <w:tcPr>
            <w:tcW w:w="160" w:type="dxa"/>
            <w:shd w:val="solid" w:color="FFFFFF" w:fill="auto"/>
          </w:tcPr>
          <w:p w14:paraId="217BD6C2"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114" w:type="dxa"/>
            <w:tcBorders>
              <w:top w:val="single" w:sz="4" w:space="0" w:color="auto"/>
            </w:tcBorders>
            <w:shd w:val="solid" w:color="FFFFFF" w:fill="auto"/>
            <w:vAlign w:val="bottom"/>
          </w:tcPr>
          <w:p w14:paraId="26EAA586"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62" w:type="dxa"/>
            <w:shd w:val="solid" w:color="FFFFFF" w:fill="auto"/>
          </w:tcPr>
          <w:p w14:paraId="12DCBF61"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top w:val="single" w:sz="4" w:space="0" w:color="auto"/>
            </w:tcBorders>
            <w:shd w:val="solid" w:color="FFFFFF" w:fill="auto"/>
            <w:vAlign w:val="bottom"/>
          </w:tcPr>
          <w:p w14:paraId="39A69A78"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r w:rsidR="00264552" w:rsidRPr="0074154F" w14:paraId="501C18DE" w14:textId="77777777" w:rsidTr="00264552">
        <w:trPr>
          <w:trHeight w:val="227"/>
        </w:trPr>
        <w:tc>
          <w:tcPr>
            <w:tcW w:w="4820" w:type="dxa"/>
            <w:shd w:val="clear" w:color="auto" w:fill="auto"/>
            <w:vAlign w:val="bottom"/>
          </w:tcPr>
          <w:p w14:paraId="32DA1A36"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r w:rsidRPr="0074154F">
              <w:rPr>
                <w:rFonts w:ascii="Arial" w:eastAsia="Arial Unicode MS" w:hAnsi="Arial" w:cs="Arial"/>
                <w:color w:val="000000"/>
                <w:sz w:val="20"/>
                <w:szCs w:val="20"/>
                <w:lang w:val="es-ES" w:bidi="es-ES"/>
              </w:rPr>
              <w:t>DICIEMBRE 31, 2020</w:t>
            </w:r>
          </w:p>
        </w:tc>
        <w:tc>
          <w:tcPr>
            <w:tcW w:w="1136" w:type="dxa"/>
            <w:tcBorders>
              <w:bottom w:val="double" w:sz="4" w:space="0" w:color="auto"/>
            </w:tcBorders>
            <w:shd w:val="clear" w:color="auto" w:fill="auto"/>
            <w:vAlign w:val="bottom"/>
          </w:tcPr>
          <w:p w14:paraId="742C63FA"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r w:rsidRPr="0074154F">
              <w:rPr>
                <w:rFonts w:ascii="Arial" w:eastAsia="Arial Unicode MS" w:hAnsi="Arial" w:cs="Arial"/>
                <w:color w:val="000000"/>
                <w:sz w:val="20"/>
                <w:szCs w:val="20"/>
                <w:lang w:val="es-ES" w:eastAsia="es-ES" w:bidi="es-ES"/>
              </w:rPr>
              <w:t xml:space="preserve">          -</w:t>
            </w:r>
          </w:p>
        </w:tc>
        <w:tc>
          <w:tcPr>
            <w:tcW w:w="160" w:type="dxa"/>
          </w:tcPr>
          <w:p w14:paraId="66047045" w14:textId="77777777" w:rsidR="00264552" w:rsidRPr="0074154F" w:rsidRDefault="00264552" w:rsidP="008F5308">
            <w:pPr>
              <w:widowControl w:val="0"/>
              <w:tabs>
                <w:tab w:val="decimal" w:pos="779"/>
              </w:tabs>
              <w:spacing w:after="0" w:line="240" w:lineRule="auto"/>
              <w:rPr>
                <w:rFonts w:ascii="Arial" w:eastAsia="Times New Roman" w:hAnsi="Arial" w:cs="Arial"/>
                <w:sz w:val="20"/>
                <w:szCs w:val="20"/>
                <w:lang w:val="es-ES_tradnl"/>
              </w:rPr>
            </w:pPr>
          </w:p>
        </w:tc>
        <w:tc>
          <w:tcPr>
            <w:tcW w:w="1114" w:type="dxa"/>
            <w:tcBorders>
              <w:bottom w:val="double" w:sz="4" w:space="0" w:color="auto"/>
            </w:tcBorders>
            <w:shd w:val="clear" w:color="auto" w:fill="auto"/>
            <w:vAlign w:val="bottom"/>
          </w:tcPr>
          <w:p w14:paraId="5353EA0C" w14:textId="77777777" w:rsidR="00264552" w:rsidRPr="0074154F" w:rsidRDefault="00264552" w:rsidP="008F5308">
            <w:pPr>
              <w:widowControl w:val="0"/>
              <w:tabs>
                <w:tab w:val="decimal" w:pos="779"/>
              </w:tabs>
              <w:spacing w:after="0" w:line="240" w:lineRule="auto"/>
              <w:jc w:val="right"/>
              <w:rPr>
                <w:rFonts w:ascii="Arial" w:eastAsia="Times New Roman" w:hAnsi="Arial" w:cs="Arial"/>
                <w:sz w:val="20"/>
                <w:szCs w:val="20"/>
                <w:lang w:val="es-ES_tradnl"/>
              </w:rPr>
            </w:pPr>
            <w:r w:rsidRPr="0074154F">
              <w:rPr>
                <w:rFonts w:ascii="Arial" w:eastAsia="Times New Roman" w:hAnsi="Arial" w:cs="Arial"/>
                <w:sz w:val="20"/>
                <w:szCs w:val="20"/>
                <w:lang w:val="es-ES_tradnl"/>
              </w:rPr>
              <w:t>(407,801)</w:t>
            </w:r>
          </w:p>
        </w:tc>
        <w:tc>
          <w:tcPr>
            <w:tcW w:w="162" w:type="dxa"/>
          </w:tcPr>
          <w:p w14:paraId="5546A62D"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bottom w:val="double" w:sz="4" w:space="0" w:color="auto"/>
            </w:tcBorders>
            <w:shd w:val="clear" w:color="auto" w:fill="auto"/>
            <w:vAlign w:val="bottom"/>
          </w:tcPr>
          <w:p w14:paraId="1261E1B2"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r w:rsidRPr="0074154F">
              <w:rPr>
                <w:rFonts w:ascii="Arial" w:eastAsia="Times New Roman" w:hAnsi="Arial" w:cs="Arial"/>
                <w:sz w:val="20"/>
                <w:szCs w:val="20"/>
                <w:lang w:val="es-ES_tradnl"/>
              </w:rPr>
              <w:t>(407,801)</w:t>
            </w:r>
          </w:p>
        </w:tc>
      </w:tr>
      <w:tr w:rsidR="00264552" w:rsidRPr="0074154F" w14:paraId="38C20C9D" w14:textId="77777777" w:rsidTr="00264552">
        <w:trPr>
          <w:trHeight w:val="227"/>
        </w:trPr>
        <w:tc>
          <w:tcPr>
            <w:tcW w:w="4820" w:type="dxa"/>
            <w:shd w:val="clear" w:color="auto" w:fill="auto"/>
            <w:vAlign w:val="bottom"/>
          </w:tcPr>
          <w:p w14:paraId="60F2E71F" w14:textId="77777777" w:rsidR="00264552" w:rsidRPr="0074154F" w:rsidRDefault="00264552" w:rsidP="008F5308">
            <w:pPr>
              <w:widowControl w:val="0"/>
              <w:autoSpaceDE w:val="0"/>
              <w:autoSpaceDN w:val="0"/>
              <w:adjustRightInd w:val="0"/>
              <w:spacing w:after="0" w:line="240" w:lineRule="auto"/>
              <w:ind w:left="-70"/>
              <w:rPr>
                <w:rFonts w:ascii="Arial" w:eastAsia="Arial Unicode MS" w:hAnsi="Arial" w:cs="Arial"/>
                <w:color w:val="000000"/>
                <w:sz w:val="20"/>
                <w:szCs w:val="20"/>
                <w:lang w:val="es-ES" w:bidi="es-ES"/>
              </w:rPr>
            </w:pPr>
          </w:p>
        </w:tc>
        <w:tc>
          <w:tcPr>
            <w:tcW w:w="1136" w:type="dxa"/>
            <w:tcBorders>
              <w:top w:val="double" w:sz="4" w:space="0" w:color="auto"/>
            </w:tcBorders>
            <w:shd w:val="clear" w:color="auto" w:fill="auto"/>
            <w:vAlign w:val="bottom"/>
          </w:tcPr>
          <w:p w14:paraId="61996E5F" w14:textId="77777777" w:rsidR="00264552" w:rsidRPr="0074154F" w:rsidRDefault="00264552" w:rsidP="008F5308">
            <w:pPr>
              <w:widowControl w:val="0"/>
              <w:tabs>
                <w:tab w:val="decimal" w:pos="779"/>
              </w:tabs>
              <w:spacing w:after="0" w:line="240" w:lineRule="auto"/>
              <w:jc w:val="right"/>
              <w:rPr>
                <w:rFonts w:ascii="Arial" w:eastAsia="Arial Unicode MS" w:hAnsi="Arial" w:cs="Arial"/>
                <w:color w:val="000000"/>
                <w:sz w:val="20"/>
                <w:szCs w:val="20"/>
                <w:lang w:val="es-ES" w:eastAsia="es-ES" w:bidi="es-ES"/>
              </w:rPr>
            </w:pPr>
          </w:p>
        </w:tc>
        <w:tc>
          <w:tcPr>
            <w:tcW w:w="160" w:type="dxa"/>
          </w:tcPr>
          <w:p w14:paraId="562C11BF" w14:textId="77777777" w:rsidR="00264552" w:rsidRPr="0074154F" w:rsidRDefault="00264552" w:rsidP="008F5308">
            <w:pPr>
              <w:widowControl w:val="0"/>
              <w:tabs>
                <w:tab w:val="decimal" w:pos="779"/>
              </w:tabs>
              <w:spacing w:after="0" w:line="240" w:lineRule="auto"/>
              <w:rPr>
                <w:rFonts w:ascii="Arial" w:eastAsia="Times New Roman" w:hAnsi="Arial" w:cs="Arial"/>
                <w:sz w:val="20"/>
                <w:szCs w:val="20"/>
                <w:lang w:val="es-ES_tradnl"/>
              </w:rPr>
            </w:pPr>
          </w:p>
        </w:tc>
        <w:tc>
          <w:tcPr>
            <w:tcW w:w="1114" w:type="dxa"/>
            <w:tcBorders>
              <w:top w:val="double" w:sz="4" w:space="0" w:color="auto"/>
            </w:tcBorders>
            <w:shd w:val="clear" w:color="auto" w:fill="auto"/>
            <w:vAlign w:val="bottom"/>
          </w:tcPr>
          <w:p w14:paraId="73B1A10E" w14:textId="77777777" w:rsidR="00264552" w:rsidRPr="0074154F" w:rsidRDefault="00264552" w:rsidP="008F5308">
            <w:pPr>
              <w:widowControl w:val="0"/>
              <w:tabs>
                <w:tab w:val="decimal" w:pos="779"/>
              </w:tabs>
              <w:spacing w:after="0" w:line="240" w:lineRule="auto"/>
              <w:rPr>
                <w:rFonts w:ascii="Arial" w:eastAsia="Times New Roman" w:hAnsi="Arial" w:cs="Arial"/>
                <w:sz w:val="20"/>
                <w:szCs w:val="20"/>
                <w:lang w:val="es-ES_tradnl"/>
              </w:rPr>
            </w:pPr>
          </w:p>
        </w:tc>
        <w:tc>
          <w:tcPr>
            <w:tcW w:w="162" w:type="dxa"/>
          </w:tcPr>
          <w:p w14:paraId="007C79AB"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c>
          <w:tcPr>
            <w:tcW w:w="1113" w:type="dxa"/>
            <w:tcBorders>
              <w:top w:val="double" w:sz="4" w:space="0" w:color="auto"/>
            </w:tcBorders>
            <w:shd w:val="clear" w:color="auto" w:fill="auto"/>
            <w:vAlign w:val="bottom"/>
          </w:tcPr>
          <w:p w14:paraId="42545808" w14:textId="77777777" w:rsidR="00264552" w:rsidRPr="0074154F" w:rsidRDefault="00264552" w:rsidP="008F5308">
            <w:pPr>
              <w:widowControl w:val="0"/>
              <w:tabs>
                <w:tab w:val="decimal" w:pos="920"/>
              </w:tabs>
              <w:spacing w:after="0" w:line="240" w:lineRule="auto"/>
              <w:rPr>
                <w:rFonts w:ascii="Arial" w:eastAsia="Arial Unicode MS" w:hAnsi="Arial" w:cs="Arial"/>
                <w:color w:val="000000"/>
                <w:sz w:val="20"/>
                <w:szCs w:val="20"/>
                <w:lang w:val="es-ES" w:eastAsia="es-ES" w:bidi="es-ES"/>
              </w:rPr>
            </w:pPr>
          </w:p>
        </w:tc>
      </w:tr>
    </w:tbl>
    <w:p w14:paraId="123E3CA5" w14:textId="77777777" w:rsidR="003E6C8C" w:rsidRPr="00224BC5" w:rsidRDefault="003E6C8C" w:rsidP="003E6C8C">
      <w:pPr>
        <w:pStyle w:val="Heading1"/>
        <w:tabs>
          <w:tab w:val="clear" w:pos="6960"/>
          <w:tab w:val="clear" w:pos="7800"/>
          <w:tab w:val="clear" w:pos="8280"/>
          <w:tab w:val="left" w:pos="7655"/>
        </w:tabs>
        <w:ind w:left="567"/>
        <w:jc w:val="both"/>
        <w:rPr>
          <w:rFonts w:ascii="Arial" w:hAnsi="Arial" w:cs="Arial"/>
          <w:b w:val="0"/>
          <w:bCs/>
          <w:color w:val="000000" w:themeColor="text1"/>
          <w:sz w:val="20"/>
          <w:lang w:val="es-EC" w:eastAsia="es-EC"/>
        </w:rPr>
      </w:pPr>
      <w:bookmarkStart w:id="13" w:name="_Hlk75814956"/>
      <w:bookmarkStart w:id="14" w:name="_Hlk510719952"/>
      <w:r w:rsidRPr="00224BC5">
        <w:rPr>
          <w:rFonts w:ascii="Arial" w:hAnsi="Arial" w:cs="Arial"/>
          <w:b w:val="0"/>
          <w:bCs/>
          <w:color w:val="000000" w:themeColor="text1"/>
          <w:sz w:val="20"/>
          <w:lang w:val="es-EC" w:eastAsia="es-EC"/>
        </w:rPr>
        <w:t xml:space="preserve">Las propiedades de inversión se encuentran ubicadas en el Edificio </w:t>
      </w:r>
      <w:proofErr w:type="spellStart"/>
      <w:r w:rsidRPr="00224BC5">
        <w:rPr>
          <w:rFonts w:ascii="Arial" w:hAnsi="Arial" w:cs="Arial"/>
          <w:b w:val="0"/>
          <w:bCs/>
          <w:color w:val="000000" w:themeColor="text1"/>
          <w:sz w:val="20"/>
          <w:lang w:val="es-EC" w:eastAsia="es-EC"/>
        </w:rPr>
        <w:t>Coloncorp</w:t>
      </w:r>
      <w:proofErr w:type="spellEnd"/>
      <w:r w:rsidRPr="00224BC5">
        <w:rPr>
          <w:rFonts w:ascii="Arial" w:hAnsi="Arial" w:cs="Arial"/>
          <w:b w:val="0"/>
          <w:bCs/>
          <w:color w:val="000000" w:themeColor="text1"/>
          <w:sz w:val="20"/>
          <w:lang w:val="es-EC" w:eastAsia="es-EC"/>
        </w:rPr>
        <w:t xml:space="preserve"> S.A. Urbanización Ciudad Colón Etapa III en el que consiste el local L cero y cuatro y L cero cinco de la planta baja y cuatro estacionamientos en el subsuelo nivel 3.25. y oficina M003, M004, L005 (bodega) del Piso Mezanine por US$833,392 y los parqueos E6-6A, E6-6B, E6-9 y E6-10 del subsuelo clasificados como terrenos por US$120,000.</w:t>
      </w:r>
    </w:p>
    <w:bookmarkEnd w:id="13"/>
    <w:p w14:paraId="58E08DC4" w14:textId="77777777" w:rsidR="008772A7" w:rsidRPr="00D35C78" w:rsidRDefault="008772A7" w:rsidP="008772A7">
      <w:pPr>
        <w:rPr>
          <w:rFonts w:ascii="Arial" w:hAnsi="Arial" w:cs="Arial"/>
          <w:sz w:val="6"/>
          <w:szCs w:val="6"/>
          <w:lang w:eastAsia="es-EC"/>
        </w:rPr>
      </w:pPr>
    </w:p>
    <w:p w14:paraId="32CEF68C" w14:textId="30AFBA1B" w:rsidR="00564B0F" w:rsidRPr="0074154F" w:rsidRDefault="00DA60A6"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PROPIEDADES</w:t>
      </w:r>
      <w:r w:rsidR="00AA56D9" w:rsidRPr="0074154F">
        <w:rPr>
          <w:rFonts w:ascii="Arial" w:hAnsi="Arial" w:cs="Arial"/>
          <w:sz w:val="20"/>
          <w:u w:val="single"/>
          <w:lang w:val="es-EC" w:eastAsia="es-EC"/>
        </w:rPr>
        <w:t xml:space="preserve"> Y EQUIPOS</w:t>
      </w:r>
      <w:r w:rsidRPr="0074154F">
        <w:rPr>
          <w:rFonts w:ascii="Arial" w:hAnsi="Arial" w:cs="Arial"/>
          <w:sz w:val="20"/>
          <w:u w:val="single"/>
          <w:lang w:val="es-EC" w:eastAsia="es-EC"/>
        </w:rPr>
        <w:t>, NETO</w:t>
      </w:r>
    </w:p>
    <w:p w14:paraId="2B4269C9" w14:textId="20DB6C75" w:rsidR="00A127DD" w:rsidRPr="00D35C78" w:rsidRDefault="00A127DD" w:rsidP="00A127DD">
      <w:pPr>
        <w:rPr>
          <w:rFonts w:ascii="Arial" w:hAnsi="Arial" w:cs="Arial"/>
          <w:sz w:val="10"/>
          <w:szCs w:val="10"/>
          <w:lang w:eastAsia="es-EC"/>
        </w:rPr>
      </w:pPr>
    </w:p>
    <w:tbl>
      <w:tblPr>
        <w:tblW w:w="8503" w:type="dxa"/>
        <w:jc w:val="right"/>
        <w:tblCellMar>
          <w:left w:w="70" w:type="dxa"/>
          <w:right w:w="70" w:type="dxa"/>
        </w:tblCellMar>
        <w:tblLook w:val="04A0" w:firstRow="1" w:lastRow="0" w:firstColumn="1" w:lastColumn="0" w:noHBand="0" w:noVBand="1"/>
      </w:tblPr>
      <w:tblGrid>
        <w:gridCol w:w="4756"/>
        <w:gridCol w:w="2048"/>
        <w:gridCol w:w="218"/>
        <w:gridCol w:w="2048"/>
      </w:tblGrid>
      <w:tr w:rsidR="0055741C" w:rsidRPr="0074154F" w14:paraId="3373AF31" w14:textId="77777777" w:rsidTr="008F5308">
        <w:trPr>
          <w:trHeight w:val="283"/>
          <w:jc w:val="right"/>
        </w:trPr>
        <w:tc>
          <w:tcPr>
            <w:tcW w:w="5272" w:type="dxa"/>
            <w:tcBorders>
              <w:top w:val="nil"/>
              <w:left w:val="nil"/>
              <w:bottom w:val="nil"/>
              <w:right w:val="nil"/>
            </w:tcBorders>
            <w:shd w:val="clear" w:color="auto" w:fill="auto"/>
            <w:noWrap/>
            <w:vAlign w:val="bottom"/>
            <w:hideMark/>
          </w:tcPr>
          <w:p w14:paraId="772CDE1E" w14:textId="77777777" w:rsidR="0055741C" w:rsidRPr="0074154F" w:rsidRDefault="0055741C"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F521718" w14:textId="77777777" w:rsidR="0055741C" w:rsidRPr="0074154F" w:rsidRDefault="0055741C"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tcBorders>
              <w:top w:val="nil"/>
              <w:left w:val="nil"/>
              <w:bottom w:val="nil"/>
              <w:right w:val="nil"/>
            </w:tcBorders>
            <w:shd w:val="clear" w:color="auto" w:fill="auto"/>
            <w:noWrap/>
            <w:vAlign w:val="bottom"/>
            <w:hideMark/>
          </w:tcPr>
          <w:p w14:paraId="5B4CA04D" w14:textId="77777777" w:rsidR="0055741C" w:rsidRPr="0074154F" w:rsidRDefault="0055741C" w:rsidP="008F5308">
            <w:pPr>
              <w:spacing w:after="0" w:line="240" w:lineRule="auto"/>
              <w:ind w:right="58"/>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5AE86BC" w14:textId="77777777" w:rsidR="0055741C" w:rsidRPr="0074154F" w:rsidRDefault="0055741C"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55741C" w:rsidRPr="0074154F" w14:paraId="0E7697A0" w14:textId="77777777" w:rsidTr="008F5308">
        <w:trPr>
          <w:trHeight w:val="215"/>
          <w:jc w:val="right"/>
        </w:trPr>
        <w:tc>
          <w:tcPr>
            <w:tcW w:w="5272" w:type="dxa"/>
            <w:tcBorders>
              <w:top w:val="nil"/>
              <w:left w:val="nil"/>
              <w:bottom w:val="nil"/>
              <w:right w:val="nil"/>
            </w:tcBorders>
            <w:shd w:val="clear" w:color="auto" w:fill="auto"/>
            <w:noWrap/>
            <w:vAlign w:val="bottom"/>
            <w:hideMark/>
          </w:tcPr>
          <w:p w14:paraId="7814BCEB" w14:textId="77777777" w:rsidR="0055741C" w:rsidRPr="0074154F" w:rsidRDefault="0055741C"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4EA08692" w14:textId="77777777" w:rsidR="0055741C" w:rsidRPr="0074154F" w:rsidRDefault="0055741C" w:rsidP="008F5308">
            <w:pPr>
              <w:spacing w:after="0" w:line="240" w:lineRule="auto"/>
              <w:rPr>
                <w:rFonts w:ascii="Arial" w:eastAsia="Times New Roman" w:hAnsi="Arial" w:cs="Arial"/>
                <w:sz w:val="20"/>
                <w:szCs w:val="20"/>
                <w:lang w:eastAsia="es-EC"/>
              </w:rPr>
            </w:pPr>
          </w:p>
        </w:tc>
        <w:tc>
          <w:tcPr>
            <w:tcW w:w="227" w:type="dxa"/>
            <w:tcBorders>
              <w:top w:val="nil"/>
              <w:left w:val="nil"/>
              <w:bottom w:val="nil"/>
              <w:right w:val="nil"/>
            </w:tcBorders>
            <w:shd w:val="clear" w:color="auto" w:fill="auto"/>
            <w:noWrap/>
            <w:vAlign w:val="bottom"/>
            <w:hideMark/>
          </w:tcPr>
          <w:p w14:paraId="7F576AF9" w14:textId="77777777" w:rsidR="0055741C" w:rsidRPr="0074154F" w:rsidRDefault="0055741C" w:rsidP="008F5308">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57AFCDCA" w14:textId="77777777" w:rsidR="0055741C" w:rsidRPr="0074154F" w:rsidRDefault="0055741C" w:rsidP="008F5308">
            <w:pPr>
              <w:spacing w:after="0" w:line="240" w:lineRule="auto"/>
              <w:rPr>
                <w:rFonts w:ascii="Arial" w:eastAsia="Times New Roman" w:hAnsi="Arial" w:cs="Arial"/>
                <w:sz w:val="20"/>
                <w:szCs w:val="20"/>
                <w:lang w:eastAsia="es-EC"/>
              </w:rPr>
            </w:pPr>
          </w:p>
        </w:tc>
      </w:tr>
      <w:tr w:rsidR="0055741C" w:rsidRPr="0074154F" w14:paraId="73C5F048" w14:textId="77777777" w:rsidTr="008F5308">
        <w:trPr>
          <w:trHeight w:val="283"/>
          <w:jc w:val="right"/>
        </w:trPr>
        <w:tc>
          <w:tcPr>
            <w:tcW w:w="5272" w:type="dxa"/>
            <w:tcBorders>
              <w:top w:val="nil"/>
              <w:left w:val="nil"/>
              <w:right w:val="nil"/>
            </w:tcBorders>
            <w:shd w:val="clear" w:color="auto" w:fill="auto"/>
            <w:noWrap/>
            <w:vAlign w:val="bottom"/>
          </w:tcPr>
          <w:p w14:paraId="76A39569" w14:textId="2A8ED545" w:rsidR="0055741C" w:rsidRPr="0074154F" w:rsidRDefault="0055741C" w:rsidP="0055741C">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 xml:space="preserve">Costo </w:t>
            </w:r>
          </w:p>
        </w:tc>
        <w:tc>
          <w:tcPr>
            <w:tcW w:w="1502" w:type="dxa"/>
            <w:tcBorders>
              <w:top w:val="nil"/>
              <w:left w:val="nil"/>
              <w:right w:val="nil"/>
            </w:tcBorders>
            <w:shd w:val="clear" w:color="auto" w:fill="auto"/>
            <w:noWrap/>
            <w:vAlign w:val="bottom"/>
          </w:tcPr>
          <w:p w14:paraId="7CA7D780" w14:textId="2FED9BDF" w:rsidR="0055741C" w:rsidRPr="0074154F" w:rsidRDefault="00966486" w:rsidP="0055741C">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235,418,485</w:t>
            </w:r>
          </w:p>
        </w:tc>
        <w:tc>
          <w:tcPr>
            <w:tcW w:w="227" w:type="dxa"/>
            <w:tcBorders>
              <w:top w:val="nil"/>
              <w:left w:val="nil"/>
              <w:right w:val="nil"/>
            </w:tcBorders>
            <w:shd w:val="clear" w:color="auto" w:fill="auto"/>
            <w:noWrap/>
            <w:vAlign w:val="bottom"/>
          </w:tcPr>
          <w:p w14:paraId="4E033B2A" w14:textId="77777777" w:rsidR="0055741C" w:rsidRPr="0074154F" w:rsidRDefault="0055741C" w:rsidP="0055741C">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6D01A939" w14:textId="5B1025D9" w:rsidR="0055741C" w:rsidRPr="0074154F" w:rsidRDefault="00966486" w:rsidP="0055741C">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202,345,078</w:t>
            </w:r>
          </w:p>
        </w:tc>
      </w:tr>
      <w:tr w:rsidR="0055741C" w:rsidRPr="0074154F" w14:paraId="0E73CA86" w14:textId="77777777" w:rsidTr="008F5308">
        <w:trPr>
          <w:trHeight w:val="283"/>
          <w:jc w:val="right"/>
        </w:trPr>
        <w:tc>
          <w:tcPr>
            <w:tcW w:w="5272" w:type="dxa"/>
            <w:tcBorders>
              <w:top w:val="nil"/>
              <w:left w:val="nil"/>
              <w:right w:val="nil"/>
            </w:tcBorders>
            <w:shd w:val="clear" w:color="auto" w:fill="auto"/>
            <w:noWrap/>
            <w:vAlign w:val="bottom"/>
          </w:tcPr>
          <w:p w14:paraId="0B9FEEAC" w14:textId="77777777" w:rsidR="0055741C" w:rsidRPr="0074154F" w:rsidRDefault="0055741C" w:rsidP="0055741C">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Depreciación acumulada</w:t>
            </w:r>
          </w:p>
        </w:tc>
        <w:tc>
          <w:tcPr>
            <w:tcW w:w="1502" w:type="dxa"/>
            <w:tcBorders>
              <w:top w:val="nil"/>
              <w:left w:val="nil"/>
              <w:bottom w:val="single" w:sz="4" w:space="0" w:color="auto"/>
              <w:right w:val="nil"/>
            </w:tcBorders>
            <w:shd w:val="clear" w:color="auto" w:fill="auto"/>
            <w:noWrap/>
            <w:vAlign w:val="bottom"/>
          </w:tcPr>
          <w:p w14:paraId="11940159" w14:textId="74D5D0F6" w:rsidR="0055741C" w:rsidRPr="0074154F" w:rsidRDefault="00966486" w:rsidP="0055741C">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(170,860,679)</w:t>
            </w:r>
          </w:p>
        </w:tc>
        <w:tc>
          <w:tcPr>
            <w:tcW w:w="227" w:type="dxa"/>
            <w:tcBorders>
              <w:top w:val="nil"/>
              <w:left w:val="nil"/>
              <w:right w:val="nil"/>
            </w:tcBorders>
            <w:shd w:val="clear" w:color="auto" w:fill="auto"/>
            <w:noWrap/>
            <w:vAlign w:val="bottom"/>
          </w:tcPr>
          <w:p w14:paraId="76046408" w14:textId="77777777" w:rsidR="0055741C" w:rsidRPr="0074154F" w:rsidRDefault="0055741C" w:rsidP="0055741C">
            <w:pPr>
              <w:spacing w:after="0" w:line="240" w:lineRule="auto"/>
              <w:rPr>
                <w:rFonts w:ascii="Arial" w:eastAsia="Times New Roman" w:hAnsi="Arial" w:cs="Arial"/>
                <w:sz w:val="20"/>
                <w:szCs w:val="20"/>
                <w:lang w:eastAsia="es-EC"/>
              </w:rPr>
            </w:pPr>
          </w:p>
        </w:tc>
        <w:tc>
          <w:tcPr>
            <w:tcW w:w="1502" w:type="dxa"/>
            <w:tcBorders>
              <w:top w:val="nil"/>
              <w:left w:val="nil"/>
              <w:bottom w:val="single" w:sz="4" w:space="0" w:color="auto"/>
              <w:right w:val="nil"/>
            </w:tcBorders>
            <w:shd w:val="clear" w:color="auto" w:fill="auto"/>
            <w:noWrap/>
            <w:vAlign w:val="bottom"/>
          </w:tcPr>
          <w:p w14:paraId="217E89A9" w14:textId="5A93E812" w:rsidR="0055741C" w:rsidRPr="0074154F" w:rsidRDefault="00966486" w:rsidP="0055741C">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(155,952,629)</w:t>
            </w:r>
          </w:p>
        </w:tc>
      </w:tr>
      <w:tr w:rsidR="0055741C" w:rsidRPr="0074154F" w14:paraId="61A8C223" w14:textId="77777777" w:rsidTr="00B1388F">
        <w:trPr>
          <w:trHeight w:val="100"/>
          <w:jc w:val="right"/>
        </w:trPr>
        <w:tc>
          <w:tcPr>
            <w:tcW w:w="5272" w:type="dxa"/>
            <w:tcBorders>
              <w:top w:val="nil"/>
              <w:left w:val="nil"/>
              <w:bottom w:val="nil"/>
              <w:right w:val="nil"/>
            </w:tcBorders>
            <w:shd w:val="clear" w:color="auto" w:fill="auto"/>
            <w:noWrap/>
            <w:vAlign w:val="bottom"/>
          </w:tcPr>
          <w:p w14:paraId="0B2D3E04" w14:textId="77777777" w:rsidR="0055741C" w:rsidRPr="0074154F" w:rsidRDefault="0055741C" w:rsidP="0055741C">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61B0CFEE" w14:textId="77777777" w:rsidR="0055741C" w:rsidRPr="0074154F" w:rsidRDefault="0055741C" w:rsidP="0055741C">
            <w:pPr>
              <w:tabs>
                <w:tab w:val="decimal" w:pos="1276"/>
              </w:tabs>
              <w:spacing w:after="0" w:line="240" w:lineRule="auto"/>
              <w:rPr>
                <w:rFonts w:ascii="Arial" w:eastAsia="Times New Roman" w:hAnsi="Arial" w:cs="Arial"/>
                <w:color w:val="000000"/>
                <w:sz w:val="20"/>
                <w:szCs w:val="20"/>
                <w:lang w:eastAsia="es-EC"/>
              </w:rPr>
            </w:pPr>
          </w:p>
        </w:tc>
        <w:tc>
          <w:tcPr>
            <w:tcW w:w="227" w:type="dxa"/>
            <w:tcBorders>
              <w:top w:val="nil"/>
              <w:left w:val="nil"/>
              <w:right w:val="nil"/>
            </w:tcBorders>
            <w:shd w:val="clear" w:color="auto" w:fill="auto"/>
            <w:noWrap/>
            <w:vAlign w:val="bottom"/>
          </w:tcPr>
          <w:p w14:paraId="5725CB4E" w14:textId="77777777" w:rsidR="0055741C" w:rsidRPr="0074154F" w:rsidRDefault="0055741C" w:rsidP="0055741C">
            <w:pPr>
              <w:spacing w:after="0" w:line="240" w:lineRule="auto"/>
              <w:rPr>
                <w:rFonts w:ascii="Arial" w:eastAsia="Times New Roman" w:hAnsi="Arial" w:cs="Arial"/>
                <w:color w:val="000000"/>
                <w:sz w:val="20"/>
                <w:szCs w:val="20"/>
                <w:lang w:eastAsia="es-EC"/>
              </w:rPr>
            </w:pPr>
          </w:p>
        </w:tc>
        <w:tc>
          <w:tcPr>
            <w:tcW w:w="1502" w:type="dxa"/>
            <w:tcBorders>
              <w:top w:val="single" w:sz="4" w:space="0" w:color="auto"/>
              <w:left w:val="nil"/>
              <w:right w:val="nil"/>
            </w:tcBorders>
            <w:shd w:val="clear" w:color="auto" w:fill="auto"/>
            <w:noWrap/>
            <w:vAlign w:val="bottom"/>
          </w:tcPr>
          <w:p w14:paraId="5FF5541D" w14:textId="77777777" w:rsidR="0055741C" w:rsidRPr="0074154F" w:rsidRDefault="0055741C" w:rsidP="0055741C">
            <w:pPr>
              <w:tabs>
                <w:tab w:val="decimal" w:pos="1276"/>
              </w:tabs>
              <w:spacing w:after="0" w:line="240" w:lineRule="auto"/>
              <w:rPr>
                <w:rFonts w:ascii="Arial" w:eastAsia="Times New Roman" w:hAnsi="Arial" w:cs="Arial"/>
                <w:color w:val="000000"/>
                <w:sz w:val="20"/>
                <w:szCs w:val="20"/>
                <w:lang w:eastAsia="es-EC"/>
              </w:rPr>
            </w:pPr>
          </w:p>
        </w:tc>
      </w:tr>
      <w:tr w:rsidR="0055741C" w:rsidRPr="0074154F" w14:paraId="68725430" w14:textId="77777777" w:rsidTr="00D35C78">
        <w:trPr>
          <w:trHeight w:val="245"/>
          <w:jc w:val="right"/>
        </w:trPr>
        <w:tc>
          <w:tcPr>
            <w:tcW w:w="5272" w:type="dxa"/>
            <w:tcBorders>
              <w:top w:val="nil"/>
              <w:left w:val="nil"/>
              <w:bottom w:val="nil"/>
              <w:right w:val="nil"/>
            </w:tcBorders>
            <w:shd w:val="clear" w:color="auto" w:fill="auto"/>
            <w:noWrap/>
            <w:vAlign w:val="bottom"/>
          </w:tcPr>
          <w:p w14:paraId="222C9E3F" w14:textId="77777777" w:rsidR="0055741C" w:rsidRPr="0074154F" w:rsidRDefault="0055741C" w:rsidP="0055741C">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24BF8F16" w14:textId="051D9798" w:rsidR="0055741C" w:rsidRPr="0074154F" w:rsidRDefault="00966486" w:rsidP="0055741C">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64,557,806</w:t>
            </w:r>
          </w:p>
        </w:tc>
        <w:tc>
          <w:tcPr>
            <w:tcW w:w="227" w:type="dxa"/>
            <w:tcBorders>
              <w:left w:val="nil"/>
              <w:right w:val="nil"/>
            </w:tcBorders>
            <w:shd w:val="clear" w:color="auto" w:fill="auto"/>
            <w:noWrap/>
            <w:vAlign w:val="bottom"/>
          </w:tcPr>
          <w:p w14:paraId="63E0FB4F" w14:textId="77777777" w:rsidR="0055741C" w:rsidRPr="0074154F" w:rsidRDefault="0055741C" w:rsidP="0055741C">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4915E801" w14:textId="4353E546" w:rsidR="0055741C" w:rsidRPr="0074154F" w:rsidRDefault="00966486" w:rsidP="0055741C">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46,392,449</w:t>
            </w:r>
          </w:p>
        </w:tc>
      </w:tr>
      <w:tr w:rsidR="00102C92" w:rsidRPr="0074154F" w14:paraId="07FD3D07" w14:textId="77777777" w:rsidTr="00D35C78">
        <w:trPr>
          <w:trHeight w:val="179"/>
          <w:jc w:val="right"/>
        </w:trPr>
        <w:tc>
          <w:tcPr>
            <w:tcW w:w="5272" w:type="dxa"/>
            <w:tcBorders>
              <w:top w:val="nil"/>
              <w:left w:val="nil"/>
              <w:bottom w:val="nil"/>
              <w:right w:val="nil"/>
            </w:tcBorders>
            <w:shd w:val="clear" w:color="auto" w:fill="auto"/>
            <w:noWrap/>
            <w:vAlign w:val="bottom"/>
          </w:tcPr>
          <w:p w14:paraId="5DD28962" w14:textId="77777777" w:rsidR="00102C92" w:rsidRPr="0074154F" w:rsidRDefault="00102C92"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right w:val="nil"/>
            </w:tcBorders>
            <w:shd w:val="clear" w:color="auto" w:fill="auto"/>
            <w:noWrap/>
            <w:vAlign w:val="bottom"/>
          </w:tcPr>
          <w:p w14:paraId="70ED60B8" w14:textId="27D574B2" w:rsidR="00102C92" w:rsidRPr="0074154F" w:rsidRDefault="00102C92" w:rsidP="00413455">
            <w:pPr>
              <w:spacing w:after="0" w:line="240" w:lineRule="auto"/>
              <w:ind w:right="58"/>
              <w:jc w:val="right"/>
              <w:rPr>
                <w:rFonts w:ascii="Arial" w:eastAsia="Times New Roman" w:hAnsi="Arial" w:cs="Arial"/>
                <w:b/>
                <w:bCs/>
                <w:color w:val="000000"/>
                <w:sz w:val="20"/>
                <w:szCs w:val="20"/>
                <w:lang w:eastAsia="es-EC"/>
              </w:rPr>
            </w:pPr>
          </w:p>
        </w:tc>
        <w:tc>
          <w:tcPr>
            <w:tcW w:w="227" w:type="dxa"/>
            <w:tcBorders>
              <w:top w:val="nil"/>
              <w:left w:val="nil"/>
              <w:right w:val="nil"/>
            </w:tcBorders>
            <w:shd w:val="clear" w:color="auto" w:fill="auto"/>
            <w:noWrap/>
            <w:vAlign w:val="bottom"/>
          </w:tcPr>
          <w:p w14:paraId="5DA4772A" w14:textId="77777777" w:rsidR="00102C92" w:rsidRPr="0074154F" w:rsidRDefault="00102C92" w:rsidP="00413455">
            <w:pPr>
              <w:spacing w:after="0" w:line="240" w:lineRule="auto"/>
              <w:ind w:right="58"/>
              <w:jc w:val="right"/>
              <w:rPr>
                <w:rFonts w:ascii="Arial" w:eastAsia="Times New Roman" w:hAnsi="Arial" w:cs="Arial"/>
                <w:b/>
                <w:bCs/>
                <w:color w:val="000000"/>
                <w:sz w:val="20"/>
                <w:szCs w:val="20"/>
                <w:lang w:eastAsia="es-EC"/>
              </w:rPr>
            </w:pPr>
          </w:p>
        </w:tc>
        <w:tc>
          <w:tcPr>
            <w:tcW w:w="1502" w:type="dxa"/>
            <w:tcBorders>
              <w:top w:val="nil"/>
              <w:left w:val="nil"/>
              <w:right w:val="nil"/>
            </w:tcBorders>
            <w:shd w:val="clear" w:color="auto" w:fill="auto"/>
            <w:noWrap/>
            <w:vAlign w:val="bottom"/>
          </w:tcPr>
          <w:p w14:paraId="097C7E12" w14:textId="773ADA4B" w:rsidR="00102C92" w:rsidRPr="0074154F" w:rsidRDefault="00102C92" w:rsidP="00413455">
            <w:pPr>
              <w:spacing w:after="0" w:line="240" w:lineRule="auto"/>
              <w:ind w:right="58"/>
              <w:jc w:val="right"/>
              <w:rPr>
                <w:rFonts w:ascii="Arial" w:eastAsia="Times New Roman" w:hAnsi="Arial" w:cs="Arial"/>
                <w:b/>
                <w:bCs/>
                <w:color w:val="000000"/>
                <w:sz w:val="20"/>
                <w:szCs w:val="20"/>
                <w:lang w:eastAsia="es-EC"/>
              </w:rPr>
            </w:pPr>
          </w:p>
        </w:tc>
      </w:tr>
      <w:tr w:rsidR="0055741C" w:rsidRPr="0074154F" w14:paraId="03848703" w14:textId="77777777" w:rsidTr="00D35C78">
        <w:trPr>
          <w:trHeight w:val="153"/>
          <w:jc w:val="right"/>
        </w:trPr>
        <w:tc>
          <w:tcPr>
            <w:tcW w:w="5272" w:type="dxa"/>
            <w:tcBorders>
              <w:top w:val="nil"/>
              <w:left w:val="nil"/>
              <w:bottom w:val="nil"/>
              <w:right w:val="nil"/>
            </w:tcBorders>
            <w:shd w:val="clear" w:color="auto" w:fill="auto"/>
            <w:noWrap/>
            <w:vAlign w:val="bottom"/>
          </w:tcPr>
          <w:p w14:paraId="752A970B" w14:textId="79CF1EE7" w:rsidR="0055741C" w:rsidRPr="0074154F" w:rsidRDefault="0055741C" w:rsidP="00C704FF">
            <w:pPr>
              <w:spacing w:after="0" w:line="240" w:lineRule="auto"/>
              <w:ind w:left="-70"/>
              <w:rPr>
                <w:rFonts w:ascii="Arial" w:eastAsia="Times New Roman" w:hAnsi="Arial" w:cs="Arial"/>
                <w:color w:val="000000"/>
                <w:sz w:val="20"/>
                <w:szCs w:val="20"/>
                <w:lang w:eastAsia="es-EC"/>
              </w:rPr>
            </w:pPr>
            <w:r w:rsidRPr="003E6C8C">
              <w:rPr>
                <w:rFonts w:ascii="Arial" w:eastAsia="Times New Roman" w:hAnsi="Arial" w:cs="Arial"/>
                <w:i/>
                <w:iCs/>
                <w:color w:val="000000"/>
                <w:sz w:val="20"/>
                <w:szCs w:val="20"/>
                <w:u w:val="single"/>
                <w:lang w:val="es-MX" w:eastAsia="es-MX"/>
              </w:rPr>
              <w:t>Clasificación</w:t>
            </w:r>
            <w:r w:rsidRPr="0074154F">
              <w:rPr>
                <w:rFonts w:ascii="Arial" w:eastAsia="Times New Roman" w:hAnsi="Arial" w:cs="Arial"/>
                <w:b/>
                <w:bCs/>
                <w:color w:val="000000"/>
                <w:sz w:val="20"/>
                <w:szCs w:val="20"/>
                <w:lang w:val="es-MX" w:eastAsia="es-MX"/>
              </w:rPr>
              <w:t>:</w:t>
            </w:r>
            <w:r w:rsidR="009C78E4" w:rsidRPr="0074154F">
              <w:rPr>
                <w:rFonts w:ascii="Arial" w:eastAsia="Times New Roman" w:hAnsi="Arial" w:cs="Arial"/>
                <w:b/>
                <w:bCs/>
                <w:color w:val="000000"/>
                <w:sz w:val="20"/>
                <w:szCs w:val="20"/>
                <w:lang w:val="es-MX" w:eastAsia="es-MX"/>
              </w:rPr>
              <w:t xml:space="preserve"> </w:t>
            </w:r>
          </w:p>
        </w:tc>
        <w:tc>
          <w:tcPr>
            <w:tcW w:w="1502" w:type="dxa"/>
            <w:tcBorders>
              <w:left w:val="nil"/>
              <w:right w:val="nil"/>
            </w:tcBorders>
            <w:shd w:val="clear" w:color="auto" w:fill="auto"/>
            <w:noWrap/>
            <w:vAlign w:val="bottom"/>
          </w:tcPr>
          <w:p w14:paraId="7DF1828B" w14:textId="40E388ED" w:rsidR="0055741C" w:rsidRPr="0074154F" w:rsidRDefault="0055741C" w:rsidP="00C704FF">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352A10F2" w14:textId="77777777" w:rsidR="0055741C" w:rsidRPr="0074154F" w:rsidRDefault="0055741C" w:rsidP="00C704FF">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29D8F6E5" w14:textId="7408C3C3" w:rsidR="0055741C" w:rsidRPr="0074154F" w:rsidRDefault="0055741C" w:rsidP="00C704FF">
            <w:pPr>
              <w:tabs>
                <w:tab w:val="decimal" w:pos="1276"/>
              </w:tabs>
              <w:spacing w:after="0" w:line="240" w:lineRule="auto"/>
              <w:rPr>
                <w:rFonts w:ascii="Arial" w:eastAsia="Times New Roman" w:hAnsi="Arial" w:cs="Arial"/>
                <w:sz w:val="20"/>
                <w:szCs w:val="20"/>
                <w:lang w:eastAsia="es-EC"/>
              </w:rPr>
            </w:pPr>
          </w:p>
        </w:tc>
      </w:tr>
      <w:tr w:rsidR="0055741C" w:rsidRPr="0074154F" w14:paraId="4912A5DB" w14:textId="77777777" w:rsidTr="0055741C">
        <w:trPr>
          <w:trHeight w:val="135"/>
          <w:jc w:val="right"/>
        </w:trPr>
        <w:tc>
          <w:tcPr>
            <w:tcW w:w="5272" w:type="dxa"/>
            <w:tcBorders>
              <w:top w:val="nil"/>
              <w:left w:val="nil"/>
              <w:bottom w:val="nil"/>
              <w:right w:val="nil"/>
            </w:tcBorders>
            <w:shd w:val="clear" w:color="auto" w:fill="auto"/>
            <w:noWrap/>
            <w:vAlign w:val="bottom"/>
          </w:tcPr>
          <w:p w14:paraId="3599E11C" w14:textId="0F4AFD9D" w:rsidR="0055741C" w:rsidRPr="0074154F" w:rsidRDefault="0055741C" w:rsidP="00C704FF">
            <w:pPr>
              <w:spacing w:after="0" w:line="240" w:lineRule="auto"/>
              <w:ind w:left="-70"/>
              <w:rPr>
                <w:rFonts w:ascii="Arial" w:eastAsia="Times New Roman" w:hAnsi="Arial" w:cs="Arial"/>
                <w:color w:val="000000"/>
                <w:sz w:val="20"/>
                <w:szCs w:val="20"/>
                <w:lang w:eastAsia="es-EC"/>
              </w:rPr>
            </w:pPr>
          </w:p>
        </w:tc>
        <w:tc>
          <w:tcPr>
            <w:tcW w:w="1502" w:type="dxa"/>
            <w:tcBorders>
              <w:left w:val="nil"/>
              <w:right w:val="nil"/>
            </w:tcBorders>
            <w:shd w:val="clear" w:color="auto" w:fill="auto"/>
            <w:noWrap/>
            <w:vAlign w:val="bottom"/>
          </w:tcPr>
          <w:p w14:paraId="6B5DB348" w14:textId="4AF0278F" w:rsidR="0055741C" w:rsidRPr="0074154F" w:rsidRDefault="0055741C" w:rsidP="00C704FF">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04B3AF45" w14:textId="77777777" w:rsidR="0055741C" w:rsidRPr="0074154F" w:rsidRDefault="0055741C" w:rsidP="00C704FF">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7C57A2EF" w14:textId="7A2A6346" w:rsidR="0055741C" w:rsidRPr="0074154F" w:rsidRDefault="0055741C" w:rsidP="00C704FF">
            <w:pPr>
              <w:tabs>
                <w:tab w:val="decimal" w:pos="1276"/>
              </w:tabs>
              <w:spacing w:after="0" w:line="240" w:lineRule="auto"/>
              <w:rPr>
                <w:rFonts w:ascii="Arial" w:eastAsia="Times New Roman" w:hAnsi="Arial" w:cs="Arial"/>
                <w:sz w:val="20"/>
                <w:szCs w:val="20"/>
                <w:lang w:eastAsia="es-EC"/>
              </w:rPr>
            </w:pPr>
          </w:p>
        </w:tc>
      </w:tr>
      <w:tr w:rsidR="000359BC" w:rsidRPr="0074154F" w14:paraId="5396841C" w14:textId="77777777" w:rsidTr="0055741C">
        <w:trPr>
          <w:trHeight w:val="135"/>
          <w:jc w:val="right"/>
        </w:trPr>
        <w:tc>
          <w:tcPr>
            <w:tcW w:w="5272" w:type="dxa"/>
            <w:tcBorders>
              <w:top w:val="nil"/>
              <w:left w:val="nil"/>
              <w:bottom w:val="nil"/>
              <w:right w:val="nil"/>
            </w:tcBorders>
            <w:shd w:val="clear" w:color="auto" w:fill="auto"/>
            <w:noWrap/>
            <w:vAlign w:val="bottom"/>
          </w:tcPr>
          <w:p w14:paraId="18482718" w14:textId="40FFC196" w:rsidR="000359BC" w:rsidRPr="0074154F" w:rsidRDefault="000359BC" w:rsidP="000359BC">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themeColor="text1"/>
                <w:sz w:val="20"/>
                <w:szCs w:val="20"/>
                <w:lang w:val="es-MX" w:eastAsia="es-MX"/>
              </w:rPr>
              <w:t>Equipos de telecomunicaciones, computación y software</w:t>
            </w:r>
          </w:p>
        </w:tc>
        <w:tc>
          <w:tcPr>
            <w:tcW w:w="1502" w:type="dxa"/>
            <w:tcBorders>
              <w:left w:val="nil"/>
              <w:right w:val="nil"/>
            </w:tcBorders>
            <w:shd w:val="clear" w:color="auto" w:fill="auto"/>
            <w:noWrap/>
            <w:vAlign w:val="bottom"/>
          </w:tcPr>
          <w:p w14:paraId="23109086" w14:textId="2EB25CA7" w:rsidR="000359BC" w:rsidRPr="0074154F" w:rsidRDefault="000359BC" w:rsidP="004201EE">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themeColor="text1"/>
                <w:sz w:val="20"/>
                <w:szCs w:val="20"/>
                <w:lang w:eastAsia="es-EC"/>
              </w:rPr>
              <w:t>18,565,440</w:t>
            </w:r>
          </w:p>
        </w:tc>
        <w:tc>
          <w:tcPr>
            <w:tcW w:w="227" w:type="dxa"/>
            <w:tcBorders>
              <w:left w:val="nil"/>
              <w:right w:val="nil"/>
            </w:tcBorders>
            <w:shd w:val="clear" w:color="auto" w:fill="auto"/>
            <w:noWrap/>
            <w:vAlign w:val="bottom"/>
          </w:tcPr>
          <w:p w14:paraId="4D851F20" w14:textId="77777777" w:rsidR="000359BC" w:rsidRPr="0074154F" w:rsidRDefault="000359BC" w:rsidP="000359BC">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0707DC2E" w14:textId="0B993F40" w:rsidR="000359BC" w:rsidRPr="0074154F" w:rsidRDefault="000359BC" w:rsidP="004201EE">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themeColor="text1"/>
                <w:sz w:val="20"/>
                <w:szCs w:val="20"/>
                <w:lang w:eastAsia="es-EC"/>
              </w:rPr>
              <w:t>7,257,643</w:t>
            </w:r>
          </w:p>
        </w:tc>
      </w:tr>
      <w:tr w:rsidR="000359BC" w:rsidRPr="0074154F" w14:paraId="6C6A8650" w14:textId="77777777" w:rsidTr="008F5308">
        <w:trPr>
          <w:trHeight w:val="283"/>
          <w:jc w:val="right"/>
        </w:trPr>
        <w:tc>
          <w:tcPr>
            <w:tcW w:w="5272" w:type="dxa"/>
            <w:tcBorders>
              <w:top w:val="nil"/>
              <w:left w:val="nil"/>
              <w:bottom w:val="nil"/>
              <w:right w:val="nil"/>
            </w:tcBorders>
            <w:shd w:val="clear" w:color="auto" w:fill="auto"/>
            <w:noWrap/>
            <w:vAlign w:val="bottom"/>
          </w:tcPr>
          <w:p w14:paraId="7BEB59AE" w14:textId="10B648FB" w:rsidR="000359BC" w:rsidRPr="0074154F" w:rsidRDefault="000359BC" w:rsidP="000359BC">
            <w:pPr>
              <w:spacing w:after="0" w:line="240" w:lineRule="auto"/>
              <w:ind w:left="-70"/>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val="es-MX" w:eastAsia="es-MX"/>
              </w:rPr>
              <w:t>Equipos para la prestación de los servicios</w:t>
            </w:r>
          </w:p>
        </w:tc>
        <w:tc>
          <w:tcPr>
            <w:tcW w:w="1502" w:type="dxa"/>
            <w:tcBorders>
              <w:left w:val="nil"/>
              <w:right w:val="nil"/>
            </w:tcBorders>
            <w:shd w:val="clear" w:color="auto" w:fill="auto"/>
            <w:noWrap/>
            <w:vAlign w:val="bottom"/>
          </w:tcPr>
          <w:p w14:paraId="0EDC747B" w14:textId="3C1A7344" w:rsidR="000359BC" w:rsidRPr="0074154F" w:rsidRDefault="000359BC" w:rsidP="000359BC">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17,716,351</w:t>
            </w:r>
          </w:p>
        </w:tc>
        <w:tc>
          <w:tcPr>
            <w:tcW w:w="227" w:type="dxa"/>
            <w:tcBorders>
              <w:left w:val="nil"/>
              <w:right w:val="nil"/>
            </w:tcBorders>
            <w:shd w:val="clear" w:color="auto" w:fill="auto"/>
            <w:noWrap/>
            <w:vAlign w:val="bottom"/>
          </w:tcPr>
          <w:p w14:paraId="3A6D475C" w14:textId="77777777" w:rsidR="000359BC" w:rsidRPr="0074154F" w:rsidRDefault="000359BC" w:rsidP="000359BC">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D576280" w14:textId="5DC4C660" w:rsidR="000359BC" w:rsidRPr="0074154F" w:rsidRDefault="000359BC" w:rsidP="000359BC">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12,639,110</w:t>
            </w:r>
          </w:p>
        </w:tc>
      </w:tr>
      <w:tr w:rsidR="000359BC" w:rsidRPr="0074154F" w14:paraId="344BC422" w14:textId="77777777" w:rsidTr="008F5308">
        <w:trPr>
          <w:trHeight w:val="298"/>
          <w:jc w:val="right"/>
        </w:trPr>
        <w:tc>
          <w:tcPr>
            <w:tcW w:w="5272" w:type="dxa"/>
            <w:tcBorders>
              <w:top w:val="nil"/>
              <w:left w:val="nil"/>
              <w:bottom w:val="nil"/>
              <w:right w:val="nil"/>
            </w:tcBorders>
            <w:shd w:val="clear" w:color="auto" w:fill="auto"/>
            <w:noWrap/>
            <w:vAlign w:val="bottom"/>
          </w:tcPr>
          <w:p w14:paraId="077B7BF9" w14:textId="0CE1DABC" w:rsidR="000359BC" w:rsidRPr="0074154F" w:rsidRDefault="000359BC" w:rsidP="000359BC">
            <w:pPr>
              <w:spacing w:after="0" w:line="240" w:lineRule="auto"/>
              <w:ind w:left="-70"/>
              <w:rPr>
                <w:rFonts w:ascii="Arial" w:eastAsia="Times New Roman" w:hAnsi="Arial" w:cs="Arial"/>
                <w:b/>
                <w:bCs/>
                <w:color w:val="000000" w:themeColor="text1"/>
                <w:sz w:val="20"/>
                <w:szCs w:val="20"/>
                <w:lang w:val="es-MX" w:eastAsia="es-MX"/>
              </w:rPr>
            </w:pPr>
            <w:r>
              <w:rPr>
                <w:rFonts w:ascii="Arial" w:eastAsia="Times New Roman" w:hAnsi="Arial" w:cs="Arial"/>
                <w:color w:val="000000" w:themeColor="text1"/>
                <w:sz w:val="20"/>
                <w:szCs w:val="20"/>
                <w:lang w:val="es-MX" w:eastAsia="es-MX"/>
              </w:rPr>
              <w:t>Activos para la prestación de servicios</w:t>
            </w:r>
          </w:p>
        </w:tc>
        <w:tc>
          <w:tcPr>
            <w:tcW w:w="1502" w:type="dxa"/>
            <w:tcBorders>
              <w:left w:val="nil"/>
              <w:right w:val="nil"/>
            </w:tcBorders>
            <w:shd w:val="clear" w:color="auto" w:fill="auto"/>
            <w:noWrap/>
            <w:vAlign w:val="bottom"/>
          </w:tcPr>
          <w:p w14:paraId="274FBF73" w14:textId="4F910B0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7,331,418</w:t>
            </w:r>
          </w:p>
        </w:tc>
        <w:tc>
          <w:tcPr>
            <w:tcW w:w="227" w:type="dxa"/>
            <w:tcBorders>
              <w:left w:val="nil"/>
              <w:right w:val="nil"/>
            </w:tcBorders>
            <w:shd w:val="clear" w:color="auto" w:fill="auto"/>
            <w:noWrap/>
            <w:vAlign w:val="bottom"/>
          </w:tcPr>
          <w:p w14:paraId="397056E6"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5C29145" w14:textId="0A60F63F"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2,997,502</w:t>
            </w:r>
          </w:p>
        </w:tc>
      </w:tr>
      <w:tr w:rsidR="000359BC" w:rsidRPr="0074154F" w14:paraId="07580A05" w14:textId="77777777" w:rsidTr="008F5308">
        <w:trPr>
          <w:trHeight w:val="298"/>
          <w:jc w:val="right"/>
        </w:trPr>
        <w:tc>
          <w:tcPr>
            <w:tcW w:w="5272" w:type="dxa"/>
            <w:tcBorders>
              <w:top w:val="nil"/>
              <w:left w:val="nil"/>
              <w:bottom w:val="nil"/>
              <w:right w:val="nil"/>
            </w:tcBorders>
            <w:shd w:val="clear" w:color="auto" w:fill="auto"/>
            <w:noWrap/>
            <w:vAlign w:val="bottom"/>
          </w:tcPr>
          <w:p w14:paraId="103B9B3B" w14:textId="136A16AD" w:rsidR="000359BC" w:rsidRPr="0074154F"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Terrenos</w:t>
            </w:r>
          </w:p>
        </w:tc>
        <w:tc>
          <w:tcPr>
            <w:tcW w:w="1502" w:type="dxa"/>
            <w:tcBorders>
              <w:left w:val="nil"/>
              <w:right w:val="nil"/>
            </w:tcBorders>
            <w:shd w:val="clear" w:color="auto" w:fill="auto"/>
            <w:noWrap/>
            <w:vAlign w:val="bottom"/>
          </w:tcPr>
          <w:p w14:paraId="59BEDBB5" w14:textId="67F49E2C"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7,172,339</w:t>
            </w:r>
          </w:p>
        </w:tc>
        <w:tc>
          <w:tcPr>
            <w:tcW w:w="227" w:type="dxa"/>
            <w:tcBorders>
              <w:left w:val="nil"/>
              <w:right w:val="nil"/>
            </w:tcBorders>
            <w:shd w:val="clear" w:color="auto" w:fill="auto"/>
            <w:noWrap/>
            <w:vAlign w:val="bottom"/>
          </w:tcPr>
          <w:p w14:paraId="09FF8E37"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BFF9731" w14:textId="2E64E816"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6,375,019</w:t>
            </w:r>
          </w:p>
        </w:tc>
      </w:tr>
      <w:tr w:rsidR="000359BC" w:rsidRPr="0074154F" w14:paraId="45C59456" w14:textId="77777777" w:rsidTr="008F5308">
        <w:trPr>
          <w:trHeight w:val="298"/>
          <w:jc w:val="right"/>
        </w:trPr>
        <w:tc>
          <w:tcPr>
            <w:tcW w:w="5272" w:type="dxa"/>
            <w:tcBorders>
              <w:top w:val="nil"/>
              <w:left w:val="nil"/>
              <w:bottom w:val="nil"/>
              <w:right w:val="nil"/>
            </w:tcBorders>
            <w:shd w:val="clear" w:color="auto" w:fill="auto"/>
            <w:noWrap/>
            <w:vAlign w:val="bottom"/>
          </w:tcPr>
          <w:p w14:paraId="6C8828F5" w14:textId="1411FE65" w:rsidR="000359BC" w:rsidRPr="0074154F"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Edificio e instalaciones</w:t>
            </w:r>
          </w:p>
        </w:tc>
        <w:tc>
          <w:tcPr>
            <w:tcW w:w="1502" w:type="dxa"/>
            <w:tcBorders>
              <w:left w:val="nil"/>
              <w:right w:val="nil"/>
            </w:tcBorders>
            <w:shd w:val="clear" w:color="auto" w:fill="auto"/>
            <w:noWrap/>
            <w:vAlign w:val="bottom"/>
          </w:tcPr>
          <w:p w14:paraId="3E981D6A" w14:textId="115915BA" w:rsidR="000359BC"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3,671,605</w:t>
            </w:r>
          </w:p>
        </w:tc>
        <w:tc>
          <w:tcPr>
            <w:tcW w:w="227" w:type="dxa"/>
            <w:tcBorders>
              <w:left w:val="nil"/>
              <w:right w:val="nil"/>
            </w:tcBorders>
            <w:shd w:val="clear" w:color="auto" w:fill="auto"/>
            <w:noWrap/>
            <w:vAlign w:val="bottom"/>
          </w:tcPr>
          <w:p w14:paraId="6CAD4040"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4D86C1CC" w14:textId="21A33A6B"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2,343,522</w:t>
            </w:r>
          </w:p>
        </w:tc>
      </w:tr>
      <w:tr w:rsidR="000359BC" w:rsidRPr="0074154F" w14:paraId="75ABE9DC" w14:textId="77777777" w:rsidTr="008F5308">
        <w:trPr>
          <w:trHeight w:val="298"/>
          <w:jc w:val="right"/>
        </w:trPr>
        <w:tc>
          <w:tcPr>
            <w:tcW w:w="5272" w:type="dxa"/>
            <w:tcBorders>
              <w:top w:val="nil"/>
              <w:left w:val="nil"/>
              <w:bottom w:val="nil"/>
              <w:right w:val="nil"/>
            </w:tcBorders>
            <w:shd w:val="clear" w:color="auto" w:fill="auto"/>
            <w:noWrap/>
            <w:vAlign w:val="bottom"/>
          </w:tcPr>
          <w:p w14:paraId="03651E37" w14:textId="3C55D70D" w:rsidR="000359BC"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Data Center</w:t>
            </w:r>
          </w:p>
        </w:tc>
        <w:tc>
          <w:tcPr>
            <w:tcW w:w="1502" w:type="dxa"/>
            <w:tcBorders>
              <w:left w:val="nil"/>
              <w:right w:val="nil"/>
            </w:tcBorders>
            <w:shd w:val="clear" w:color="auto" w:fill="auto"/>
            <w:noWrap/>
            <w:vAlign w:val="bottom"/>
          </w:tcPr>
          <w:p w14:paraId="5944CBFE" w14:textId="4427E41D" w:rsidR="000359BC"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3,077,014</w:t>
            </w:r>
          </w:p>
        </w:tc>
        <w:tc>
          <w:tcPr>
            <w:tcW w:w="227" w:type="dxa"/>
            <w:tcBorders>
              <w:left w:val="nil"/>
              <w:right w:val="nil"/>
            </w:tcBorders>
            <w:shd w:val="clear" w:color="auto" w:fill="auto"/>
            <w:noWrap/>
            <w:vAlign w:val="bottom"/>
          </w:tcPr>
          <w:p w14:paraId="3F52A8F7"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6128CF77" w14:textId="496716EF"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7,523,634</w:t>
            </w:r>
          </w:p>
        </w:tc>
      </w:tr>
      <w:tr w:rsidR="000359BC" w:rsidRPr="0074154F" w14:paraId="1CFD8331" w14:textId="77777777" w:rsidTr="008F5308">
        <w:trPr>
          <w:trHeight w:val="298"/>
          <w:jc w:val="right"/>
        </w:trPr>
        <w:tc>
          <w:tcPr>
            <w:tcW w:w="5272" w:type="dxa"/>
            <w:tcBorders>
              <w:top w:val="nil"/>
              <w:left w:val="nil"/>
              <w:bottom w:val="nil"/>
              <w:right w:val="nil"/>
            </w:tcBorders>
            <w:shd w:val="clear" w:color="auto" w:fill="auto"/>
            <w:noWrap/>
            <w:vAlign w:val="bottom"/>
          </w:tcPr>
          <w:p w14:paraId="6E560D54" w14:textId="512AE760" w:rsidR="000359BC" w:rsidRPr="0074154F"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Vehículos</w:t>
            </w:r>
          </w:p>
        </w:tc>
        <w:tc>
          <w:tcPr>
            <w:tcW w:w="1502" w:type="dxa"/>
            <w:tcBorders>
              <w:left w:val="nil"/>
              <w:right w:val="nil"/>
            </w:tcBorders>
            <w:shd w:val="clear" w:color="auto" w:fill="auto"/>
            <w:noWrap/>
            <w:vAlign w:val="bottom"/>
          </w:tcPr>
          <w:p w14:paraId="764A5316" w14:textId="75FB2B28"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2,705,046</w:t>
            </w:r>
          </w:p>
        </w:tc>
        <w:tc>
          <w:tcPr>
            <w:tcW w:w="227" w:type="dxa"/>
            <w:tcBorders>
              <w:left w:val="nil"/>
              <w:right w:val="nil"/>
            </w:tcBorders>
            <w:shd w:val="clear" w:color="auto" w:fill="auto"/>
            <w:noWrap/>
            <w:vAlign w:val="bottom"/>
          </w:tcPr>
          <w:p w14:paraId="1C6271B3"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7B09980" w14:textId="3FB3A334"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1,957,216</w:t>
            </w:r>
          </w:p>
        </w:tc>
      </w:tr>
      <w:tr w:rsidR="000359BC" w:rsidRPr="0074154F" w14:paraId="0472C906" w14:textId="77777777" w:rsidTr="008F5308">
        <w:trPr>
          <w:trHeight w:val="298"/>
          <w:jc w:val="right"/>
        </w:trPr>
        <w:tc>
          <w:tcPr>
            <w:tcW w:w="5272" w:type="dxa"/>
            <w:tcBorders>
              <w:top w:val="nil"/>
              <w:left w:val="nil"/>
              <w:bottom w:val="nil"/>
              <w:right w:val="nil"/>
            </w:tcBorders>
            <w:shd w:val="clear" w:color="auto" w:fill="auto"/>
            <w:noWrap/>
            <w:vAlign w:val="bottom"/>
          </w:tcPr>
          <w:p w14:paraId="4A4BF9C2" w14:textId="0659DA5A" w:rsidR="000359BC" w:rsidRPr="0074154F"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Construcciones en curso</w:t>
            </w:r>
          </w:p>
        </w:tc>
        <w:tc>
          <w:tcPr>
            <w:tcW w:w="1502" w:type="dxa"/>
            <w:tcBorders>
              <w:left w:val="nil"/>
              <w:right w:val="nil"/>
            </w:tcBorders>
            <w:shd w:val="clear" w:color="auto" w:fill="auto"/>
            <w:noWrap/>
            <w:vAlign w:val="bottom"/>
          </w:tcPr>
          <w:p w14:paraId="5FB9729F" w14:textId="401A7042"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2,416,447</w:t>
            </w:r>
          </w:p>
        </w:tc>
        <w:tc>
          <w:tcPr>
            <w:tcW w:w="227" w:type="dxa"/>
            <w:tcBorders>
              <w:left w:val="nil"/>
              <w:right w:val="nil"/>
            </w:tcBorders>
            <w:shd w:val="clear" w:color="auto" w:fill="auto"/>
            <w:noWrap/>
            <w:vAlign w:val="bottom"/>
          </w:tcPr>
          <w:p w14:paraId="686F3439"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D334F38" w14:textId="51516B58"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3,020,477</w:t>
            </w:r>
          </w:p>
        </w:tc>
      </w:tr>
      <w:tr w:rsidR="000359BC" w:rsidRPr="0074154F" w14:paraId="1CD9BD65" w14:textId="77777777" w:rsidTr="0045324F">
        <w:trPr>
          <w:trHeight w:val="298"/>
          <w:jc w:val="right"/>
        </w:trPr>
        <w:tc>
          <w:tcPr>
            <w:tcW w:w="5272" w:type="dxa"/>
            <w:tcBorders>
              <w:top w:val="nil"/>
              <w:left w:val="nil"/>
              <w:bottom w:val="nil"/>
              <w:right w:val="nil"/>
            </w:tcBorders>
            <w:shd w:val="clear" w:color="auto" w:fill="auto"/>
            <w:noWrap/>
            <w:vAlign w:val="bottom"/>
          </w:tcPr>
          <w:p w14:paraId="69E83610" w14:textId="62BBE41A" w:rsidR="000359BC" w:rsidRPr="0074154F" w:rsidRDefault="000359BC" w:rsidP="000359BC">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Herramientas y maquinarias</w:t>
            </w:r>
          </w:p>
        </w:tc>
        <w:tc>
          <w:tcPr>
            <w:tcW w:w="1502" w:type="dxa"/>
            <w:tcBorders>
              <w:left w:val="nil"/>
              <w:right w:val="nil"/>
            </w:tcBorders>
            <w:shd w:val="clear" w:color="auto" w:fill="auto"/>
            <w:noWrap/>
            <w:vAlign w:val="bottom"/>
          </w:tcPr>
          <w:p w14:paraId="0C6EF170" w14:textId="5D2AAF02"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1,549,334</w:t>
            </w:r>
          </w:p>
        </w:tc>
        <w:tc>
          <w:tcPr>
            <w:tcW w:w="227" w:type="dxa"/>
            <w:tcBorders>
              <w:left w:val="nil"/>
              <w:right w:val="nil"/>
            </w:tcBorders>
            <w:shd w:val="clear" w:color="auto" w:fill="auto"/>
            <w:noWrap/>
            <w:vAlign w:val="bottom"/>
          </w:tcPr>
          <w:p w14:paraId="1730FF33"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4DBB1321" w14:textId="4988B95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1,875,927</w:t>
            </w:r>
          </w:p>
        </w:tc>
      </w:tr>
      <w:tr w:rsidR="000359BC" w:rsidRPr="0074154F" w14:paraId="7EE96E38" w14:textId="77777777" w:rsidTr="0045324F">
        <w:trPr>
          <w:trHeight w:val="298"/>
          <w:jc w:val="right"/>
        </w:trPr>
        <w:tc>
          <w:tcPr>
            <w:tcW w:w="5272" w:type="dxa"/>
            <w:tcBorders>
              <w:top w:val="nil"/>
              <w:left w:val="nil"/>
              <w:bottom w:val="nil"/>
              <w:right w:val="nil"/>
            </w:tcBorders>
            <w:shd w:val="clear" w:color="auto" w:fill="auto"/>
            <w:noWrap/>
            <w:vAlign w:val="bottom"/>
          </w:tcPr>
          <w:p w14:paraId="70F42F52" w14:textId="1F4798F5" w:rsidR="000359BC" w:rsidRPr="0074154F" w:rsidRDefault="000359BC" w:rsidP="000359BC">
            <w:pPr>
              <w:spacing w:after="0" w:line="240" w:lineRule="auto"/>
              <w:ind w:left="-70"/>
              <w:rPr>
                <w:rFonts w:ascii="Arial" w:eastAsia="Times New Roman" w:hAnsi="Arial" w:cs="Arial"/>
                <w:b/>
                <w:bCs/>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Muebles y enseres</w:t>
            </w:r>
          </w:p>
        </w:tc>
        <w:tc>
          <w:tcPr>
            <w:tcW w:w="1502" w:type="dxa"/>
            <w:tcBorders>
              <w:left w:val="nil"/>
              <w:bottom w:val="single" w:sz="6" w:space="0" w:color="auto"/>
              <w:right w:val="nil"/>
            </w:tcBorders>
            <w:shd w:val="clear" w:color="auto" w:fill="auto"/>
            <w:noWrap/>
            <w:vAlign w:val="bottom"/>
          </w:tcPr>
          <w:p w14:paraId="62C83EA5" w14:textId="18C3B43E"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352,812</w:t>
            </w:r>
          </w:p>
        </w:tc>
        <w:tc>
          <w:tcPr>
            <w:tcW w:w="227" w:type="dxa"/>
            <w:tcBorders>
              <w:left w:val="nil"/>
              <w:right w:val="nil"/>
            </w:tcBorders>
            <w:shd w:val="clear" w:color="auto" w:fill="auto"/>
            <w:noWrap/>
            <w:vAlign w:val="bottom"/>
          </w:tcPr>
          <w:p w14:paraId="37182279" w14:textId="77777777"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bottom w:val="single" w:sz="6" w:space="0" w:color="auto"/>
              <w:right w:val="nil"/>
            </w:tcBorders>
            <w:shd w:val="clear" w:color="auto" w:fill="auto"/>
            <w:noWrap/>
            <w:vAlign w:val="bottom"/>
          </w:tcPr>
          <w:p w14:paraId="33EF5054" w14:textId="26E65BB5" w:rsidR="000359BC" w:rsidRPr="0074154F" w:rsidRDefault="000359BC" w:rsidP="000359BC">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402,399</w:t>
            </w:r>
          </w:p>
        </w:tc>
      </w:tr>
      <w:tr w:rsidR="000359BC" w:rsidRPr="0074154F" w14:paraId="6297C18F" w14:textId="77777777" w:rsidTr="0045324F">
        <w:trPr>
          <w:trHeight w:val="193"/>
          <w:jc w:val="right"/>
        </w:trPr>
        <w:tc>
          <w:tcPr>
            <w:tcW w:w="5272" w:type="dxa"/>
            <w:tcBorders>
              <w:top w:val="nil"/>
              <w:left w:val="nil"/>
              <w:bottom w:val="nil"/>
              <w:right w:val="nil"/>
            </w:tcBorders>
            <w:shd w:val="clear" w:color="auto" w:fill="auto"/>
            <w:noWrap/>
            <w:vAlign w:val="bottom"/>
          </w:tcPr>
          <w:p w14:paraId="4741FE5C" w14:textId="561F80BF" w:rsidR="000359BC" w:rsidRPr="0074154F" w:rsidRDefault="000359BC" w:rsidP="000359BC">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49C7FADE" w14:textId="74491361" w:rsidR="000359BC" w:rsidRPr="0074154F" w:rsidRDefault="000359BC" w:rsidP="000359BC">
            <w:pPr>
              <w:spacing w:after="0" w:line="240" w:lineRule="auto"/>
              <w:jc w:val="right"/>
              <w:rPr>
                <w:rFonts w:ascii="Arial" w:eastAsia="Times New Roman" w:hAnsi="Arial" w:cs="Arial"/>
                <w:b/>
                <w:bCs/>
                <w:color w:val="000000"/>
                <w:sz w:val="20"/>
                <w:szCs w:val="20"/>
                <w:lang w:eastAsia="es-EC"/>
              </w:rPr>
            </w:pPr>
          </w:p>
        </w:tc>
        <w:tc>
          <w:tcPr>
            <w:tcW w:w="227" w:type="dxa"/>
            <w:tcBorders>
              <w:left w:val="nil"/>
              <w:right w:val="nil"/>
            </w:tcBorders>
            <w:shd w:val="clear" w:color="auto" w:fill="auto"/>
            <w:noWrap/>
            <w:vAlign w:val="bottom"/>
          </w:tcPr>
          <w:p w14:paraId="17F0029F" w14:textId="77777777" w:rsidR="000359BC" w:rsidRPr="0074154F" w:rsidRDefault="000359BC" w:rsidP="000359BC">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6DA15DC8" w14:textId="6F142E82" w:rsidR="000359BC" w:rsidRPr="0074154F" w:rsidRDefault="000359BC" w:rsidP="000359BC">
            <w:pPr>
              <w:spacing w:after="0" w:line="240" w:lineRule="auto"/>
              <w:jc w:val="right"/>
              <w:rPr>
                <w:rFonts w:ascii="Arial" w:eastAsia="Times New Roman" w:hAnsi="Arial" w:cs="Arial"/>
                <w:b/>
                <w:bCs/>
                <w:color w:val="000000"/>
                <w:sz w:val="20"/>
                <w:szCs w:val="20"/>
                <w:lang w:eastAsia="es-EC"/>
              </w:rPr>
            </w:pPr>
          </w:p>
        </w:tc>
      </w:tr>
      <w:tr w:rsidR="000359BC" w:rsidRPr="0074154F" w14:paraId="1EE649CD" w14:textId="77777777" w:rsidTr="008F5308">
        <w:trPr>
          <w:trHeight w:val="89"/>
          <w:jc w:val="right"/>
        </w:trPr>
        <w:tc>
          <w:tcPr>
            <w:tcW w:w="5272" w:type="dxa"/>
            <w:tcBorders>
              <w:top w:val="nil"/>
              <w:left w:val="nil"/>
              <w:bottom w:val="nil"/>
              <w:right w:val="nil"/>
            </w:tcBorders>
            <w:shd w:val="clear" w:color="auto" w:fill="auto"/>
            <w:noWrap/>
            <w:vAlign w:val="bottom"/>
          </w:tcPr>
          <w:p w14:paraId="15D6C918" w14:textId="119B04FE" w:rsidR="000359BC" w:rsidRPr="0074154F" w:rsidRDefault="000359BC" w:rsidP="000359BC">
            <w:pPr>
              <w:spacing w:after="0" w:line="240" w:lineRule="auto"/>
              <w:ind w:left="-70"/>
              <w:rPr>
                <w:rFonts w:ascii="Arial" w:eastAsia="Times New Roman" w:hAnsi="Arial" w:cs="Arial"/>
                <w:b/>
                <w:bCs/>
                <w:color w:val="000000"/>
                <w:sz w:val="20"/>
                <w:szCs w:val="20"/>
                <w:u w:val="single"/>
                <w:lang w:val="es-MX" w:eastAsia="es-MX"/>
              </w:rPr>
            </w:pPr>
            <w:r w:rsidRPr="0074154F">
              <w:rPr>
                <w:rFonts w:ascii="Arial" w:eastAsia="Times New Roman" w:hAnsi="Arial" w:cs="Arial"/>
                <w:color w:val="000000"/>
                <w:sz w:val="20"/>
                <w:szCs w:val="20"/>
                <w:lang w:eastAsia="es-MX"/>
              </w:rPr>
              <w:lastRenderedPageBreak/>
              <w:t>Total</w:t>
            </w:r>
          </w:p>
        </w:tc>
        <w:tc>
          <w:tcPr>
            <w:tcW w:w="1502" w:type="dxa"/>
            <w:tcBorders>
              <w:left w:val="nil"/>
              <w:bottom w:val="double" w:sz="4" w:space="0" w:color="auto"/>
              <w:right w:val="nil"/>
            </w:tcBorders>
            <w:shd w:val="clear" w:color="auto" w:fill="auto"/>
            <w:noWrap/>
            <w:vAlign w:val="bottom"/>
          </w:tcPr>
          <w:p w14:paraId="6BED4880" w14:textId="73F1DD13" w:rsidR="000359BC" w:rsidRPr="0074154F" w:rsidRDefault="000359BC" w:rsidP="000359BC">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64,557,806</w:t>
            </w:r>
          </w:p>
        </w:tc>
        <w:tc>
          <w:tcPr>
            <w:tcW w:w="227" w:type="dxa"/>
            <w:tcBorders>
              <w:left w:val="nil"/>
              <w:right w:val="nil"/>
            </w:tcBorders>
            <w:shd w:val="clear" w:color="auto" w:fill="auto"/>
            <w:noWrap/>
            <w:vAlign w:val="bottom"/>
          </w:tcPr>
          <w:p w14:paraId="09034BD7" w14:textId="77777777" w:rsidR="000359BC" w:rsidRPr="0074154F" w:rsidRDefault="000359BC" w:rsidP="000359BC">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5E813BF7" w14:textId="283AD3A7" w:rsidR="000359BC" w:rsidRPr="0074154F" w:rsidRDefault="000359BC" w:rsidP="000359BC">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46,392,449</w:t>
            </w:r>
          </w:p>
        </w:tc>
      </w:tr>
    </w:tbl>
    <w:p w14:paraId="00C7412A" w14:textId="50DC74B2" w:rsidR="0086522D" w:rsidRPr="0074154F" w:rsidRDefault="00092B16" w:rsidP="00413455">
      <w:pPr>
        <w:pStyle w:val="Heading1"/>
        <w:tabs>
          <w:tab w:val="clear" w:pos="6960"/>
          <w:tab w:val="clear" w:pos="7800"/>
          <w:tab w:val="clear" w:pos="8280"/>
          <w:tab w:val="left" w:pos="7655"/>
        </w:tabs>
        <w:ind w:left="567"/>
        <w:jc w:val="both"/>
        <w:rPr>
          <w:rFonts w:ascii="Arial" w:hAnsi="Arial" w:cs="Arial"/>
          <w:b w:val="0"/>
          <w:bCs/>
          <w:sz w:val="20"/>
        </w:rPr>
      </w:pPr>
      <w:r w:rsidRPr="0074154F">
        <w:rPr>
          <w:rFonts w:ascii="Arial" w:hAnsi="Arial" w:cs="Arial"/>
          <w:b w:val="0"/>
          <w:bCs/>
          <w:sz w:val="20"/>
        </w:rPr>
        <w:t xml:space="preserve">Durante el año </w:t>
      </w:r>
      <w:r w:rsidR="00244313" w:rsidRPr="0074154F">
        <w:rPr>
          <w:rFonts w:ascii="Arial" w:hAnsi="Arial" w:cs="Arial"/>
          <w:b w:val="0"/>
          <w:bCs/>
          <w:sz w:val="20"/>
        </w:rPr>
        <w:t>20</w:t>
      </w:r>
      <w:r w:rsidR="001D60E7" w:rsidRPr="0074154F">
        <w:rPr>
          <w:rFonts w:ascii="Arial" w:hAnsi="Arial" w:cs="Arial"/>
          <w:b w:val="0"/>
          <w:bCs/>
          <w:sz w:val="20"/>
        </w:rPr>
        <w:t>20</w:t>
      </w:r>
      <w:r w:rsidR="0086522D" w:rsidRPr="0074154F">
        <w:rPr>
          <w:rFonts w:ascii="Arial" w:hAnsi="Arial" w:cs="Arial"/>
          <w:b w:val="0"/>
          <w:bCs/>
          <w:sz w:val="20"/>
        </w:rPr>
        <w:t>:</w:t>
      </w:r>
      <w:r w:rsidRPr="0074154F">
        <w:rPr>
          <w:rFonts w:ascii="Arial" w:hAnsi="Arial" w:cs="Arial"/>
          <w:b w:val="0"/>
          <w:bCs/>
          <w:sz w:val="20"/>
        </w:rPr>
        <w:t xml:space="preserve"> </w:t>
      </w:r>
      <w:r w:rsidRPr="0074154F">
        <w:rPr>
          <w:rFonts w:ascii="Arial" w:hAnsi="Arial" w:cs="Arial"/>
          <w:color w:val="FF0000"/>
          <w:sz w:val="20"/>
        </w:rPr>
        <w:t xml:space="preserve"> </w:t>
      </w:r>
    </w:p>
    <w:p w14:paraId="48DB9458" w14:textId="6A8E9F80" w:rsidR="0086522D" w:rsidRDefault="0086522D" w:rsidP="00413455">
      <w:pPr>
        <w:pStyle w:val="Heading1"/>
        <w:tabs>
          <w:tab w:val="clear" w:pos="6960"/>
          <w:tab w:val="clear" w:pos="7800"/>
          <w:tab w:val="clear" w:pos="8280"/>
          <w:tab w:val="left" w:pos="7655"/>
        </w:tabs>
        <w:ind w:left="567"/>
        <w:jc w:val="both"/>
        <w:rPr>
          <w:rFonts w:ascii="Arial" w:hAnsi="Arial" w:cs="Arial"/>
          <w:b w:val="0"/>
          <w:bCs/>
          <w:sz w:val="20"/>
        </w:rPr>
      </w:pPr>
    </w:p>
    <w:p w14:paraId="32E1BD2B" w14:textId="165A9584" w:rsidR="004201EE" w:rsidRPr="00224065" w:rsidRDefault="004201EE" w:rsidP="0087468F">
      <w:pPr>
        <w:pStyle w:val="ListParagraph"/>
        <w:numPr>
          <w:ilvl w:val="0"/>
          <w:numId w:val="44"/>
        </w:numPr>
        <w:ind w:left="993" w:hanging="426"/>
        <w:jc w:val="both"/>
        <w:rPr>
          <w:lang w:val="es-ES_tradnl"/>
        </w:rPr>
      </w:pPr>
      <w:r w:rsidRPr="004201EE">
        <w:rPr>
          <w:rFonts w:ascii="Arial" w:hAnsi="Arial" w:cs="Arial"/>
          <w:sz w:val="20"/>
          <w:szCs w:val="20"/>
        </w:rPr>
        <w:t xml:space="preserve">Terrenos, corresponde a la adquisición del inmueble denominado Carrizal, barrio Rojas, situado en la parroquia Cumbayá del cantón Quito por un valor de US$150,000. Durante el año 2020 existe </w:t>
      </w:r>
      <w:proofErr w:type="spellStart"/>
      <w:r w:rsidRPr="004201EE">
        <w:rPr>
          <w:rFonts w:ascii="Arial" w:hAnsi="Arial" w:cs="Arial"/>
          <w:sz w:val="20"/>
          <w:szCs w:val="20"/>
        </w:rPr>
        <w:t>Daciónes</w:t>
      </w:r>
      <w:proofErr w:type="spellEnd"/>
      <w:r w:rsidRPr="004201EE">
        <w:rPr>
          <w:rFonts w:ascii="Arial" w:hAnsi="Arial" w:cs="Arial"/>
          <w:sz w:val="20"/>
          <w:szCs w:val="20"/>
        </w:rPr>
        <w:t xml:space="preserve"> entregados por saldos de deudas pendientes de pago de </w:t>
      </w:r>
      <w:r w:rsidRPr="00224065">
        <w:rPr>
          <w:rFonts w:ascii="Arial" w:hAnsi="Arial" w:cs="Arial"/>
          <w:sz w:val="20"/>
          <w:szCs w:val="20"/>
        </w:rPr>
        <w:t xml:space="preserve">las Compañías </w:t>
      </w:r>
      <w:proofErr w:type="spellStart"/>
      <w:r w:rsidRPr="00224065">
        <w:rPr>
          <w:rFonts w:ascii="Arial" w:hAnsi="Arial" w:cs="Arial"/>
          <w:sz w:val="20"/>
          <w:szCs w:val="20"/>
        </w:rPr>
        <w:t>Netspeed</w:t>
      </w:r>
      <w:proofErr w:type="spellEnd"/>
      <w:r w:rsidRPr="00224065">
        <w:rPr>
          <w:rFonts w:ascii="Arial" w:hAnsi="Arial" w:cs="Arial"/>
          <w:sz w:val="20"/>
          <w:szCs w:val="20"/>
        </w:rPr>
        <w:t xml:space="preserve"> S.A. y </w:t>
      </w:r>
      <w:proofErr w:type="spellStart"/>
      <w:r w:rsidRPr="00224065">
        <w:rPr>
          <w:rFonts w:ascii="Arial" w:hAnsi="Arial" w:cs="Arial"/>
          <w:sz w:val="20"/>
          <w:szCs w:val="20"/>
        </w:rPr>
        <w:t>Marcclub</w:t>
      </w:r>
      <w:proofErr w:type="spellEnd"/>
      <w:r w:rsidRPr="00224065">
        <w:rPr>
          <w:rFonts w:ascii="Arial" w:hAnsi="Arial" w:cs="Arial"/>
          <w:sz w:val="20"/>
          <w:szCs w:val="20"/>
        </w:rPr>
        <w:t xml:space="preserve"> S.A. por US$517,012 y US$130,308, respectivamente.</w:t>
      </w:r>
    </w:p>
    <w:p w14:paraId="2C26ACC4" w14:textId="77777777" w:rsidR="0087468F" w:rsidRPr="004201EE" w:rsidRDefault="0087468F" w:rsidP="0087468F">
      <w:pPr>
        <w:pStyle w:val="ListParagraph"/>
        <w:jc w:val="both"/>
        <w:rPr>
          <w:lang w:val="es-ES_tradnl"/>
        </w:rPr>
      </w:pPr>
    </w:p>
    <w:p w14:paraId="37947E42" w14:textId="77777777" w:rsidR="004201EE" w:rsidRPr="0074154F" w:rsidRDefault="004201EE" w:rsidP="004201EE">
      <w:pPr>
        <w:pStyle w:val="ListParagraph"/>
        <w:numPr>
          <w:ilvl w:val="0"/>
          <w:numId w:val="2"/>
        </w:numPr>
        <w:spacing w:after="0" w:line="240" w:lineRule="auto"/>
        <w:ind w:left="993" w:right="-1" w:hanging="426"/>
        <w:contextualSpacing w:val="0"/>
        <w:jc w:val="both"/>
        <w:rPr>
          <w:rFonts w:ascii="Arial" w:hAnsi="Arial" w:cs="Arial"/>
          <w:sz w:val="20"/>
          <w:szCs w:val="20"/>
        </w:rPr>
      </w:pPr>
      <w:r w:rsidRPr="0074154F">
        <w:rPr>
          <w:rFonts w:ascii="Arial" w:hAnsi="Arial" w:cs="Arial"/>
          <w:sz w:val="20"/>
          <w:szCs w:val="20"/>
        </w:rPr>
        <w:t>Vehículos, corresponden a adquisiciones de camionetas doble cabina para uso de las instalaciones de servicios de internet y otros.</w:t>
      </w:r>
    </w:p>
    <w:p w14:paraId="6191F5ED" w14:textId="77777777" w:rsidR="004201EE" w:rsidRPr="004201EE" w:rsidRDefault="004201EE" w:rsidP="004201EE">
      <w:pPr>
        <w:rPr>
          <w:sz w:val="8"/>
          <w:szCs w:val="8"/>
          <w:lang w:val="es-ES_tradnl"/>
        </w:rPr>
      </w:pPr>
    </w:p>
    <w:p w14:paraId="6CA4CB89" w14:textId="5BF03B2F" w:rsidR="00C02661" w:rsidRPr="0074154F" w:rsidRDefault="004201EE" w:rsidP="00413455">
      <w:pPr>
        <w:pStyle w:val="ListParagraph"/>
        <w:numPr>
          <w:ilvl w:val="0"/>
          <w:numId w:val="2"/>
        </w:numPr>
        <w:spacing w:after="0" w:line="240" w:lineRule="auto"/>
        <w:ind w:left="993" w:right="-1" w:hanging="426"/>
        <w:contextualSpacing w:val="0"/>
        <w:jc w:val="both"/>
        <w:rPr>
          <w:rFonts w:ascii="Arial" w:hAnsi="Arial" w:cs="Arial"/>
          <w:sz w:val="20"/>
          <w:szCs w:val="20"/>
        </w:rPr>
      </w:pPr>
      <w:r>
        <w:rPr>
          <w:rFonts w:ascii="Arial" w:hAnsi="Arial" w:cs="Arial"/>
          <w:sz w:val="20"/>
          <w:szCs w:val="20"/>
        </w:rPr>
        <w:t>Construcciones en curso</w:t>
      </w:r>
      <w:r w:rsidR="004A543C" w:rsidRPr="0074154F">
        <w:rPr>
          <w:rFonts w:ascii="Arial" w:hAnsi="Arial" w:cs="Arial"/>
          <w:sz w:val="20"/>
          <w:szCs w:val="20"/>
        </w:rPr>
        <w:t xml:space="preserve">, </w:t>
      </w:r>
      <w:r w:rsidR="005B4C69" w:rsidRPr="0074154F">
        <w:rPr>
          <w:rFonts w:ascii="Arial" w:hAnsi="Arial" w:cs="Arial"/>
          <w:sz w:val="20"/>
          <w:szCs w:val="20"/>
        </w:rPr>
        <w:t>c</w:t>
      </w:r>
      <w:r w:rsidR="0005271E" w:rsidRPr="0074154F">
        <w:rPr>
          <w:rFonts w:ascii="Arial" w:hAnsi="Arial" w:cs="Arial"/>
          <w:sz w:val="20"/>
          <w:szCs w:val="20"/>
        </w:rPr>
        <w:t xml:space="preserve">orresponden a </w:t>
      </w:r>
      <w:r w:rsidR="000204B0" w:rsidRPr="0074154F">
        <w:rPr>
          <w:rFonts w:ascii="Arial" w:hAnsi="Arial" w:cs="Arial"/>
          <w:sz w:val="20"/>
          <w:szCs w:val="20"/>
        </w:rPr>
        <w:t>adquisiciones de materiales y equipos para proyectos de desarrollo de prestación de servicios de internet y port</w:t>
      </w:r>
      <w:r w:rsidR="004A543C" w:rsidRPr="0074154F">
        <w:rPr>
          <w:rFonts w:ascii="Arial" w:hAnsi="Arial" w:cs="Arial"/>
          <w:sz w:val="20"/>
          <w:szCs w:val="20"/>
        </w:rPr>
        <w:t>a</w:t>
      </w:r>
      <w:r w:rsidR="000204B0" w:rsidRPr="0074154F">
        <w:rPr>
          <w:rFonts w:ascii="Arial" w:hAnsi="Arial" w:cs="Arial"/>
          <w:sz w:val="20"/>
          <w:szCs w:val="20"/>
        </w:rPr>
        <w:t>doras de puntos de redes</w:t>
      </w:r>
      <w:r w:rsidR="00C02661" w:rsidRPr="0074154F">
        <w:rPr>
          <w:rFonts w:ascii="Arial" w:hAnsi="Arial" w:cs="Arial"/>
          <w:sz w:val="20"/>
          <w:szCs w:val="20"/>
        </w:rPr>
        <w:t>.</w:t>
      </w:r>
    </w:p>
    <w:p w14:paraId="73F3D692" w14:textId="77777777" w:rsidR="00C02661" w:rsidRPr="0074154F" w:rsidRDefault="00C02661" w:rsidP="00C02661">
      <w:pPr>
        <w:pStyle w:val="ListParagraph"/>
        <w:spacing w:after="0" w:line="240" w:lineRule="auto"/>
        <w:ind w:left="993" w:right="-1"/>
        <w:contextualSpacing w:val="0"/>
        <w:jc w:val="both"/>
        <w:rPr>
          <w:rFonts w:ascii="Arial" w:hAnsi="Arial" w:cs="Arial"/>
          <w:sz w:val="20"/>
          <w:szCs w:val="20"/>
        </w:rPr>
      </w:pPr>
    </w:p>
    <w:bookmarkEnd w:id="14"/>
    <w:p w14:paraId="1BB1E1AE" w14:textId="72A546A5" w:rsidR="009B2261" w:rsidRPr="0074154F" w:rsidRDefault="001035C3" w:rsidP="009B2261">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INTANGIBLE</w:t>
      </w:r>
      <w:r w:rsidR="009B2261" w:rsidRPr="0074154F">
        <w:rPr>
          <w:rFonts w:ascii="Arial" w:hAnsi="Arial" w:cs="Arial"/>
          <w:sz w:val="20"/>
          <w:u w:val="single"/>
          <w:lang w:val="es-EC" w:eastAsia="es-EC"/>
        </w:rPr>
        <w:t>S</w:t>
      </w:r>
      <w:r w:rsidR="003A2D1E" w:rsidRPr="0074154F">
        <w:rPr>
          <w:rFonts w:ascii="Arial" w:hAnsi="Arial" w:cs="Arial"/>
          <w:sz w:val="20"/>
          <w:u w:val="single"/>
          <w:lang w:val="es-EC" w:eastAsia="es-EC"/>
        </w:rPr>
        <w:t xml:space="preserve"> </w:t>
      </w:r>
    </w:p>
    <w:p w14:paraId="49941869" w14:textId="77777777" w:rsidR="00E77AB2" w:rsidRPr="0074154F" w:rsidRDefault="00E77AB2" w:rsidP="00E77AB2">
      <w:pPr>
        <w:rPr>
          <w:sz w:val="6"/>
          <w:szCs w:val="6"/>
          <w:lang w:eastAsia="es-EC"/>
        </w:rPr>
      </w:pPr>
    </w:p>
    <w:tbl>
      <w:tblPr>
        <w:tblW w:w="8503" w:type="dxa"/>
        <w:jc w:val="right"/>
        <w:tblCellMar>
          <w:left w:w="70" w:type="dxa"/>
          <w:right w:w="70" w:type="dxa"/>
        </w:tblCellMar>
        <w:tblLook w:val="04A0" w:firstRow="1" w:lastRow="0" w:firstColumn="1" w:lastColumn="0" w:noHBand="0" w:noVBand="1"/>
      </w:tblPr>
      <w:tblGrid>
        <w:gridCol w:w="4756"/>
        <w:gridCol w:w="2048"/>
        <w:gridCol w:w="218"/>
        <w:gridCol w:w="2048"/>
      </w:tblGrid>
      <w:tr w:rsidR="004C4391" w:rsidRPr="0074154F" w14:paraId="5F2FD581" w14:textId="77777777" w:rsidTr="00A52BCD">
        <w:trPr>
          <w:trHeight w:val="283"/>
          <w:jc w:val="right"/>
        </w:trPr>
        <w:tc>
          <w:tcPr>
            <w:tcW w:w="5272" w:type="dxa"/>
            <w:tcBorders>
              <w:top w:val="nil"/>
              <w:left w:val="nil"/>
              <w:bottom w:val="nil"/>
              <w:right w:val="nil"/>
            </w:tcBorders>
            <w:shd w:val="clear" w:color="auto" w:fill="auto"/>
            <w:noWrap/>
            <w:vAlign w:val="bottom"/>
            <w:hideMark/>
          </w:tcPr>
          <w:p w14:paraId="5DDD88E8" w14:textId="77777777" w:rsidR="004C4391" w:rsidRPr="0074154F" w:rsidRDefault="004C4391" w:rsidP="00A52BCD">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16DA1914"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tcBorders>
              <w:top w:val="nil"/>
              <w:left w:val="nil"/>
              <w:bottom w:val="nil"/>
              <w:right w:val="nil"/>
            </w:tcBorders>
            <w:shd w:val="clear" w:color="auto" w:fill="auto"/>
            <w:noWrap/>
            <w:vAlign w:val="bottom"/>
            <w:hideMark/>
          </w:tcPr>
          <w:p w14:paraId="4800E437"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653FE48D"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4C4391" w:rsidRPr="0074154F" w14:paraId="37E8E0C6" w14:textId="77777777" w:rsidTr="00A52BCD">
        <w:trPr>
          <w:trHeight w:val="215"/>
          <w:jc w:val="right"/>
        </w:trPr>
        <w:tc>
          <w:tcPr>
            <w:tcW w:w="5272" w:type="dxa"/>
            <w:tcBorders>
              <w:top w:val="nil"/>
              <w:left w:val="nil"/>
              <w:bottom w:val="nil"/>
              <w:right w:val="nil"/>
            </w:tcBorders>
            <w:shd w:val="clear" w:color="auto" w:fill="auto"/>
            <w:noWrap/>
            <w:vAlign w:val="bottom"/>
            <w:hideMark/>
          </w:tcPr>
          <w:p w14:paraId="491E9F5D" w14:textId="77777777" w:rsidR="004C4391" w:rsidRPr="0074154F" w:rsidRDefault="004C4391" w:rsidP="00A52BCD">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hideMark/>
          </w:tcPr>
          <w:p w14:paraId="36D48309"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227" w:type="dxa"/>
            <w:tcBorders>
              <w:top w:val="nil"/>
              <w:left w:val="nil"/>
              <w:bottom w:val="nil"/>
              <w:right w:val="nil"/>
            </w:tcBorders>
            <w:shd w:val="clear" w:color="auto" w:fill="auto"/>
            <w:noWrap/>
            <w:vAlign w:val="bottom"/>
            <w:hideMark/>
          </w:tcPr>
          <w:p w14:paraId="11B3B85B"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1502" w:type="dxa"/>
            <w:tcBorders>
              <w:top w:val="single" w:sz="8" w:space="0" w:color="auto"/>
              <w:left w:val="nil"/>
              <w:bottom w:val="nil"/>
              <w:right w:val="nil"/>
            </w:tcBorders>
            <w:shd w:val="clear" w:color="auto" w:fill="auto"/>
            <w:noWrap/>
            <w:vAlign w:val="bottom"/>
            <w:hideMark/>
          </w:tcPr>
          <w:p w14:paraId="36B4247F" w14:textId="77777777" w:rsidR="004C4391" w:rsidRPr="0074154F" w:rsidRDefault="004C4391" w:rsidP="00A52BCD">
            <w:pPr>
              <w:spacing w:after="0" w:line="240" w:lineRule="auto"/>
              <w:rPr>
                <w:rFonts w:ascii="Arial" w:eastAsia="Times New Roman" w:hAnsi="Arial" w:cs="Arial"/>
                <w:sz w:val="20"/>
                <w:szCs w:val="20"/>
                <w:lang w:eastAsia="es-EC"/>
              </w:rPr>
            </w:pPr>
          </w:p>
        </w:tc>
      </w:tr>
      <w:tr w:rsidR="00B20509" w:rsidRPr="0074154F" w14:paraId="321822B6" w14:textId="77777777" w:rsidTr="0045324F">
        <w:trPr>
          <w:trHeight w:val="283"/>
          <w:jc w:val="right"/>
        </w:trPr>
        <w:tc>
          <w:tcPr>
            <w:tcW w:w="5272" w:type="dxa"/>
            <w:tcBorders>
              <w:top w:val="nil"/>
              <w:left w:val="nil"/>
              <w:right w:val="nil"/>
            </w:tcBorders>
            <w:shd w:val="clear" w:color="auto" w:fill="auto"/>
            <w:noWrap/>
            <w:vAlign w:val="bottom"/>
          </w:tcPr>
          <w:p w14:paraId="7C03CE17" w14:textId="433692A5" w:rsidR="00B20509" w:rsidRPr="0074154F" w:rsidRDefault="00B20509" w:rsidP="00B20509">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 xml:space="preserve">Costo </w:t>
            </w:r>
          </w:p>
        </w:tc>
        <w:tc>
          <w:tcPr>
            <w:tcW w:w="1502" w:type="dxa"/>
            <w:tcBorders>
              <w:top w:val="nil"/>
              <w:left w:val="nil"/>
              <w:right w:val="nil"/>
            </w:tcBorders>
            <w:shd w:val="clear" w:color="auto" w:fill="auto"/>
            <w:noWrap/>
            <w:vAlign w:val="bottom"/>
          </w:tcPr>
          <w:p w14:paraId="3906311B" w14:textId="1DB92AB2" w:rsidR="00B20509" w:rsidRPr="0074154F" w:rsidRDefault="00DD6662" w:rsidP="00B2050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29,597,537</w:t>
            </w:r>
          </w:p>
        </w:tc>
        <w:tc>
          <w:tcPr>
            <w:tcW w:w="227" w:type="dxa"/>
            <w:tcBorders>
              <w:top w:val="nil"/>
              <w:left w:val="nil"/>
              <w:right w:val="nil"/>
            </w:tcBorders>
            <w:shd w:val="clear" w:color="auto" w:fill="auto"/>
            <w:noWrap/>
            <w:vAlign w:val="bottom"/>
          </w:tcPr>
          <w:p w14:paraId="3D96B040" w14:textId="77777777" w:rsidR="00B20509" w:rsidRPr="0074154F" w:rsidRDefault="00B20509" w:rsidP="00B20509">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8F4601D" w14:textId="2F533E12" w:rsidR="00B20509" w:rsidRPr="0074154F" w:rsidRDefault="00DD6662" w:rsidP="00B2050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29,040,956</w:t>
            </w:r>
          </w:p>
        </w:tc>
      </w:tr>
      <w:tr w:rsidR="00B20509" w:rsidRPr="0074154F" w14:paraId="6F7E3139" w14:textId="77777777" w:rsidTr="0045324F">
        <w:trPr>
          <w:trHeight w:val="283"/>
          <w:jc w:val="right"/>
        </w:trPr>
        <w:tc>
          <w:tcPr>
            <w:tcW w:w="5272" w:type="dxa"/>
            <w:tcBorders>
              <w:top w:val="nil"/>
              <w:left w:val="nil"/>
              <w:right w:val="nil"/>
            </w:tcBorders>
            <w:shd w:val="clear" w:color="auto" w:fill="auto"/>
            <w:noWrap/>
            <w:vAlign w:val="bottom"/>
          </w:tcPr>
          <w:p w14:paraId="62F8625A" w14:textId="77777777" w:rsidR="00B20509" w:rsidRPr="0074154F" w:rsidRDefault="00B20509" w:rsidP="00B20509">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Depreciación acumulada</w:t>
            </w:r>
          </w:p>
        </w:tc>
        <w:tc>
          <w:tcPr>
            <w:tcW w:w="1502" w:type="dxa"/>
            <w:tcBorders>
              <w:top w:val="nil"/>
              <w:left w:val="nil"/>
              <w:bottom w:val="single" w:sz="6" w:space="0" w:color="auto"/>
              <w:right w:val="nil"/>
            </w:tcBorders>
            <w:shd w:val="clear" w:color="auto" w:fill="auto"/>
            <w:noWrap/>
            <w:vAlign w:val="bottom"/>
          </w:tcPr>
          <w:p w14:paraId="6DE20669" w14:textId="74D791AA" w:rsidR="00B20509" w:rsidRPr="0074154F" w:rsidRDefault="00DD6662" w:rsidP="00B2050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(18,133,436)</w:t>
            </w:r>
          </w:p>
        </w:tc>
        <w:tc>
          <w:tcPr>
            <w:tcW w:w="227" w:type="dxa"/>
            <w:tcBorders>
              <w:top w:val="nil"/>
              <w:left w:val="nil"/>
              <w:right w:val="nil"/>
            </w:tcBorders>
            <w:shd w:val="clear" w:color="auto" w:fill="auto"/>
            <w:noWrap/>
            <w:vAlign w:val="bottom"/>
          </w:tcPr>
          <w:p w14:paraId="131CE3AE" w14:textId="77777777" w:rsidR="00B20509" w:rsidRPr="0074154F" w:rsidRDefault="00B20509" w:rsidP="00B20509">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565755AA" w14:textId="11736A94" w:rsidR="00B20509" w:rsidRPr="0074154F" w:rsidRDefault="00DD6662" w:rsidP="00B2050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(15,830,512)</w:t>
            </w:r>
          </w:p>
        </w:tc>
      </w:tr>
      <w:tr w:rsidR="004C4391" w:rsidRPr="0074154F" w14:paraId="26239010" w14:textId="77777777" w:rsidTr="0045324F">
        <w:trPr>
          <w:trHeight w:val="100"/>
          <w:jc w:val="right"/>
        </w:trPr>
        <w:tc>
          <w:tcPr>
            <w:tcW w:w="5272" w:type="dxa"/>
            <w:tcBorders>
              <w:top w:val="nil"/>
              <w:left w:val="nil"/>
              <w:bottom w:val="nil"/>
              <w:right w:val="nil"/>
            </w:tcBorders>
            <w:shd w:val="clear" w:color="auto" w:fill="auto"/>
            <w:noWrap/>
            <w:vAlign w:val="bottom"/>
          </w:tcPr>
          <w:p w14:paraId="57334913" w14:textId="77777777" w:rsidR="004C4391" w:rsidRPr="0074154F" w:rsidRDefault="004C4391" w:rsidP="00A52BCD">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658730FF" w14:textId="77777777" w:rsidR="004C4391" w:rsidRPr="0074154F" w:rsidRDefault="004C4391" w:rsidP="00A52BCD">
            <w:pPr>
              <w:tabs>
                <w:tab w:val="decimal" w:pos="1276"/>
              </w:tabs>
              <w:spacing w:after="0" w:line="240" w:lineRule="auto"/>
              <w:rPr>
                <w:rFonts w:ascii="Arial" w:eastAsia="Times New Roman" w:hAnsi="Arial" w:cs="Arial"/>
                <w:color w:val="000000"/>
                <w:sz w:val="20"/>
                <w:szCs w:val="20"/>
                <w:lang w:eastAsia="es-EC"/>
              </w:rPr>
            </w:pPr>
          </w:p>
        </w:tc>
        <w:tc>
          <w:tcPr>
            <w:tcW w:w="227" w:type="dxa"/>
            <w:tcBorders>
              <w:left w:val="nil"/>
              <w:right w:val="nil"/>
            </w:tcBorders>
            <w:shd w:val="clear" w:color="auto" w:fill="auto"/>
            <w:noWrap/>
            <w:vAlign w:val="bottom"/>
          </w:tcPr>
          <w:p w14:paraId="0E6F9157" w14:textId="77777777" w:rsidR="004C4391" w:rsidRPr="0074154F" w:rsidRDefault="004C4391" w:rsidP="00A52BCD">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69275CE4" w14:textId="6B5E4D19" w:rsidR="004C4391" w:rsidRPr="0074154F" w:rsidRDefault="004C4391" w:rsidP="00A52BCD">
            <w:pPr>
              <w:tabs>
                <w:tab w:val="decimal" w:pos="1276"/>
              </w:tabs>
              <w:spacing w:after="0" w:line="240" w:lineRule="auto"/>
              <w:rPr>
                <w:rFonts w:ascii="Arial" w:eastAsia="Times New Roman" w:hAnsi="Arial" w:cs="Arial"/>
                <w:color w:val="000000"/>
                <w:sz w:val="20"/>
                <w:szCs w:val="20"/>
                <w:lang w:eastAsia="es-EC"/>
              </w:rPr>
            </w:pPr>
          </w:p>
        </w:tc>
      </w:tr>
      <w:tr w:rsidR="004C4391" w:rsidRPr="0074154F" w14:paraId="3182591D" w14:textId="77777777" w:rsidTr="0045324F">
        <w:trPr>
          <w:trHeight w:val="283"/>
          <w:jc w:val="right"/>
        </w:trPr>
        <w:tc>
          <w:tcPr>
            <w:tcW w:w="5272" w:type="dxa"/>
            <w:tcBorders>
              <w:top w:val="nil"/>
              <w:left w:val="nil"/>
              <w:bottom w:val="nil"/>
              <w:right w:val="nil"/>
            </w:tcBorders>
            <w:shd w:val="clear" w:color="auto" w:fill="auto"/>
            <w:noWrap/>
            <w:vAlign w:val="bottom"/>
          </w:tcPr>
          <w:p w14:paraId="3D5A8B9B" w14:textId="77777777" w:rsidR="004C4391" w:rsidRPr="0074154F" w:rsidRDefault="004C4391" w:rsidP="00A52BC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55AA9253" w14:textId="397F8A72" w:rsidR="004C4391" w:rsidRPr="0074154F" w:rsidRDefault="00DD6662" w:rsidP="00A52BCD">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11,464,101</w:t>
            </w:r>
          </w:p>
        </w:tc>
        <w:tc>
          <w:tcPr>
            <w:tcW w:w="227" w:type="dxa"/>
            <w:tcBorders>
              <w:left w:val="nil"/>
              <w:right w:val="nil"/>
            </w:tcBorders>
            <w:shd w:val="clear" w:color="auto" w:fill="auto"/>
            <w:noWrap/>
            <w:vAlign w:val="bottom"/>
          </w:tcPr>
          <w:p w14:paraId="0BBC4BE7" w14:textId="77777777" w:rsidR="004C4391" w:rsidRPr="0074154F" w:rsidRDefault="004C4391" w:rsidP="00A52BCD">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51B896E9" w14:textId="27DEDEE4" w:rsidR="004C4391" w:rsidRPr="0074154F" w:rsidRDefault="00DD6662" w:rsidP="00A52BCD">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13,210,444</w:t>
            </w:r>
          </w:p>
        </w:tc>
      </w:tr>
      <w:tr w:rsidR="004C4391" w:rsidRPr="0074154F" w14:paraId="0AD18F35" w14:textId="77777777" w:rsidTr="0045324F">
        <w:trPr>
          <w:trHeight w:val="283"/>
          <w:jc w:val="right"/>
        </w:trPr>
        <w:tc>
          <w:tcPr>
            <w:tcW w:w="5272" w:type="dxa"/>
            <w:tcBorders>
              <w:top w:val="nil"/>
              <w:left w:val="nil"/>
              <w:bottom w:val="nil"/>
              <w:right w:val="nil"/>
            </w:tcBorders>
            <w:shd w:val="clear" w:color="auto" w:fill="auto"/>
            <w:noWrap/>
            <w:vAlign w:val="bottom"/>
          </w:tcPr>
          <w:p w14:paraId="1855BD84" w14:textId="77777777" w:rsidR="004C4391" w:rsidRPr="0074154F" w:rsidRDefault="004C4391" w:rsidP="00A52BCD">
            <w:pPr>
              <w:spacing w:after="0" w:line="240" w:lineRule="auto"/>
              <w:ind w:left="-70"/>
              <w:rPr>
                <w:rFonts w:ascii="Arial" w:eastAsia="Times New Roman" w:hAnsi="Arial" w:cs="Arial"/>
                <w:color w:val="000000"/>
                <w:sz w:val="20"/>
                <w:szCs w:val="20"/>
                <w:lang w:val="es-MX" w:eastAsia="es-MX"/>
              </w:rPr>
            </w:pPr>
          </w:p>
        </w:tc>
        <w:tc>
          <w:tcPr>
            <w:tcW w:w="1502" w:type="dxa"/>
            <w:tcBorders>
              <w:top w:val="double" w:sz="4" w:space="0" w:color="auto"/>
              <w:left w:val="nil"/>
              <w:right w:val="nil"/>
            </w:tcBorders>
            <w:shd w:val="clear" w:color="auto" w:fill="auto"/>
            <w:noWrap/>
            <w:vAlign w:val="bottom"/>
          </w:tcPr>
          <w:p w14:paraId="2C54410E" w14:textId="77777777" w:rsidR="004C4391" w:rsidRPr="0074154F" w:rsidRDefault="004C4391" w:rsidP="00A52BCD">
            <w:pPr>
              <w:tabs>
                <w:tab w:val="decimal" w:pos="1276"/>
              </w:tabs>
              <w:spacing w:after="0" w:line="240" w:lineRule="auto"/>
              <w:rPr>
                <w:rFonts w:ascii="Arial" w:eastAsia="Times New Roman" w:hAnsi="Arial" w:cs="Arial"/>
                <w:color w:val="000000"/>
                <w:sz w:val="20"/>
                <w:szCs w:val="20"/>
                <w:lang w:eastAsia="es-EC"/>
              </w:rPr>
            </w:pPr>
          </w:p>
        </w:tc>
        <w:tc>
          <w:tcPr>
            <w:tcW w:w="227" w:type="dxa"/>
            <w:tcBorders>
              <w:left w:val="nil"/>
              <w:right w:val="nil"/>
            </w:tcBorders>
            <w:shd w:val="clear" w:color="auto" w:fill="auto"/>
            <w:noWrap/>
            <w:vAlign w:val="bottom"/>
          </w:tcPr>
          <w:p w14:paraId="3750703B" w14:textId="77777777" w:rsidR="004C4391" w:rsidRPr="0074154F" w:rsidRDefault="004C4391" w:rsidP="00A52BCD">
            <w:pPr>
              <w:spacing w:after="0" w:line="240" w:lineRule="auto"/>
              <w:rPr>
                <w:rFonts w:ascii="Arial" w:eastAsia="Times New Roman" w:hAnsi="Arial" w:cs="Arial"/>
                <w:color w:val="000000"/>
                <w:sz w:val="20"/>
                <w:szCs w:val="20"/>
                <w:lang w:eastAsia="es-EC"/>
              </w:rPr>
            </w:pPr>
          </w:p>
        </w:tc>
        <w:tc>
          <w:tcPr>
            <w:tcW w:w="1502" w:type="dxa"/>
            <w:tcBorders>
              <w:top w:val="double" w:sz="4" w:space="0" w:color="auto"/>
              <w:left w:val="nil"/>
              <w:right w:val="nil"/>
            </w:tcBorders>
            <w:shd w:val="clear" w:color="auto" w:fill="auto"/>
            <w:noWrap/>
            <w:vAlign w:val="bottom"/>
          </w:tcPr>
          <w:p w14:paraId="23EE5F7A" w14:textId="77777777" w:rsidR="004C4391" w:rsidRPr="0074154F" w:rsidRDefault="004C4391" w:rsidP="00A52BCD">
            <w:pPr>
              <w:tabs>
                <w:tab w:val="decimal" w:pos="1276"/>
              </w:tabs>
              <w:spacing w:after="0" w:line="240" w:lineRule="auto"/>
              <w:rPr>
                <w:rFonts w:ascii="Arial" w:eastAsia="Times New Roman" w:hAnsi="Arial" w:cs="Arial"/>
                <w:color w:val="000000"/>
                <w:sz w:val="20"/>
                <w:szCs w:val="20"/>
                <w:lang w:eastAsia="es-EC"/>
              </w:rPr>
            </w:pPr>
          </w:p>
        </w:tc>
      </w:tr>
      <w:tr w:rsidR="004C4391" w:rsidRPr="0074154F" w14:paraId="5EFAC94E" w14:textId="77777777" w:rsidTr="004C4391">
        <w:trPr>
          <w:trHeight w:val="283"/>
          <w:jc w:val="right"/>
        </w:trPr>
        <w:tc>
          <w:tcPr>
            <w:tcW w:w="5272" w:type="dxa"/>
            <w:tcBorders>
              <w:top w:val="nil"/>
              <w:left w:val="nil"/>
              <w:bottom w:val="nil"/>
              <w:right w:val="nil"/>
            </w:tcBorders>
            <w:shd w:val="clear" w:color="auto" w:fill="auto"/>
            <w:noWrap/>
            <w:vAlign w:val="bottom"/>
            <w:hideMark/>
          </w:tcPr>
          <w:p w14:paraId="70A179A9" w14:textId="77777777" w:rsidR="004C4391" w:rsidRPr="0074154F" w:rsidRDefault="004C4391" w:rsidP="00A52BCD">
            <w:pPr>
              <w:spacing w:after="0" w:line="240" w:lineRule="auto"/>
              <w:ind w:left="-70"/>
              <w:rPr>
                <w:rFonts w:ascii="Arial" w:eastAsia="Times New Roman" w:hAnsi="Arial" w:cs="Arial"/>
                <w:b/>
                <w:bCs/>
                <w:color w:val="000000"/>
                <w:sz w:val="20"/>
                <w:szCs w:val="20"/>
                <w:u w:val="single"/>
                <w:lang w:eastAsia="es-EC"/>
              </w:rPr>
            </w:pPr>
          </w:p>
        </w:tc>
        <w:tc>
          <w:tcPr>
            <w:tcW w:w="1502" w:type="dxa"/>
            <w:tcBorders>
              <w:left w:val="nil"/>
              <w:bottom w:val="single" w:sz="8" w:space="0" w:color="auto"/>
              <w:right w:val="nil"/>
            </w:tcBorders>
            <w:shd w:val="clear" w:color="auto" w:fill="auto"/>
            <w:noWrap/>
            <w:vAlign w:val="bottom"/>
            <w:hideMark/>
          </w:tcPr>
          <w:p w14:paraId="7DC53736"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tcBorders>
              <w:left w:val="nil"/>
              <w:bottom w:val="nil"/>
              <w:right w:val="nil"/>
            </w:tcBorders>
            <w:shd w:val="clear" w:color="auto" w:fill="auto"/>
            <w:noWrap/>
            <w:vAlign w:val="bottom"/>
            <w:hideMark/>
          </w:tcPr>
          <w:p w14:paraId="11E40556"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p>
        </w:tc>
        <w:tc>
          <w:tcPr>
            <w:tcW w:w="1502" w:type="dxa"/>
            <w:tcBorders>
              <w:left w:val="nil"/>
              <w:bottom w:val="single" w:sz="8" w:space="0" w:color="auto"/>
              <w:right w:val="nil"/>
            </w:tcBorders>
            <w:shd w:val="clear" w:color="auto" w:fill="auto"/>
            <w:noWrap/>
            <w:vAlign w:val="bottom"/>
            <w:hideMark/>
          </w:tcPr>
          <w:p w14:paraId="73AD6B50" w14:textId="77777777" w:rsidR="004C4391" w:rsidRPr="0074154F" w:rsidRDefault="004C4391" w:rsidP="00A52BCD">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4C4391" w:rsidRPr="0074154F" w14:paraId="7FC55F5D" w14:textId="77777777" w:rsidTr="00A52BCD">
        <w:trPr>
          <w:trHeight w:val="179"/>
          <w:jc w:val="right"/>
        </w:trPr>
        <w:tc>
          <w:tcPr>
            <w:tcW w:w="5272" w:type="dxa"/>
            <w:tcBorders>
              <w:top w:val="nil"/>
              <w:left w:val="nil"/>
              <w:right w:val="nil"/>
            </w:tcBorders>
            <w:shd w:val="clear" w:color="auto" w:fill="auto"/>
            <w:noWrap/>
            <w:vAlign w:val="bottom"/>
            <w:hideMark/>
          </w:tcPr>
          <w:p w14:paraId="5609AF3E" w14:textId="77777777" w:rsidR="004C4391" w:rsidRPr="0074154F" w:rsidRDefault="004C4391" w:rsidP="00A52BCD">
            <w:pPr>
              <w:spacing w:after="0" w:line="240" w:lineRule="auto"/>
              <w:ind w:left="-70"/>
              <w:rPr>
                <w:rFonts w:ascii="Arial" w:eastAsia="Times New Roman" w:hAnsi="Arial" w:cs="Arial"/>
                <w:b/>
                <w:bCs/>
                <w:color w:val="000000"/>
                <w:sz w:val="20"/>
                <w:szCs w:val="20"/>
                <w:u w:val="single"/>
                <w:lang w:eastAsia="es-EC"/>
              </w:rPr>
            </w:pPr>
          </w:p>
        </w:tc>
        <w:tc>
          <w:tcPr>
            <w:tcW w:w="1502" w:type="dxa"/>
            <w:tcBorders>
              <w:left w:val="nil"/>
              <w:right w:val="nil"/>
            </w:tcBorders>
            <w:shd w:val="clear" w:color="auto" w:fill="auto"/>
            <w:noWrap/>
            <w:vAlign w:val="bottom"/>
            <w:hideMark/>
          </w:tcPr>
          <w:p w14:paraId="4C94CBAB"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hideMark/>
          </w:tcPr>
          <w:p w14:paraId="0356396A"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hideMark/>
          </w:tcPr>
          <w:p w14:paraId="1DE54644" w14:textId="77777777" w:rsidR="004C4391" w:rsidRPr="0074154F" w:rsidRDefault="004C4391" w:rsidP="00A52BCD">
            <w:pPr>
              <w:spacing w:after="0" w:line="240" w:lineRule="auto"/>
              <w:rPr>
                <w:rFonts w:ascii="Arial" w:eastAsia="Times New Roman" w:hAnsi="Arial" w:cs="Arial"/>
                <w:sz w:val="20"/>
                <w:szCs w:val="20"/>
                <w:lang w:eastAsia="es-EC"/>
              </w:rPr>
            </w:pPr>
          </w:p>
        </w:tc>
      </w:tr>
      <w:tr w:rsidR="004C4391" w:rsidRPr="0074154F" w14:paraId="658D7187" w14:textId="77777777" w:rsidTr="00A52BCD">
        <w:trPr>
          <w:trHeight w:val="283"/>
          <w:jc w:val="right"/>
        </w:trPr>
        <w:tc>
          <w:tcPr>
            <w:tcW w:w="5272" w:type="dxa"/>
            <w:tcBorders>
              <w:top w:val="nil"/>
              <w:left w:val="nil"/>
              <w:bottom w:val="nil"/>
              <w:right w:val="nil"/>
            </w:tcBorders>
            <w:shd w:val="clear" w:color="auto" w:fill="auto"/>
            <w:noWrap/>
            <w:vAlign w:val="bottom"/>
          </w:tcPr>
          <w:p w14:paraId="51E8699F" w14:textId="77777777" w:rsidR="004C4391" w:rsidRPr="0087468F" w:rsidRDefault="004C4391" w:rsidP="00A52BCD">
            <w:pPr>
              <w:spacing w:after="0" w:line="240" w:lineRule="auto"/>
              <w:ind w:left="-70"/>
              <w:rPr>
                <w:rFonts w:ascii="Arial" w:eastAsia="Times New Roman" w:hAnsi="Arial" w:cs="Arial"/>
                <w:i/>
                <w:iCs/>
                <w:color w:val="000000"/>
                <w:sz w:val="20"/>
                <w:szCs w:val="20"/>
                <w:lang w:eastAsia="es-EC"/>
              </w:rPr>
            </w:pPr>
            <w:r w:rsidRPr="0087468F">
              <w:rPr>
                <w:rFonts w:ascii="Arial" w:eastAsia="Times New Roman" w:hAnsi="Arial" w:cs="Arial"/>
                <w:i/>
                <w:iCs/>
                <w:color w:val="000000"/>
                <w:sz w:val="20"/>
                <w:szCs w:val="20"/>
                <w:u w:val="single"/>
                <w:lang w:val="es-MX" w:eastAsia="es-MX"/>
              </w:rPr>
              <w:t>Clasificación</w:t>
            </w:r>
            <w:r w:rsidRPr="0087468F">
              <w:rPr>
                <w:rFonts w:ascii="Arial" w:eastAsia="Times New Roman" w:hAnsi="Arial" w:cs="Arial"/>
                <w:i/>
                <w:iCs/>
                <w:color w:val="000000"/>
                <w:sz w:val="20"/>
                <w:szCs w:val="20"/>
                <w:lang w:val="es-MX" w:eastAsia="es-MX"/>
              </w:rPr>
              <w:t xml:space="preserve">: </w:t>
            </w:r>
          </w:p>
        </w:tc>
        <w:tc>
          <w:tcPr>
            <w:tcW w:w="1502" w:type="dxa"/>
            <w:tcBorders>
              <w:left w:val="nil"/>
              <w:right w:val="nil"/>
            </w:tcBorders>
            <w:shd w:val="clear" w:color="auto" w:fill="auto"/>
            <w:noWrap/>
            <w:vAlign w:val="bottom"/>
          </w:tcPr>
          <w:p w14:paraId="5C28D5E5" w14:textId="77777777" w:rsidR="004C4391" w:rsidRPr="0074154F" w:rsidRDefault="004C4391" w:rsidP="00A52BCD">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25A2A9EE"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6C5DCCFA" w14:textId="77777777" w:rsidR="004C4391" w:rsidRPr="0074154F" w:rsidRDefault="004C4391" w:rsidP="00A52BCD">
            <w:pPr>
              <w:tabs>
                <w:tab w:val="decimal" w:pos="1276"/>
              </w:tabs>
              <w:spacing w:after="0" w:line="240" w:lineRule="auto"/>
              <w:rPr>
                <w:rFonts w:ascii="Arial" w:eastAsia="Times New Roman" w:hAnsi="Arial" w:cs="Arial"/>
                <w:sz w:val="20"/>
                <w:szCs w:val="20"/>
                <w:lang w:eastAsia="es-EC"/>
              </w:rPr>
            </w:pPr>
          </w:p>
        </w:tc>
      </w:tr>
      <w:tr w:rsidR="004C4391" w:rsidRPr="0074154F" w14:paraId="3F777A29" w14:textId="77777777" w:rsidTr="00A52BCD">
        <w:trPr>
          <w:trHeight w:val="135"/>
          <w:jc w:val="right"/>
        </w:trPr>
        <w:tc>
          <w:tcPr>
            <w:tcW w:w="5272" w:type="dxa"/>
            <w:tcBorders>
              <w:top w:val="nil"/>
              <w:left w:val="nil"/>
              <w:bottom w:val="nil"/>
              <w:right w:val="nil"/>
            </w:tcBorders>
            <w:shd w:val="clear" w:color="auto" w:fill="auto"/>
            <w:noWrap/>
            <w:vAlign w:val="bottom"/>
          </w:tcPr>
          <w:p w14:paraId="7E4938A8" w14:textId="77777777" w:rsidR="004C4391" w:rsidRPr="0074154F" w:rsidRDefault="004C4391" w:rsidP="00A52BCD">
            <w:pPr>
              <w:spacing w:after="0" w:line="240" w:lineRule="auto"/>
              <w:ind w:left="-70"/>
              <w:rPr>
                <w:rFonts w:ascii="Arial" w:eastAsia="Times New Roman" w:hAnsi="Arial" w:cs="Arial"/>
                <w:color w:val="000000"/>
                <w:sz w:val="20"/>
                <w:szCs w:val="20"/>
                <w:lang w:eastAsia="es-EC"/>
              </w:rPr>
            </w:pPr>
          </w:p>
        </w:tc>
        <w:tc>
          <w:tcPr>
            <w:tcW w:w="1502" w:type="dxa"/>
            <w:tcBorders>
              <w:left w:val="nil"/>
              <w:right w:val="nil"/>
            </w:tcBorders>
            <w:shd w:val="clear" w:color="auto" w:fill="auto"/>
            <w:noWrap/>
            <w:vAlign w:val="bottom"/>
          </w:tcPr>
          <w:p w14:paraId="5A0F8575" w14:textId="77777777" w:rsidR="004C4391" w:rsidRPr="0074154F" w:rsidRDefault="004C4391" w:rsidP="00A52BCD">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207FC03C" w14:textId="77777777" w:rsidR="004C4391" w:rsidRPr="0074154F" w:rsidRDefault="004C4391" w:rsidP="00A52BCD">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5FFE7265" w14:textId="77777777" w:rsidR="004C4391" w:rsidRPr="0074154F" w:rsidRDefault="004C4391" w:rsidP="00A52BCD">
            <w:pPr>
              <w:tabs>
                <w:tab w:val="decimal" w:pos="1276"/>
              </w:tabs>
              <w:spacing w:after="0" w:line="240" w:lineRule="auto"/>
              <w:rPr>
                <w:rFonts w:ascii="Arial" w:eastAsia="Times New Roman" w:hAnsi="Arial" w:cs="Arial"/>
                <w:sz w:val="20"/>
                <w:szCs w:val="20"/>
                <w:lang w:eastAsia="es-EC"/>
              </w:rPr>
            </w:pPr>
          </w:p>
        </w:tc>
      </w:tr>
      <w:tr w:rsidR="004C4391" w:rsidRPr="0074154F" w14:paraId="1F4A3A67" w14:textId="77777777" w:rsidTr="00A52BCD">
        <w:trPr>
          <w:trHeight w:val="283"/>
          <w:jc w:val="right"/>
        </w:trPr>
        <w:tc>
          <w:tcPr>
            <w:tcW w:w="5272" w:type="dxa"/>
            <w:tcBorders>
              <w:top w:val="nil"/>
              <w:left w:val="nil"/>
              <w:bottom w:val="nil"/>
              <w:right w:val="nil"/>
            </w:tcBorders>
            <w:shd w:val="clear" w:color="auto" w:fill="auto"/>
            <w:noWrap/>
            <w:vAlign w:val="bottom"/>
          </w:tcPr>
          <w:p w14:paraId="65965F31" w14:textId="0FFCF4F0" w:rsidR="004C4391" w:rsidRPr="0074154F" w:rsidRDefault="004C4391" w:rsidP="00A52BCD">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Derechos de uso cable Panamericano</w:t>
            </w:r>
          </w:p>
        </w:tc>
        <w:tc>
          <w:tcPr>
            <w:tcW w:w="1502" w:type="dxa"/>
            <w:tcBorders>
              <w:left w:val="nil"/>
              <w:right w:val="nil"/>
            </w:tcBorders>
            <w:shd w:val="clear" w:color="auto" w:fill="auto"/>
            <w:noWrap/>
            <w:vAlign w:val="bottom"/>
          </w:tcPr>
          <w:p w14:paraId="54CED502" w14:textId="2EDF5682" w:rsidR="004C4391" w:rsidRPr="0074154F" w:rsidRDefault="00C541FF" w:rsidP="00A52BCD">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6,380,626</w:t>
            </w:r>
          </w:p>
        </w:tc>
        <w:tc>
          <w:tcPr>
            <w:tcW w:w="227" w:type="dxa"/>
            <w:tcBorders>
              <w:left w:val="nil"/>
              <w:right w:val="nil"/>
            </w:tcBorders>
            <w:shd w:val="clear" w:color="auto" w:fill="auto"/>
            <w:noWrap/>
            <w:vAlign w:val="bottom"/>
          </w:tcPr>
          <w:p w14:paraId="1DCE9162" w14:textId="77777777" w:rsidR="004C4391" w:rsidRPr="0074154F" w:rsidRDefault="004C4391" w:rsidP="00A52BCD">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18AC2669" w14:textId="28CF8931" w:rsidR="004C4391" w:rsidRPr="0074154F" w:rsidRDefault="00E85664" w:rsidP="00A52BCD">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7,055,357</w:t>
            </w:r>
          </w:p>
        </w:tc>
      </w:tr>
      <w:tr w:rsidR="00C541FF" w:rsidRPr="0074154F" w14:paraId="3D14D530" w14:textId="77777777" w:rsidTr="00A52BCD">
        <w:trPr>
          <w:trHeight w:val="283"/>
          <w:jc w:val="right"/>
        </w:trPr>
        <w:tc>
          <w:tcPr>
            <w:tcW w:w="5272" w:type="dxa"/>
            <w:tcBorders>
              <w:top w:val="nil"/>
              <w:left w:val="nil"/>
              <w:bottom w:val="nil"/>
              <w:right w:val="nil"/>
            </w:tcBorders>
            <w:shd w:val="clear" w:color="auto" w:fill="auto"/>
            <w:noWrap/>
            <w:vAlign w:val="bottom"/>
          </w:tcPr>
          <w:p w14:paraId="4755AEBB" w14:textId="4D23AA01" w:rsidR="00C541FF" w:rsidRPr="0074154F" w:rsidRDefault="00C541FF" w:rsidP="00C541FF">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val="es-MX" w:eastAsia="es-MX"/>
              </w:rPr>
              <w:t>Licencia y otros</w:t>
            </w:r>
          </w:p>
        </w:tc>
        <w:tc>
          <w:tcPr>
            <w:tcW w:w="1502" w:type="dxa"/>
            <w:tcBorders>
              <w:left w:val="nil"/>
              <w:right w:val="nil"/>
            </w:tcBorders>
            <w:shd w:val="clear" w:color="auto" w:fill="auto"/>
            <w:noWrap/>
            <w:vAlign w:val="bottom"/>
          </w:tcPr>
          <w:p w14:paraId="3D1D08BC" w14:textId="6C3DCA38" w:rsidR="00C541FF" w:rsidRDefault="00C541FF" w:rsidP="00C541FF">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2,267,402</w:t>
            </w:r>
          </w:p>
        </w:tc>
        <w:tc>
          <w:tcPr>
            <w:tcW w:w="227" w:type="dxa"/>
            <w:tcBorders>
              <w:left w:val="nil"/>
              <w:right w:val="nil"/>
            </w:tcBorders>
            <w:shd w:val="clear" w:color="auto" w:fill="auto"/>
            <w:noWrap/>
            <w:vAlign w:val="bottom"/>
          </w:tcPr>
          <w:p w14:paraId="1DE4F51B" w14:textId="77777777" w:rsidR="00C541FF" w:rsidRPr="0074154F" w:rsidRDefault="00C541FF" w:rsidP="00C541FF">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739BDA5B" w14:textId="697C8256" w:rsidR="00C541FF" w:rsidRPr="0074154F" w:rsidRDefault="00E85664" w:rsidP="00C541FF">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2,049,739</w:t>
            </w:r>
          </w:p>
        </w:tc>
      </w:tr>
      <w:tr w:rsidR="00C541FF" w:rsidRPr="0074154F" w14:paraId="4EC95C02" w14:textId="77777777" w:rsidTr="00A52BCD">
        <w:trPr>
          <w:trHeight w:val="298"/>
          <w:jc w:val="right"/>
        </w:trPr>
        <w:tc>
          <w:tcPr>
            <w:tcW w:w="5272" w:type="dxa"/>
            <w:tcBorders>
              <w:top w:val="nil"/>
              <w:left w:val="nil"/>
              <w:bottom w:val="nil"/>
              <w:right w:val="nil"/>
            </w:tcBorders>
            <w:shd w:val="clear" w:color="auto" w:fill="auto"/>
            <w:noWrap/>
            <w:vAlign w:val="bottom"/>
          </w:tcPr>
          <w:p w14:paraId="7DAF33FE" w14:textId="5BFB7AB0"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Ductos</w:t>
            </w:r>
          </w:p>
        </w:tc>
        <w:tc>
          <w:tcPr>
            <w:tcW w:w="1502" w:type="dxa"/>
            <w:tcBorders>
              <w:left w:val="nil"/>
              <w:right w:val="nil"/>
            </w:tcBorders>
            <w:shd w:val="clear" w:color="auto" w:fill="auto"/>
            <w:noWrap/>
            <w:vAlign w:val="bottom"/>
          </w:tcPr>
          <w:p w14:paraId="456A886A" w14:textId="623BB12B"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1,632,765</w:t>
            </w:r>
          </w:p>
        </w:tc>
        <w:tc>
          <w:tcPr>
            <w:tcW w:w="227" w:type="dxa"/>
            <w:tcBorders>
              <w:left w:val="nil"/>
              <w:right w:val="nil"/>
            </w:tcBorders>
            <w:shd w:val="clear" w:color="auto" w:fill="auto"/>
            <w:noWrap/>
            <w:vAlign w:val="bottom"/>
          </w:tcPr>
          <w:p w14:paraId="23002F23"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591D2961" w14:textId="37A1A97F" w:rsidR="00C541FF" w:rsidRPr="0074154F" w:rsidRDefault="00E85664"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1,915,027</w:t>
            </w:r>
          </w:p>
        </w:tc>
      </w:tr>
      <w:tr w:rsidR="00F62FB7" w:rsidRPr="0074154F" w14:paraId="0154452C" w14:textId="77777777" w:rsidTr="00A52BCD">
        <w:trPr>
          <w:trHeight w:val="298"/>
          <w:jc w:val="right"/>
        </w:trPr>
        <w:tc>
          <w:tcPr>
            <w:tcW w:w="5272" w:type="dxa"/>
            <w:tcBorders>
              <w:top w:val="nil"/>
              <w:left w:val="nil"/>
              <w:bottom w:val="nil"/>
              <w:right w:val="nil"/>
            </w:tcBorders>
            <w:shd w:val="clear" w:color="auto" w:fill="auto"/>
            <w:noWrap/>
            <w:vAlign w:val="bottom"/>
          </w:tcPr>
          <w:p w14:paraId="732D0F8B" w14:textId="5B769679" w:rsidR="00F62FB7" w:rsidRPr="0074154F" w:rsidRDefault="00F62FB7" w:rsidP="00C541FF">
            <w:pPr>
              <w:spacing w:after="0" w:line="240" w:lineRule="auto"/>
              <w:ind w:left="-70"/>
              <w:rPr>
                <w:rFonts w:ascii="Arial" w:eastAsia="Times New Roman" w:hAnsi="Arial" w:cs="Arial"/>
                <w:color w:val="000000" w:themeColor="text1"/>
                <w:sz w:val="20"/>
                <w:szCs w:val="20"/>
                <w:lang w:val="es-MX" w:eastAsia="es-MX"/>
              </w:rPr>
            </w:pPr>
            <w:proofErr w:type="spellStart"/>
            <w:r>
              <w:rPr>
                <w:rFonts w:ascii="Arial" w:eastAsia="Times New Roman" w:hAnsi="Arial" w:cs="Arial"/>
                <w:color w:val="000000" w:themeColor="text1"/>
                <w:sz w:val="20"/>
                <w:szCs w:val="20"/>
                <w:lang w:val="es-MX" w:eastAsia="es-MX"/>
              </w:rPr>
              <w:t>Capacity</w:t>
            </w:r>
            <w:proofErr w:type="spellEnd"/>
            <w:r>
              <w:rPr>
                <w:rFonts w:ascii="Arial" w:eastAsia="Times New Roman" w:hAnsi="Arial" w:cs="Arial"/>
                <w:color w:val="000000" w:themeColor="text1"/>
                <w:sz w:val="20"/>
                <w:szCs w:val="20"/>
                <w:lang w:val="es-MX" w:eastAsia="es-MX"/>
              </w:rPr>
              <w:t xml:space="preserve"> IRU Cable Andino</w:t>
            </w:r>
          </w:p>
        </w:tc>
        <w:tc>
          <w:tcPr>
            <w:tcW w:w="1502" w:type="dxa"/>
            <w:tcBorders>
              <w:left w:val="nil"/>
              <w:right w:val="nil"/>
            </w:tcBorders>
            <w:shd w:val="clear" w:color="auto" w:fill="auto"/>
            <w:noWrap/>
            <w:vAlign w:val="bottom"/>
          </w:tcPr>
          <w:p w14:paraId="22BA3C50" w14:textId="6F778C00" w:rsidR="00F62FB7" w:rsidRDefault="00F62FB7"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w:t>
            </w:r>
          </w:p>
        </w:tc>
        <w:tc>
          <w:tcPr>
            <w:tcW w:w="227" w:type="dxa"/>
            <w:tcBorders>
              <w:left w:val="nil"/>
              <w:right w:val="nil"/>
            </w:tcBorders>
            <w:shd w:val="clear" w:color="auto" w:fill="auto"/>
            <w:noWrap/>
            <w:vAlign w:val="bottom"/>
          </w:tcPr>
          <w:p w14:paraId="5DA8836E" w14:textId="77777777" w:rsidR="00F62FB7" w:rsidRPr="0074154F" w:rsidRDefault="00F62FB7"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4C6FFE9" w14:textId="65E0F040" w:rsidR="00F62FB7" w:rsidRDefault="00F62FB7"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805,549</w:t>
            </w:r>
          </w:p>
        </w:tc>
      </w:tr>
      <w:tr w:rsidR="00C541FF" w:rsidRPr="0074154F" w14:paraId="6A7BE4A2" w14:textId="77777777" w:rsidTr="00A52BCD">
        <w:trPr>
          <w:trHeight w:val="298"/>
          <w:jc w:val="right"/>
        </w:trPr>
        <w:tc>
          <w:tcPr>
            <w:tcW w:w="5272" w:type="dxa"/>
            <w:tcBorders>
              <w:top w:val="nil"/>
              <w:left w:val="nil"/>
              <w:bottom w:val="nil"/>
              <w:right w:val="nil"/>
            </w:tcBorders>
            <w:shd w:val="clear" w:color="auto" w:fill="auto"/>
            <w:noWrap/>
            <w:vAlign w:val="bottom"/>
          </w:tcPr>
          <w:p w14:paraId="1DDB968A" w14:textId="25AC834B"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proofErr w:type="spellStart"/>
            <w:r w:rsidRPr="0074154F">
              <w:rPr>
                <w:rFonts w:ascii="Arial" w:eastAsia="Times New Roman" w:hAnsi="Arial" w:cs="Arial"/>
                <w:color w:val="000000" w:themeColor="text1"/>
                <w:sz w:val="20"/>
                <w:szCs w:val="20"/>
                <w:lang w:val="es-MX" w:eastAsia="es-MX"/>
              </w:rPr>
              <w:t>Capacity</w:t>
            </w:r>
            <w:proofErr w:type="spellEnd"/>
            <w:r w:rsidRPr="0074154F">
              <w:rPr>
                <w:rFonts w:ascii="Arial" w:eastAsia="Times New Roman" w:hAnsi="Arial" w:cs="Arial"/>
                <w:color w:val="000000" w:themeColor="text1"/>
                <w:sz w:val="20"/>
                <w:szCs w:val="20"/>
                <w:lang w:val="es-MX" w:eastAsia="es-MX"/>
              </w:rPr>
              <w:t xml:space="preserve"> IRU Telefónica </w:t>
            </w:r>
          </w:p>
        </w:tc>
        <w:tc>
          <w:tcPr>
            <w:tcW w:w="1502" w:type="dxa"/>
            <w:tcBorders>
              <w:left w:val="nil"/>
              <w:right w:val="nil"/>
            </w:tcBorders>
            <w:shd w:val="clear" w:color="auto" w:fill="auto"/>
            <w:noWrap/>
            <w:vAlign w:val="bottom"/>
          </w:tcPr>
          <w:p w14:paraId="0C2AEF7F" w14:textId="1CE4A4B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504,888</w:t>
            </w:r>
          </w:p>
        </w:tc>
        <w:tc>
          <w:tcPr>
            <w:tcW w:w="227" w:type="dxa"/>
            <w:tcBorders>
              <w:left w:val="nil"/>
              <w:right w:val="nil"/>
            </w:tcBorders>
            <w:shd w:val="clear" w:color="auto" w:fill="auto"/>
            <w:noWrap/>
            <w:vAlign w:val="bottom"/>
          </w:tcPr>
          <w:p w14:paraId="663299ED"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3E47FB2E" w14:textId="7CB50910" w:rsidR="00C541FF" w:rsidRPr="0074154F" w:rsidRDefault="00E85664"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614,889</w:t>
            </w:r>
          </w:p>
        </w:tc>
      </w:tr>
      <w:tr w:rsidR="00C541FF" w:rsidRPr="0074154F" w14:paraId="0FD752AD" w14:textId="77777777" w:rsidTr="00A52BCD">
        <w:trPr>
          <w:trHeight w:val="298"/>
          <w:jc w:val="right"/>
        </w:trPr>
        <w:tc>
          <w:tcPr>
            <w:tcW w:w="5272" w:type="dxa"/>
            <w:tcBorders>
              <w:top w:val="nil"/>
              <w:left w:val="nil"/>
              <w:bottom w:val="nil"/>
              <w:right w:val="nil"/>
            </w:tcBorders>
            <w:shd w:val="clear" w:color="auto" w:fill="auto"/>
            <w:noWrap/>
            <w:vAlign w:val="bottom"/>
          </w:tcPr>
          <w:p w14:paraId="2DFEFB49" w14:textId="5D0B5096"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American </w:t>
            </w:r>
            <w:proofErr w:type="spellStart"/>
            <w:r w:rsidRPr="0074154F">
              <w:rPr>
                <w:rFonts w:ascii="Arial" w:eastAsia="Times New Roman" w:hAnsi="Arial" w:cs="Arial"/>
                <w:color w:val="000000" w:themeColor="text1"/>
                <w:sz w:val="20"/>
                <w:szCs w:val="20"/>
                <w:lang w:val="es-MX" w:eastAsia="es-MX"/>
              </w:rPr>
              <w:t>Cyber</w:t>
            </w:r>
            <w:proofErr w:type="spellEnd"/>
            <w:r w:rsidRPr="0074154F">
              <w:rPr>
                <w:rFonts w:ascii="Arial" w:eastAsia="Times New Roman" w:hAnsi="Arial" w:cs="Arial"/>
                <w:color w:val="000000" w:themeColor="text1"/>
                <w:sz w:val="20"/>
                <w:szCs w:val="20"/>
                <w:lang w:val="es-MX" w:eastAsia="es-MX"/>
              </w:rPr>
              <w:t xml:space="preserve"> </w:t>
            </w:r>
            <w:proofErr w:type="spellStart"/>
            <w:r w:rsidRPr="0074154F">
              <w:rPr>
                <w:rFonts w:ascii="Arial" w:eastAsia="Times New Roman" w:hAnsi="Arial" w:cs="Arial"/>
                <w:color w:val="000000" w:themeColor="text1"/>
                <w:sz w:val="20"/>
                <w:szCs w:val="20"/>
                <w:lang w:val="es-MX" w:eastAsia="es-MX"/>
              </w:rPr>
              <w:t>Optics</w:t>
            </w:r>
            <w:proofErr w:type="spellEnd"/>
            <w:r w:rsidRPr="0074154F">
              <w:rPr>
                <w:rFonts w:ascii="Arial" w:eastAsia="Times New Roman" w:hAnsi="Arial" w:cs="Arial"/>
                <w:color w:val="000000" w:themeColor="text1"/>
                <w:sz w:val="20"/>
                <w:szCs w:val="20"/>
                <w:lang w:val="es-MX" w:eastAsia="es-MX"/>
              </w:rPr>
              <w:t xml:space="preserve"> </w:t>
            </w:r>
            <w:proofErr w:type="spellStart"/>
            <w:r w:rsidRPr="0074154F">
              <w:rPr>
                <w:rFonts w:ascii="Arial" w:eastAsia="Times New Roman" w:hAnsi="Arial" w:cs="Arial"/>
                <w:color w:val="000000" w:themeColor="text1"/>
                <w:sz w:val="20"/>
                <w:szCs w:val="20"/>
                <w:lang w:val="es-MX" w:eastAsia="es-MX"/>
              </w:rPr>
              <w:t>Systems</w:t>
            </w:r>
            <w:proofErr w:type="spellEnd"/>
          </w:p>
        </w:tc>
        <w:tc>
          <w:tcPr>
            <w:tcW w:w="1502" w:type="dxa"/>
            <w:tcBorders>
              <w:left w:val="nil"/>
              <w:right w:val="nil"/>
            </w:tcBorders>
            <w:shd w:val="clear" w:color="auto" w:fill="auto"/>
            <w:noWrap/>
            <w:vAlign w:val="bottom"/>
          </w:tcPr>
          <w:p w14:paraId="29FAF098" w14:textId="3DF72F48"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380,501</w:t>
            </w:r>
          </w:p>
        </w:tc>
        <w:tc>
          <w:tcPr>
            <w:tcW w:w="227" w:type="dxa"/>
            <w:tcBorders>
              <w:left w:val="nil"/>
              <w:right w:val="nil"/>
            </w:tcBorders>
            <w:shd w:val="clear" w:color="auto" w:fill="auto"/>
            <w:noWrap/>
            <w:vAlign w:val="bottom"/>
          </w:tcPr>
          <w:p w14:paraId="1AECBF3A"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770DCE8" w14:textId="5FD1CBFE" w:rsidR="00C541FF" w:rsidRPr="0074154F" w:rsidRDefault="00E85664"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471,968</w:t>
            </w:r>
          </w:p>
        </w:tc>
      </w:tr>
      <w:tr w:rsidR="00C541FF" w:rsidRPr="0074154F" w14:paraId="49CE30F0" w14:textId="77777777" w:rsidTr="00A52BCD">
        <w:trPr>
          <w:trHeight w:val="298"/>
          <w:jc w:val="right"/>
        </w:trPr>
        <w:tc>
          <w:tcPr>
            <w:tcW w:w="5272" w:type="dxa"/>
            <w:tcBorders>
              <w:top w:val="nil"/>
              <w:left w:val="nil"/>
              <w:bottom w:val="nil"/>
              <w:right w:val="nil"/>
            </w:tcBorders>
            <w:shd w:val="clear" w:color="auto" w:fill="auto"/>
            <w:noWrap/>
            <w:vAlign w:val="bottom"/>
          </w:tcPr>
          <w:p w14:paraId="528B78A2" w14:textId="124E0A4B"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Concesiones</w:t>
            </w:r>
          </w:p>
        </w:tc>
        <w:tc>
          <w:tcPr>
            <w:tcW w:w="1502" w:type="dxa"/>
            <w:tcBorders>
              <w:left w:val="nil"/>
              <w:right w:val="nil"/>
            </w:tcBorders>
            <w:shd w:val="clear" w:color="auto" w:fill="auto"/>
            <w:noWrap/>
            <w:vAlign w:val="bottom"/>
          </w:tcPr>
          <w:p w14:paraId="4B9FCB1F" w14:textId="56ED9651"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250,000</w:t>
            </w:r>
          </w:p>
        </w:tc>
        <w:tc>
          <w:tcPr>
            <w:tcW w:w="227" w:type="dxa"/>
            <w:tcBorders>
              <w:left w:val="nil"/>
              <w:right w:val="nil"/>
            </w:tcBorders>
            <w:shd w:val="clear" w:color="auto" w:fill="auto"/>
            <w:noWrap/>
            <w:vAlign w:val="bottom"/>
          </w:tcPr>
          <w:p w14:paraId="4C405028"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5A4FFDF3" w14:textId="739BC1D3" w:rsidR="00C541FF" w:rsidRPr="0074154F" w:rsidRDefault="00EF1027"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250,000</w:t>
            </w:r>
          </w:p>
        </w:tc>
      </w:tr>
      <w:tr w:rsidR="00C541FF" w:rsidRPr="0074154F" w14:paraId="4F211602" w14:textId="77777777" w:rsidTr="0045324F">
        <w:trPr>
          <w:trHeight w:val="298"/>
          <w:jc w:val="right"/>
        </w:trPr>
        <w:tc>
          <w:tcPr>
            <w:tcW w:w="5272" w:type="dxa"/>
            <w:tcBorders>
              <w:top w:val="nil"/>
              <w:left w:val="nil"/>
              <w:bottom w:val="nil"/>
              <w:right w:val="nil"/>
            </w:tcBorders>
            <w:shd w:val="clear" w:color="auto" w:fill="auto"/>
            <w:noWrap/>
            <w:vAlign w:val="bottom"/>
          </w:tcPr>
          <w:p w14:paraId="063842FA" w14:textId="659828D4"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Otros</w:t>
            </w:r>
          </w:p>
        </w:tc>
        <w:tc>
          <w:tcPr>
            <w:tcW w:w="1502" w:type="dxa"/>
            <w:tcBorders>
              <w:left w:val="nil"/>
              <w:right w:val="nil"/>
            </w:tcBorders>
            <w:shd w:val="clear" w:color="auto" w:fill="auto"/>
            <w:noWrap/>
            <w:vAlign w:val="bottom"/>
          </w:tcPr>
          <w:p w14:paraId="376E37DA" w14:textId="19632B0E"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47,917</w:t>
            </w:r>
          </w:p>
        </w:tc>
        <w:tc>
          <w:tcPr>
            <w:tcW w:w="227" w:type="dxa"/>
            <w:tcBorders>
              <w:left w:val="nil"/>
              <w:right w:val="nil"/>
            </w:tcBorders>
            <w:shd w:val="clear" w:color="auto" w:fill="auto"/>
            <w:noWrap/>
            <w:vAlign w:val="bottom"/>
          </w:tcPr>
          <w:p w14:paraId="1A618788"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A991E03" w14:textId="48248195" w:rsidR="00C541FF" w:rsidRPr="0074154F" w:rsidRDefault="00E85664"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47,917</w:t>
            </w:r>
          </w:p>
        </w:tc>
      </w:tr>
      <w:tr w:rsidR="00C541FF" w:rsidRPr="0074154F" w14:paraId="7FC7E0A5" w14:textId="77777777" w:rsidTr="0045324F">
        <w:trPr>
          <w:trHeight w:val="298"/>
          <w:jc w:val="right"/>
        </w:trPr>
        <w:tc>
          <w:tcPr>
            <w:tcW w:w="5272" w:type="dxa"/>
            <w:tcBorders>
              <w:top w:val="nil"/>
              <w:left w:val="nil"/>
              <w:bottom w:val="nil"/>
              <w:right w:val="nil"/>
            </w:tcBorders>
            <w:shd w:val="clear" w:color="auto" w:fill="auto"/>
            <w:noWrap/>
            <w:vAlign w:val="bottom"/>
          </w:tcPr>
          <w:p w14:paraId="1A058BFC" w14:textId="554A198C" w:rsidR="00C541FF" w:rsidRPr="0074154F" w:rsidRDefault="00C541FF" w:rsidP="00C541FF">
            <w:pPr>
              <w:spacing w:after="0" w:line="240" w:lineRule="auto"/>
              <w:ind w:left="-70"/>
              <w:rPr>
                <w:rFonts w:ascii="Arial" w:eastAsia="Times New Roman" w:hAnsi="Arial" w:cs="Arial"/>
                <w:color w:val="000000" w:themeColor="text1"/>
                <w:sz w:val="20"/>
                <w:szCs w:val="20"/>
                <w:lang w:val="es-MX" w:eastAsia="es-MX"/>
              </w:rPr>
            </w:pPr>
            <w:proofErr w:type="spellStart"/>
            <w:r w:rsidRPr="0074154F">
              <w:rPr>
                <w:rFonts w:ascii="Arial" w:eastAsia="Times New Roman" w:hAnsi="Arial" w:cs="Arial"/>
                <w:color w:val="000000" w:themeColor="text1"/>
                <w:sz w:val="20"/>
                <w:szCs w:val="20"/>
                <w:lang w:val="es-MX" w:eastAsia="es-MX"/>
              </w:rPr>
              <w:t>Capacity</w:t>
            </w:r>
            <w:proofErr w:type="spellEnd"/>
            <w:r w:rsidRPr="0074154F">
              <w:rPr>
                <w:rFonts w:ascii="Arial" w:eastAsia="Times New Roman" w:hAnsi="Arial" w:cs="Arial"/>
                <w:color w:val="000000" w:themeColor="text1"/>
                <w:sz w:val="20"/>
                <w:szCs w:val="20"/>
                <w:lang w:val="es-MX" w:eastAsia="es-MX"/>
              </w:rPr>
              <w:t xml:space="preserve"> </w:t>
            </w:r>
            <w:proofErr w:type="spellStart"/>
            <w:r w:rsidRPr="0074154F">
              <w:rPr>
                <w:rFonts w:ascii="Arial" w:eastAsia="Times New Roman" w:hAnsi="Arial" w:cs="Arial"/>
                <w:color w:val="000000" w:themeColor="text1"/>
                <w:sz w:val="20"/>
                <w:szCs w:val="20"/>
                <w:lang w:val="es-MX" w:eastAsia="es-MX"/>
              </w:rPr>
              <w:t>intcomex</w:t>
            </w:r>
            <w:proofErr w:type="spellEnd"/>
          </w:p>
        </w:tc>
        <w:tc>
          <w:tcPr>
            <w:tcW w:w="1502" w:type="dxa"/>
            <w:tcBorders>
              <w:left w:val="nil"/>
              <w:bottom w:val="single" w:sz="6" w:space="0" w:color="auto"/>
              <w:right w:val="nil"/>
            </w:tcBorders>
            <w:shd w:val="clear" w:color="auto" w:fill="auto"/>
            <w:noWrap/>
            <w:vAlign w:val="bottom"/>
          </w:tcPr>
          <w:p w14:paraId="61D80468" w14:textId="16C2FF81"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w:t>
            </w:r>
          </w:p>
        </w:tc>
        <w:tc>
          <w:tcPr>
            <w:tcW w:w="227" w:type="dxa"/>
            <w:tcBorders>
              <w:left w:val="nil"/>
              <w:right w:val="nil"/>
            </w:tcBorders>
            <w:shd w:val="clear" w:color="auto" w:fill="auto"/>
            <w:noWrap/>
            <w:vAlign w:val="bottom"/>
          </w:tcPr>
          <w:p w14:paraId="372DFD06" w14:textId="77777777" w:rsidR="00C541FF" w:rsidRPr="0074154F" w:rsidRDefault="00C541FF" w:rsidP="00C541FF">
            <w:pPr>
              <w:spacing w:after="0" w:line="240" w:lineRule="auto"/>
              <w:jc w:val="right"/>
              <w:rPr>
                <w:rFonts w:ascii="Arial" w:eastAsia="Times New Roman" w:hAnsi="Arial" w:cs="Arial"/>
                <w:color w:val="000000" w:themeColor="text1"/>
                <w:sz w:val="20"/>
                <w:szCs w:val="20"/>
                <w:lang w:eastAsia="es-EC"/>
              </w:rPr>
            </w:pPr>
          </w:p>
        </w:tc>
        <w:tc>
          <w:tcPr>
            <w:tcW w:w="1502" w:type="dxa"/>
            <w:tcBorders>
              <w:left w:val="nil"/>
              <w:bottom w:val="single" w:sz="6" w:space="0" w:color="auto"/>
              <w:right w:val="nil"/>
            </w:tcBorders>
            <w:shd w:val="clear" w:color="auto" w:fill="auto"/>
            <w:noWrap/>
            <w:vAlign w:val="bottom"/>
          </w:tcPr>
          <w:p w14:paraId="7A509097" w14:textId="6DE5C180" w:rsidR="00C541FF" w:rsidRPr="0074154F" w:rsidRDefault="00F62FB7" w:rsidP="00C541FF">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w:t>
            </w:r>
          </w:p>
        </w:tc>
      </w:tr>
      <w:tr w:rsidR="00C541FF" w:rsidRPr="0074154F" w14:paraId="62C9909A" w14:textId="77777777" w:rsidTr="0045324F">
        <w:trPr>
          <w:trHeight w:val="193"/>
          <w:jc w:val="right"/>
        </w:trPr>
        <w:tc>
          <w:tcPr>
            <w:tcW w:w="5272" w:type="dxa"/>
            <w:tcBorders>
              <w:top w:val="nil"/>
              <w:left w:val="nil"/>
              <w:bottom w:val="nil"/>
              <w:right w:val="nil"/>
            </w:tcBorders>
            <w:shd w:val="clear" w:color="auto" w:fill="auto"/>
            <w:noWrap/>
            <w:vAlign w:val="bottom"/>
          </w:tcPr>
          <w:p w14:paraId="61E88838" w14:textId="77777777" w:rsidR="00C541FF" w:rsidRPr="0074154F" w:rsidRDefault="00C541FF" w:rsidP="00C541FF">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30BEC8F3" w14:textId="77777777" w:rsidR="00C541FF" w:rsidRPr="0074154F" w:rsidRDefault="00C541FF" w:rsidP="00C541FF">
            <w:pPr>
              <w:spacing w:after="0" w:line="240" w:lineRule="auto"/>
              <w:jc w:val="right"/>
              <w:rPr>
                <w:rFonts w:ascii="Arial" w:eastAsia="Times New Roman" w:hAnsi="Arial" w:cs="Arial"/>
                <w:b/>
                <w:bCs/>
                <w:color w:val="000000"/>
                <w:sz w:val="20"/>
                <w:szCs w:val="20"/>
                <w:lang w:eastAsia="es-EC"/>
              </w:rPr>
            </w:pPr>
          </w:p>
        </w:tc>
        <w:tc>
          <w:tcPr>
            <w:tcW w:w="227" w:type="dxa"/>
            <w:tcBorders>
              <w:left w:val="nil"/>
              <w:right w:val="nil"/>
            </w:tcBorders>
            <w:shd w:val="clear" w:color="auto" w:fill="auto"/>
            <w:noWrap/>
            <w:vAlign w:val="bottom"/>
          </w:tcPr>
          <w:p w14:paraId="222FEEBE" w14:textId="77777777" w:rsidR="00C541FF" w:rsidRPr="0074154F" w:rsidRDefault="00C541FF" w:rsidP="00C541FF">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23E6A80C" w14:textId="77777777" w:rsidR="00C541FF" w:rsidRPr="0074154F" w:rsidRDefault="00C541FF" w:rsidP="00C541FF">
            <w:pPr>
              <w:spacing w:after="0" w:line="240" w:lineRule="auto"/>
              <w:jc w:val="right"/>
              <w:rPr>
                <w:rFonts w:ascii="Arial" w:eastAsia="Times New Roman" w:hAnsi="Arial" w:cs="Arial"/>
                <w:b/>
                <w:bCs/>
                <w:color w:val="000000"/>
                <w:sz w:val="20"/>
                <w:szCs w:val="20"/>
                <w:lang w:eastAsia="es-EC"/>
              </w:rPr>
            </w:pPr>
          </w:p>
        </w:tc>
      </w:tr>
      <w:tr w:rsidR="00C541FF" w:rsidRPr="0074154F" w14:paraId="11E0722E" w14:textId="77777777" w:rsidTr="00A52BCD">
        <w:trPr>
          <w:trHeight w:val="89"/>
          <w:jc w:val="right"/>
        </w:trPr>
        <w:tc>
          <w:tcPr>
            <w:tcW w:w="5272" w:type="dxa"/>
            <w:tcBorders>
              <w:top w:val="nil"/>
              <w:left w:val="nil"/>
              <w:bottom w:val="nil"/>
              <w:right w:val="nil"/>
            </w:tcBorders>
            <w:shd w:val="clear" w:color="auto" w:fill="auto"/>
            <w:noWrap/>
            <w:vAlign w:val="bottom"/>
          </w:tcPr>
          <w:p w14:paraId="69BD3F48" w14:textId="77777777" w:rsidR="00C541FF" w:rsidRPr="0074154F" w:rsidRDefault="00C541FF" w:rsidP="00C541FF">
            <w:pPr>
              <w:spacing w:after="0" w:line="240" w:lineRule="auto"/>
              <w:ind w:left="-70"/>
              <w:rPr>
                <w:rFonts w:ascii="Arial" w:eastAsia="Times New Roman" w:hAnsi="Arial" w:cs="Arial"/>
                <w:b/>
                <w:bCs/>
                <w:color w:val="000000"/>
                <w:sz w:val="20"/>
                <w:szCs w:val="20"/>
                <w:u w:val="single"/>
                <w:lang w:val="es-MX" w:eastAsia="es-MX"/>
              </w:rPr>
            </w:pPr>
            <w:r w:rsidRPr="0074154F">
              <w:rPr>
                <w:rFonts w:ascii="Arial" w:eastAsia="Times New Roman" w:hAnsi="Arial" w:cs="Arial"/>
                <w:color w:val="000000"/>
                <w:sz w:val="20"/>
                <w:szCs w:val="20"/>
                <w:lang w:eastAsia="es-MX"/>
              </w:rPr>
              <w:t>Total</w:t>
            </w:r>
          </w:p>
        </w:tc>
        <w:tc>
          <w:tcPr>
            <w:tcW w:w="1502" w:type="dxa"/>
            <w:tcBorders>
              <w:left w:val="nil"/>
              <w:bottom w:val="double" w:sz="4" w:space="0" w:color="auto"/>
              <w:right w:val="nil"/>
            </w:tcBorders>
            <w:shd w:val="clear" w:color="auto" w:fill="auto"/>
            <w:noWrap/>
            <w:vAlign w:val="bottom"/>
          </w:tcPr>
          <w:p w14:paraId="1C31971B" w14:textId="63BCC945" w:rsidR="00C541FF" w:rsidRPr="0074154F" w:rsidRDefault="00C541FF" w:rsidP="00C541FF">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11,464,101</w:t>
            </w:r>
          </w:p>
        </w:tc>
        <w:tc>
          <w:tcPr>
            <w:tcW w:w="227" w:type="dxa"/>
            <w:tcBorders>
              <w:left w:val="nil"/>
              <w:right w:val="nil"/>
            </w:tcBorders>
            <w:shd w:val="clear" w:color="auto" w:fill="auto"/>
            <w:noWrap/>
            <w:vAlign w:val="bottom"/>
          </w:tcPr>
          <w:p w14:paraId="357EBA81" w14:textId="77777777" w:rsidR="00C541FF" w:rsidRPr="0074154F" w:rsidRDefault="00C541FF" w:rsidP="00C541FF">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59C5BC94" w14:textId="0D8B323A" w:rsidR="00C541FF" w:rsidRPr="0074154F" w:rsidRDefault="00C541FF" w:rsidP="00C541FF">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13,210,444</w:t>
            </w:r>
          </w:p>
        </w:tc>
      </w:tr>
      <w:tr w:rsidR="00C541FF" w:rsidRPr="0074154F" w14:paraId="38C3D154" w14:textId="77777777" w:rsidTr="00A52BCD">
        <w:trPr>
          <w:trHeight w:val="123"/>
          <w:jc w:val="right"/>
        </w:trPr>
        <w:tc>
          <w:tcPr>
            <w:tcW w:w="5272" w:type="dxa"/>
            <w:tcBorders>
              <w:top w:val="nil"/>
              <w:left w:val="nil"/>
              <w:bottom w:val="nil"/>
              <w:right w:val="nil"/>
            </w:tcBorders>
            <w:shd w:val="clear" w:color="auto" w:fill="auto"/>
            <w:noWrap/>
            <w:vAlign w:val="bottom"/>
          </w:tcPr>
          <w:p w14:paraId="6A88FE37" w14:textId="77777777" w:rsidR="00C541FF" w:rsidRPr="0074154F" w:rsidRDefault="00C541FF" w:rsidP="00C541FF">
            <w:pPr>
              <w:spacing w:after="0" w:line="240" w:lineRule="auto"/>
              <w:ind w:left="-70"/>
              <w:rPr>
                <w:rFonts w:ascii="Arial" w:eastAsia="Times New Roman" w:hAnsi="Arial" w:cs="Arial"/>
                <w:b/>
                <w:bCs/>
                <w:color w:val="000000"/>
                <w:sz w:val="20"/>
                <w:szCs w:val="20"/>
                <w:u w:val="single"/>
                <w:lang w:val="es-MX" w:eastAsia="es-MX"/>
              </w:rPr>
            </w:pPr>
          </w:p>
        </w:tc>
        <w:tc>
          <w:tcPr>
            <w:tcW w:w="1502" w:type="dxa"/>
            <w:tcBorders>
              <w:left w:val="nil"/>
              <w:right w:val="nil"/>
            </w:tcBorders>
            <w:shd w:val="clear" w:color="auto" w:fill="auto"/>
            <w:noWrap/>
            <w:vAlign w:val="bottom"/>
          </w:tcPr>
          <w:p w14:paraId="248D63F7" w14:textId="77777777" w:rsidR="00C541FF" w:rsidRPr="0074154F" w:rsidRDefault="00C541FF" w:rsidP="00C541FF">
            <w:pPr>
              <w:spacing w:after="0" w:line="240" w:lineRule="auto"/>
              <w:jc w:val="right"/>
              <w:rPr>
                <w:rFonts w:ascii="Arial" w:eastAsia="Times New Roman" w:hAnsi="Arial" w:cs="Arial"/>
                <w:color w:val="000000"/>
                <w:sz w:val="20"/>
                <w:szCs w:val="20"/>
                <w:lang w:eastAsia="es-EC"/>
              </w:rPr>
            </w:pPr>
          </w:p>
        </w:tc>
        <w:tc>
          <w:tcPr>
            <w:tcW w:w="227" w:type="dxa"/>
            <w:tcBorders>
              <w:left w:val="nil"/>
              <w:right w:val="nil"/>
            </w:tcBorders>
            <w:shd w:val="clear" w:color="auto" w:fill="auto"/>
            <w:noWrap/>
            <w:vAlign w:val="bottom"/>
          </w:tcPr>
          <w:p w14:paraId="5F40C85B" w14:textId="77777777" w:rsidR="00C541FF" w:rsidRPr="0074154F" w:rsidRDefault="00C541FF" w:rsidP="00C541FF">
            <w:pPr>
              <w:spacing w:after="0" w:line="240" w:lineRule="auto"/>
              <w:rPr>
                <w:rFonts w:ascii="Arial" w:eastAsia="Times New Roman" w:hAnsi="Arial" w:cs="Arial"/>
                <w:color w:val="000000"/>
                <w:sz w:val="20"/>
                <w:szCs w:val="20"/>
                <w:lang w:eastAsia="es-EC"/>
              </w:rPr>
            </w:pPr>
          </w:p>
        </w:tc>
        <w:tc>
          <w:tcPr>
            <w:tcW w:w="1502" w:type="dxa"/>
            <w:tcBorders>
              <w:left w:val="nil"/>
              <w:right w:val="nil"/>
            </w:tcBorders>
            <w:shd w:val="clear" w:color="auto" w:fill="auto"/>
            <w:noWrap/>
            <w:vAlign w:val="bottom"/>
          </w:tcPr>
          <w:p w14:paraId="53532BCA" w14:textId="77777777" w:rsidR="00C541FF" w:rsidRPr="0074154F" w:rsidRDefault="00C541FF" w:rsidP="00C541FF">
            <w:pPr>
              <w:spacing w:after="0" w:line="240" w:lineRule="auto"/>
              <w:jc w:val="right"/>
              <w:rPr>
                <w:rFonts w:ascii="Arial" w:eastAsia="Times New Roman" w:hAnsi="Arial" w:cs="Arial"/>
                <w:color w:val="000000"/>
                <w:sz w:val="20"/>
                <w:szCs w:val="20"/>
                <w:lang w:eastAsia="es-EC"/>
              </w:rPr>
            </w:pPr>
          </w:p>
        </w:tc>
      </w:tr>
    </w:tbl>
    <w:p w14:paraId="7B0E66D6" w14:textId="043F5DD6" w:rsidR="0004555E" w:rsidRPr="0074154F" w:rsidRDefault="009F12B4" w:rsidP="0004555E">
      <w:pPr>
        <w:pStyle w:val="Heading1"/>
        <w:tabs>
          <w:tab w:val="clear" w:pos="6960"/>
          <w:tab w:val="clear" w:pos="7800"/>
          <w:tab w:val="clear" w:pos="8280"/>
          <w:tab w:val="left" w:pos="7655"/>
        </w:tabs>
        <w:ind w:left="567"/>
        <w:jc w:val="both"/>
        <w:rPr>
          <w:rFonts w:ascii="Arial" w:hAnsi="Arial" w:cs="Arial"/>
          <w:b w:val="0"/>
          <w:bCs/>
          <w:sz w:val="20"/>
        </w:rPr>
      </w:pPr>
      <w:r w:rsidRPr="0074154F">
        <w:rPr>
          <w:rFonts w:ascii="Arial" w:hAnsi="Arial" w:cs="Arial"/>
          <w:b w:val="0"/>
          <w:bCs/>
          <w:sz w:val="20"/>
          <w:u w:val="single"/>
        </w:rPr>
        <w:t xml:space="preserve">Derechos de uso cable </w:t>
      </w:r>
      <w:proofErr w:type="gramStart"/>
      <w:r w:rsidRPr="0074154F">
        <w:rPr>
          <w:rFonts w:ascii="Arial" w:hAnsi="Arial" w:cs="Arial"/>
          <w:b w:val="0"/>
          <w:bCs/>
          <w:sz w:val="20"/>
          <w:u w:val="single"/>
        </w:rPr>
        <w:t>Panamericano</w:t>
      </w:r>
      <w:r w:rsidRPr="0074154F">
        <w:rPr>
          <w:rFonts w:ascii="Arial" w:hAnsi="Arial" w:cs="Arial"/>
          <w:b w:val="0"/>
          <w:bCs/>
          <w:sz w:val="20"/>
        </w:rPr>
        <w:t>.-</w:t>
      </w:r>
      <w:proofErr w:type="gramEnd"/>
      <w:r w:rsidRPr="0074154F">
        <w:rPr>
          <w:rFonts w:ascii="Arial" w:hAnsi="Arial" w:cs="Arial"/>
          <w:b w:val="0"/>
          <w:bCs/>
          <w:sz w:val="20"/>
        </w:rPr>
        <w:t xml:space="preserve"> corresponden a derechos adquiridos en la primera ampliación del sistema de cable submarino, denominado</w:t>
      </w:r>
      <w:r w:rsidR="0004555E" w:rsidRPr="0074154F">
        <w:rPr>
          <w:rFonts w:ascii="Arial" w:hAnsi="Arial" w:cs="Arial"/>
          <w:b w:val="0"/>
          <w:bCs/>
          <w:sz w:val="20"/>
        </w:rPr>
        <w:t xml:space="preserve"> “Panamericano” con una vida útil estimada de 15 años.</w:t>
      </w:r>
    </w:p>
    <w:p w14:paraId="0DFFA034" w14:textId="77777777" w:rsidR="0004555E" w:rsidRPr="0074154F" w:rsidRDefault="0004555E" w:rsidP="0004555E">
      <w:pPr>
        <w:spacing w:after="0" w:line="240" w:lineRule="auto"/>
        <w:rPr>
          <w:lang w:val="es-ES_tradnl"/>
        </w:rPr>
      </w:pPr>
    </w:p>
    <w:p w14:paraId="12829F40" w14:textId="7656EB3D" w:rsidR="0004555E" w:rsidRPr="0074154F" w:rsidRDefault="0004555E" w:rsidP="0004555E">
      <w:pPr>
        <w:ind w:left="567"/>
        <w:jc w:val="both"/>
        <w:rPr>
          <w:rFonts w:ascii="Arial" w:eastAsia="Times New Roman" w:hAnsi="Arial" w:cs="Arial"/>
          <w:bCs/>
          <w:sz w:val="20"/>
          <w:szCs w:val="20"/>
          <w:lang w:val="es-ES_tradnl"/>
        </w:rPr>
      </w:pPr>
      <w:proofErr w:type="gramStart"/>
      <w:r w:rsidRPr="0074154F">
        <w:rPr>
          <w:rFonts w:ascii="Arial" w:eastAsia="Times New Roman" w:hAnsi="Arial" w:cs="Arial"/>
          <w:bCs/>
          <w:sz w:val="20"/>
          <w:szCs w:val="20"/>
          <w:u w:val="single"/>
          <w:lang w:val="es-ES_tradnl"/>
        </w:rPr>
        <w:t>Ductos</w:t>
      </w:r>
      <w:r w:rsidRPr="0074154F">
        <w:rPr>
          <w:rFonts w:ascii="Arial" w:eastAsia="Times New Roman" w:hAnsi="Arial" w:cs="Arial"/>
          <w:bCs/>
          <w:sz w:val="20"/>
          <w:szCs w:val="20"/>
          <w:lang w:val="es-ES_tradnl"/>
        </w:rPr>
        <w:t xml:space="preserve"> .</w:t>
      </w:r>
      <w:proofErr w:type="gramEnd"/>
      <w:r w:rsidRPr="0074154F">
        <w:rPr>
          <w:rFonts w:ascii="Arial" w:eastAsia="Times New Roman" w:hAnsi="Arial" w:cs="Arial"/>
          <w:bCs/>
          <w:sz w:val="20"/>
          <w:szCs w:val="20"/>
          <w:lang w:val="es-ES_tradnl"/>
        </w:rPr>
        <w:t>- representan a los aportes realizados en los fideicomisos mercantiles “Ductos de Guayaquil” y Ductos de Sambrondón”, los cuales otorgan a la Compañía el derecho de uso de los mencionados ductos en un plazo de 15 años.</w:t>
      </w:r>
    </w:p>
    <w:p w14:paraId="7F8B81DC" w14:textId="096A4DF3" w:rsidR="0004555E" w:rsidRPr="0074154F" w:rsidRDefault="0004555E" w:rsidP="0004555E">
      <w:pPr>
        <w:ind w:left="567"/>
        <w:jc w:val="both"/>
        <w:rPr>
          <w:rFonts w:ascii="Arial" w:hAnsi="Arial" w:cs="Arial"/>
          <w:sz w:val="20"/>
          <w:szCs w:val="20"/>
        </w:rPr>
      </w:pPr>
      <w:proofErr w:type="spellStart"/>
      <w:r w:rsidRPr="0074154F">
        <w:rPr>
          <w:rFonts w:ascii="Arial" w:eastAsia="Times New Roman" w:hAnsi="Arial" w:cs="Arial"/>
          <w:bCs/>
          <w:sz w:val="20"/>
          <w:szCs w:val="20"/>
          <w:u w:val="single"/>
          <w:lang w:val="es-ES_tradnl"/>
        </w:rPr>
        <w:t>Capacity</w:t>
      </w:r>
      <w:proofErr w:type="spellEnd"/>
      <w:r w:rsidRPr="0074154F">
        <w:rPr>
          <w:rFonts w:ascii="Arial" w:eastAsia="Times New Roman" w:hAnsi="Arial" w:cs="Arial"/>
          <w:bCs/>
          <w:sz w:val="20"/>
          <w:szCs w:val="20"/>
          <w:u w:val="single"/>
          <w:lang w:val="es-ES_tradnl"/>
        </w:rPr>
        <w:t xml:space="preserve"> IRU </w:t>
      </w:r>
      <w:proofErr w:type="gramStart"/>
      <w:r w:rsidRPr="0074154F">
        <w:rPr>
          <w:rFonts w:ascii="Arial" w:eastAsia="Times New Roman" w:hAnsi="Arial" w:cs="Arial"/>
          <w:bCs/>
          <w:sz w:val="20"/>
          <w:szCs w:val="20"/>
          <w:u w:val="single"/>
          <w:lang w:val="es-ES_tradnl"/>
        </w:rPr>
        <w:t xml:space="preserve">telefónica </w:t>
      </w:r>
      <w:r w:rsidRPr="0074154F">
        <w:rPr>
          <w:rFonts w:ascii="Arial" w:eastAsia="Times New Roman" w:hAnsi="Arial" w:cs="Arial"/>
          <w:bCs/>
          <w:sz w:val="20"/>
          <w:szCs w:val="20"/>
          <w:lang w:val="es-ES_tradnl"/>
        </w:rPr>
        <w:t>.</w:t>
      </w:r>
      <w:proofErr w:type="gramEnd"/>
      <w:r w:rsidRPr="0074154F">
        <w:rPr>
          <w:rFonts w:ascii="Arial" w:eastAsia="Times New Roman" w:hAnsi="Arial" w:cs="Arial"/>
          <w:bCs/>
          <w:sz w:val="20"/>
          <w:szCs w:val="20"/>
          <w:lang w:val="es-ES_tradnl"/>
        </w:rPr>
        <w:t>-  c</w:t>
      </w:r>
      <w:proofErr w:type="spellStart"/>
      <w:r w:rsidR="00E03725" w:rsidRPr="0074154F">
        <w:rPr>
          <w:rFonts w:ascii="Arial" w:hAnsi="Arial" w:cs="Arial"/>
          <w:sz w:val="20"/>
          <w:szCs w:val="20"/>
        </w:rPr>
        <w:t>orrespond</w:t>
      </w:r>
      <w:r w:rsidR="00E03725">
        <w:rPr>
          <w:rFonts w:ascii="Arial" w:hAnsi="Arial" w:cs="Arial"/>
          <w:sz w:val="20"/>
          <w:szCs w:val="20"/>
        </w:rPr>
        <w:t>en</w:t>
      </w:r>
      <w:proofErr w:type="spellEnd"/>
      <w:r w:rsidRPr="0074154F">
        <w:rPr>
          <w:rFonts w:ascii="Arial" w:hAnsi="Arial" w:cs="Arial"/>
          <w:sz w:val="20"/>
          <w:szCs w:val="20"/>
        </w:rPr>
        <w:t xml:space="preserve"> a derechos irrenunciables de capacidad de uso (IRU) adquiridos en años anteriores, los cuales tienen una vida útil estimada de 15 años.</w:t>
      </w:r>
    </w:p>
    <w:p w14:paraId="3F7AB456" w14:textId="1E13EA45" w:rsidR="0004555E" w:rsidRPr="0074154F" w:rsidRDefault="0004555E" w:rsidP="0004555E">
      <w:pPr>
        <w:ind w:left="567"/>
        <w:jc w:val="both"/>
        <w:rPr>
          <w:rFonts w:ascii="Arial" w:hAnsi="Arial" w:cs="Arial"/>
          <w:sz w:val="20"/>
          <w:szCs w:val="20"/>
        </w:rPr>
      </w:pPr>
      <w:r w:rsidRPr="0074154F">
        <w:rPr>
          <w:rFonts w:ascii="Arial" w:eastAsia="Times New Roman" w:hAnsi="Arial" w:cs="Arial"/>
          <w:bCs/>
          <w:sz w:val="20"/>
          <w:szCs w:val="20"/>
          <w:u w:val="single"/>
        </w:rPr>
        <w:t xml:space="preserve">Capacitación </w:t>
      </w:r>
      <w:proofErr w:type="spellStart"/>
      <w:proofErr w:type="gramStart"/>
      <w:r w:rsidRPr="0074154F">
        <w:rPr>
          <w:rFonts w:ascii="Arial" w:eastAsia="Times New Roman" w:hAnsi="Arial" w:cs="Arial"/>
          <w:bCs/>
          <w:sz w:val="20"/>
          <w:szCs w:val="20"/>
          <w:u w:val="single"/>
        </w:rPr>
        <w:t>Intcomex</w:t>
      </w:r>
      <w:proofErr w:type="spellEnd"/>
      <w:r w:rsidRPr="0074154F">
        <w:rPr>
          <w:rFonts w:ascii="Arial" w:eastAsia="Times New Roman" w:hAnsi="Arial" w:cs="Arial"/>
          <w:bCs/>
          <w:sz w:val="20"/>
          <w:szCs w:val="20"/>
        </w:rPr>
        <w:t xml:space="preserve"> .</w:t>
      </w:r>
      <w:proofErr w:type="gramEnd"/>
      <w:r w:rsidRPr="0074154F">
        <w:rPr>
          <w:rFonts w:ascii="Arial" w:eastAsia="Times New Roman" w:hAnsi="Arial" w:cs="Arial"/>
          <w:bCs/>
          <w:sz w:val="20"/>
          <w:szCs w:val="20"/>
        </w:rPr>
        <w:t xml:space="preserve">- </w:t>
      </w:r>
      <w:r w:rsidR="00E03725">
        <w:rPr>
          <w:rFonts w:ascii="Arial" w:hAnsi="Arial" w:cs="Arial"/>
          <w:sz w:val="20"/>
          <w:szCs w:val="20"/>
        </w:rPr>
        <w:t>c</w:t>
      </w:r>
      <w:r w:rsidRPr="0074154F">
        <w:rPr>
          <w:rFonts w:ascii="Arial" w:hAnsi="Arial" w:cs="Arial"/>
          <w:sz w:val="20"/>
          <w:szCs w:val="20"/>
        </w:rPr>
        <w:t>orresponde</w:t>
      </w:r>
      <w:r w:rsidR="00E03725">
        <w:rPr>
          <w:rFonts w:ascii="Arial" w:hAnsi="Arial" w:cs="Arial"/>
          <w:sz w:val="20"/>
          <w:szCs w:val="20"/>
        </w:rPr>
        <w:t>n</w:t>
      </w:r>
      <w:r w:rsidRPr="0074154F">
        <w:rPr>
          <w:rFonts w:ascii="Arial" w:hAnsi="Arial" w:cs="Arial"/>
          <w:sz w:val="20"/>
          <w:szCs w:val="20"/>
        </w:rPr>
        <w:t xml:space="preserve"> a consultoría para operaciones de optimización de la red de Telconet, la cual se amortiza a 3 años.</w:t>
      </w:r>
    </w:p>
    <w:p w14:paraId="7C33C72B" w14:textId="1E2D97D9" w:rsidR="00E81398" w:rsidRPr="0074154F" w:rsidRDefault="0017052A" w:rsidP="00E81398">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DERECHOS FIDUCIARIOS</w:t>
      </w:r>
    </w:p>
    <w:p w14:paraId="0B0058A3" w14:textId="2755153F" w:rsidR="00E81398" w:rsidRPr="0074154F" w:rsidRDefault="00E81398" w:rsidP="00372BE9">
      <w:pPr>
        <w:pStyle w:val="ListParagraph"/>
        <w:tabs>
          <w:tab w:val="left" w:pos="1276"/>
        </w:tabs>
        <w:spacing w:after="0" w:line="240" w:lineRule="auto"/>
        <w:ind w:left="567" w:right="-1"/>
        <w:jc w:val="both"/>
        <w:rPr>
          <w:rFonts w:ascii="Arial" w:hAnsi="Arial" w:cs="Arial"/>
          <w:sz w:val="18"/>
          <w:szCs w:val="18"/>
        </w:rPr>
      </w:pPr>
    </w:p>
    <w:p w14:paraId="3A82D0F7" w14:textId="31C4747C" w:rsidR="00930116" w:rsidRPr="0074154F" w:rsidRDefault="00692D66" w:rsidP="00372BE9">
      <w:pPr>
        <w:pStyle w:val="ListParagraph"/>
        <w:tabs>
          <w:tab w:val="left" w:pos="1276"/>
        </w:tabs>
        <w:spacing w:after="0" w:line="240" w:lineRule="auto"/>
        <w:ind w:left="567" w:right="-1"/>
        <w:jc w:val="both"/>
        <w:rPr>
          <w:rFonts w:ascii="Arial" w:hAnsi="Arial" w:cs="Arial"/>
          <w:b/>
          <w:bCs/>
          <w:i/>
          <w:iCs/>
          <w:color w:val="FF0000"/>
          <w:sz w:val="20"/>
          <w:szCs w:val="20"/>
        </w:rPr>
      </w:pPr>
      <w:r w:rsidRPr="0074154F">
        <w:rPr>
          <w:rFonts w:ascii="Arial" w:hAnsi="Arial" w:cs="Arial"/>
          <w:sz w:val="20"/>
          <w:szCs w:val="20"/>
        </w:rPr>
        <w:t xml:space="preserve">Al 31 de diciembre del 2019, representaba la participación en los derechos fiduciarios en el Fideicomiso Bosques de los Ceibos por U$1.6 millones el cual fue constituido en la ciudad de Guayaquil con el objeto de desarrollar un proyecto inmobiliario denominado “Bosques de los Ceibos” a partir de los bienes aportados al momento de su constitución y futuros aportes. Durante el año 2020, se realizó un análisis de los derechos fiduciarios en el referido Fideicomiso y se ajustaron con cargo a los resultados del año en los estados financieros </w:t>
      </w:r>
      <w:r w:rsidR="004C05BF" w:rsidRPr="0074154F">
        <w:rPr>
          <w:rFonts w:ascii="Arial" w:hAnsi="Arial" w:cs="Arial"/>
          <w:sz w:val="20"/>
          <w:szCs w:val="20"/>
        </w:rPr>
        <w:t>consolidados</w:t>
      </w:r>
      <w:r w:rsidRPr="0074154F">
        <w:rPr>
          <w:rFonts w:ascii="Arial" w:hAnsi="Arial" w:cs="Arial"/>
          <w:sz w:val="20"/>
          <w:szCs w:val="20"/>
        </w:rPr>
        <w:t xml:space="preserve"> US$251,335 como gastos no operacionales.</w:t>
      </w:r>
      <w:r w:rsidR="004924BE" w:rsidRPr="0074154F">
        <w:rPr>
          <w:rFonts w:ascii="Arial" w:hAnsi="Arial" w:cs="Arial"/>
          <w:b/>
          <w:bCs/>
          <w:i/>
          <w:iCs/>
          <w:color w:val="FF0000"/>
          <w:sz w:val="20"/>
          <w:szCs w:val="20"/>
        </w:rPr>
        <w:t xml:space="preserve"> </w:t>
      </w:r>
    </w:p>
    <w:p w14:paraId="501183F9" w14:textId="7DE1BFF0" w:rsidR="003B0ACF" w:rsidRPr="0074154F" w:rsidRDefault="003B0ACF" w:rsidP="00372BE9">
      <w:pPr>
        <w:pStyle w:val="ListParagraph"/>
        <w:tabs>
          <w:tab w:val="left" w:pos="1276"/>
        </w:tabs>
        <w:spacing w:after="0" w:line="240" w:lineRule="auto"/>
        <w:ind w:left="567" w:right="-1"/>
        <w:jc w:val="both"/>
        <w:rPr>
          <w:rFonts w:ascii="Arial" w:hAnsi="Arial" w:cs="Arial"/>
          <w:sz w:val="18"/>
          <w:szCs w:val="18"/>
        </w:rPr>
      </w:pPr>
    </w:p>
    <w:p w14:paraId="588D63C1" w14:textId="13C7CD94" w:rsidR="00ED2F94" w:rsidRPr="0074154F" w:rsidRDefault="00ED2F94" w:rsidP="00372BE9">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Un resumen de los estados financieros del fideicomiso es como sigue:</w:t>
      </w:r>
    </w:p>
    <w:p w14:paraId="73265B4A" w14:textId="66F5FC55" w:rsidR="00ED2F94" w:rsidRPr="0074154F" w:rsidRDefault="00ED2F94" w:rsidP="00372BE9">
      <w:pPr>
        <w:pStyle w:val="ListParagraph"/>
        <w:tabs>
          <w:tab w:val="left" w:pos="1276"/>
        </w:tabs>
        <w:spacing w:after="0" w:line="240" w:lineRule="auto"/>
        <w:ind w:left="567" w:right="-1"/>
        <w:jc w:val="both"/>
        <w:rPr>
          <w:rFonts w:ascii="Arial" w:hAnsi="Arial" w:cs="Arial"/>
          <w:sz w:val="16"/>
          <w:szCs w:val="16"/>
        </w:rPr>
      </w:pPr>
    </w:p>
    <w:tbl>
      <w:tblPr>
        <w:tblStyle w:val="TableGrid"/>
        <w:tblW w:w="8269" w:type="dxa"/>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9"/>
        <w:gridCol w:w="4290"/>
      </w:tblGrid>
      <w:tr w:rsidR="005C3A50" w:rsidRPr="0074154F" w14:paraId="7E5FC7B6" w14:textId="77777777" w:rsidTr="0045324F">
        <w:tc>
          <w:tcPr>
            <w:tcW w:w="3979" w:type="dxa"/>
          </w:tcPr>
          <w:p w14:paraId="52292F08" w14:textId="77777777" w:rsidR="00ED2F94" w:rsidRPr="0074154F" w:rsidRDefault="00ED2F94" w:rsidP="00372BE9">
            <w:pPr>
              <w:pStyle w:val="ListParagraph"/>
              <w:tabs>
                <w:tab w:val="left" w:pos="1276"/>
              </w:tabs>
              <w:spacing w:after="0" w:line="240" w:lineRule="auto"/>
              <w:ind w:left="0" w:right="-1"/>
              <w:jc w:val="both"/>
              <w:rPr>
                <w:rFonts w:ascii="Arial" w:hAnsi="Arial" w:cs="Arial"/>
                <w:sz w:val="20"/>
                <w:szCs w:val="20"/>
              </w:rPr>
            </w:pPr>
          </w:p>
        </w:tc>
        <w:tc>
          <w:tcPr>
            <w:tcW w:w="4290" w:type="dxa"/>
          </w:tcPr>
          <w:p w14:paraId="10FE145C" w14:textId="0CE1D9D2" w:rsidR="00ED2F94" w:rsidRPr="0074154F" w:rsidRDefault="00ED2F94" w:rsidP="000C6452">
            <w:pPr>
              <w:pStyle w:val="ListParagraph"/>
              <w:tabs>
                <w:tab w:val="left" w:pos="1276"/>
              </w:tabs>
              <w:spacing w:after="0" w:line="240" w:lineRule="auto"/>
              <w:ind w:left="0" w:right="-1"/>
              <w:jc w:val="center"/>
              <w:rPr>
                <w:rFonts w:ascii="Arial" w:hAnsi="Arial" w:cs="Arial"/>
                <w:b/>
                <w:bCs/>
                <w:sz w:val="20"/>
                <w:szCs w:val="20"/>
                <w:u w:val="single"/>
              </w:rPr>
            </w:pPr>
            <w:r w:rsidRPr="0074154F">
              <w:rPr>
                <w:rFonts w:ascii="Arial" w:hAnsi="Arial" w:cs="Arial"/>
                <w:b/>
                <w:bCs/>
                <w:sz w:val="20"/>
                <w:szCs w:val="20"/>
                <w:u w:val="single"/>
              </w:rPr>
              <w:t>Bosques de los Ceibos</w:t>
            </w:r>
          </w:p>
        </w:tc>
      </w:tr>
      <w:tr w:rsidR="005C3A50" w:rsidRPr="0074154F" w14:paraId="4172BEC4" w14:textId="77777777" w:rsidTr="0045324F">
        <w:tc>
          <w:tcPr>
            <w:tcW w:w="3979" w:type="dxa"/>
          </w:tcPr>
          <w:p w14:paraId="55334656" w14:textId="77777777" w:rsidR="005C3A50" w:rsidRPr="0074154F" w:rsidRDefault="005C3A50" w:rsidP="00372BE9">
            <w:pPr>
              <w:pStyle w:val="ListParagraph"/>
              <w:tabs>
                <w:tab w:val="left" w:pos="1276"/>
              </w:tabs>
              <w:spacing w:after="0" w:line="240" w:lineRule="auto"/>
              <w:ind w:left="0" w:right="-1"/>
              <w:jc w:val="both"/>
              <w:rPr>
                <w:rFonts w:ascii="Arial" w:hAnsi="Arial" w:cs="Arial"/>
                <w:sz w:val="20"/>
                <w:szCs w:val="20"/>
              </w:rPr>
            </w:pPr>
          </w:p>
        </w:tc>
        <w:tc>
          <w:tcPr>
            <w:tcW w:w="4290" w:type="dxa"/>
          </w:tcPr>
          <w:p w14:paraId="2B1E38B8" w14:textId="77777777" w:rsidR="005C3A50" w:rsidRPr="0074154F" w:rsidRDefault="005C3A50" w:rsidP="000C6452">
            <w:pPr>
              <w:pStyle w:val="ListParagraph"/>
              <w:tabs>
                <w:tab w:val="left" w:pos="1276"/>
              </w:tabs>
              <w:spacing w:after="0" w:line="240" w:lineRule="auto"/>
              <w:ind w:left="0" w:right="-1"/>
              <w:jc w:val="center"/>
              <w:rPr>
                <w:rFonts w:ascii="Arial" w:hAnsi="Arial" w:cs="Arial"/>
                <w:b/>
                <w:bCs/>
                <w:sz w:val="20"/>
                <w:szCs w:val="20"/>
                <w:u w:val="single"/>
              </w:rPr>
            </w:pPr>
          </w:p>
        </w:tc>
      </w:tr>
      <w:tr w:rsidR="005C3A50" w:rsidRPr="0074154F" w14:paraId="0E75126B" w14:textId="77777777" w:rsidTr="0045324F">
        <w:tc>
          <w:tcPr>
            <w:tcW w:w="3979" w:type="dxa"/>
          </w:tcPr>
          <w:p w14:paraId="3B7D9D75" w14:textId="4D8777E8" w:rsidR="00ED2F94" w:rsidRPr="0074154F" w:rsidRDefault="00ED2F94" w:rsidP="00372BE9">
            <w:pPr>
              <w:pStyle w:val="ListParagraph"/>
              <w:tabs>
                <w:tab w:val="left" w:pos="1276"/>
              </w:tabs>
              <w:spacing w:after="0" w:line="240" w:lineRule="auto"/>
              <w:ind w:left="0" w:right="-1"/>
              <w:jc w:val="both"/>
              <w:rPr>
                <w:rFonts w:ascii="Arial" w:hAnsi="Arial" w:cs="Arial"/>
                <w:sz w:val="20"/>
                <w:szCs w:val="20"/>
              </w:rPr>
            </w:pPr>
            <w:r w:rsidRPr="0074154F">
              <w:rPr>
                <w:rFonts w:ascii="Arial" w:hAnsi="Arial" w:cs="Arial"/>
                <w:sz w:val="20"/>
                <w:szCs w:val="20"/>
              </w:rPr>
              <w:t>Activos</w:t>
            </w:r>
          </w:p>
        </w:tc>
        <w:tc>
          <w:tcPr>
            <w:tcW w:w="4290" w:type="dxa"/>
          </w:tcPr>
          <w:p w14:paraId="5D0E7395" w14:textId="71860D93" w:rsidR="00ED2F94" w:rsidRPr="0074154F" w:rsidRDefault="005C3A50" w:rsidP="000C6452">
            <w:pPr>
              <w:pStyle w:val="ListParagraph"/>
              <w:tabs>
                <w:tab w:val="left" w:pos="1276"/>
              </w:tabs>
              <w:spacing w:after="0" w:line="240" w:lineRule="auto"/>
              <w:ind w:left="0" w:right="-1"/>
              <w:jc w:val="center"/>
              <w:rPr>
                <w:rFonts w:ascii="Arial" w:hAnsi="Arial" w:cs="Arial"/>
                <w:sz w:val="20"/>
                <w:szCs w:val="20"/>
              </w:rPr>
            </w:pPr>
            <w:r w:rsidRPr="0074154F">
              <w:rPr>
                <w:rFonts w:ascii="Arial" w:hAnsi="Arial" w:cs="Arial"/>
                <w:sz w:val="20"/>
                <w:szCs w:val="20"/>
              </w:rPr>
              <w:t>11,776,688</w:t>
            </w:r>
          </w:p>
        </w:tc>
      </w:tr>
      <w:tr w:rsidR="005C3A50" w:rsidRPr="0074154F" w14:paraId="1666E422" w14:textId="77777777" w:rsidTr="0045324F">
        <w:tc>
          <w:tcPr>
            <w:tcW w:w="3979" w:type="dxa"/>
          </w:tcPr>
          <w:p w14:paraId="3C504CF1" w14:textId="5C10FA4C" w:rsidR="00ED2F94" w:rsidRPr="0074154F" w:rsidRDefault="00ED2F94" w:rsidP="00372BE9">
            <w:pPr>
              <w:pStyle w:val="ListParagraph"/>
              <w:tabs>
                <w:tab w:val="left" w:pos="1276"/>
              </w:tabs>
              <w:spacing w:after="0" w:line="240" w:lineRule="auto"/>
              <w:ind w:left="0" w:right="-1"/>
              <w:jc w:val="both"/>
              <w:rPr>
                <w:rFonts w:ascii="Arial" w:hAnsi="Arial" w:cs="Arial"/>
                <w:sz w:val="20"/>
                <w:szCs w:val="20"/>
              </w:rPr>
            </w:pPr>
            <w:r w:rsidRPr="0074154F">
              <w:rPr>
                <w:rFonts w:ascii="Arial" w:hAnsi="Arial" w:cs="Arial"/>
                <w:sz w:val="20"/>
                <w:szCs w:val="20"/>
              </w:rPr>
              <w:t>Pasivo</w:t>
            </w:r>
          </w:p>
        </w:tc>
        <w:tc>
          <w:tcPr>
            <w:tcW w:w="4290" w:type="dxa"/>
          </w:tcPr>
          <w:p w14:paraId="6FA48A9F" w14:textId="674C77DF" w:rsidR="00ED2F94" w:rsidRPr="0074154F" w:rsidRDefault="005C3A50" w:rsidP="000C6452">
            <w:pPr>
              <w:pStyle w:val="ListParagraph"/>
              <w:tabs>
                <w:tab w:val="left" w:pos="1276"/>
              </w:tabs>
              <w:spacing w:after="0" w:line="240" w:lineRule="auto"/>
              <w:ind w:left="-100" w:right="-1"/>
              <w:jc w:val="center"/>
              <w:rPr>
                <w:rFonts w:ascii="Arial" w:hAnsi="Arial" w:cs="Arial"/>
                <w:sz w:val="20"/>
                <w:szCs w:val="20"/>
              </w:rPr>
            </w:pPr>
            <w:r w:rsidRPr="0074154F">
              <w:rPr>
                <w:rFonts w:ascii="Arial" w:hAnsi="Arial" w:cs="Arial"/>
                <w:sz w:val="20"/>
                <w:szCs w:val="20"/>
              </w:rPr>
              <w:t>(10,801,123)</w:t>
            </w:r>
          </w:p>
        </w:tc>
      </w:tr>
      <w:tr w:rsidR="005C3A50" w:rsidRPr="0074154F" w14:paraId="6241DB0E" w14:textId="77777777" w:rsidTr="0045324F">
        <w:tc>
          <w:tcPr>
            <w:tcW w:w="3979" w:type="dxa"/>
          </w:tcPr>
          <w:p w14:paraId="044AB543" w14:textId="16C1F44E" w:rsidR="00ED2F94" w:rsidRPr="0074154F" w:rsidRDefault="00ED2F94" w:rsidP="00372BE9">
            <w:pPr>
              <w:pStyle w:val="ListParagraph"/>
              <w:tabs>
                <w:tab w:val="left" w:pos="1276"/>
              </w:tabs>
              <w:spacing w:after="0" w:line="240" w:lineRule="auto"/>
              <w:ind w:left="0" w:right="-1"/>
              <w:jc w:val="both"/>
              <w:rPr>
                <w:rFonts w:ascii="Arial" w:hAnsi="Arial" w:cs="Arial"/>
                <w:sz w:val="20"/>
                <w:szCs w:val="20"/>
              </w:rPr>
            </w:pPr>
            <w:r w:rsidRPr="0074154F">
              <w:rPr>
                <w:rFonts w:ascii="Arial" w:hAnsi="Arial" w:cs="Arial"/>
                <w:sz w:val="20"/>
                <w:szCs w:val="20"/>
              </w:rPr>
              <w:t>Patrimonio</w:t>
            </w:r>
          </w:p>
        </w:tc>
        <w:tc>
          <w:tcPr>
            <w:tcW w:w="4290" w:type="dxa"/>
          </w:tcPr>
          <w:p w14:paraId="411874B3" w14:textId="78AA212D" w:rsidR="00ED2F94" w:rsidRPr="0074154F" w:rsidRDefault="005C3A50" w:rsidP="000C6452">
            <w:pPr>
              <w:pStyle w:val="ListParagraph"/>
              <w:tabs>
                <w:tab w:val="left" w:pos="1276"/>
              </w:tabs>
              <w:spacing w:after="0" w:line="240" w:lineRule="auto"/>
              <w:ind w:left="183" w:right="-1"/>
              <w:jc w:val="center"/>
              <w:rPr>
                <w:rFonts w:ascii="Arial" w:hAnsi="Arial" w:cs="Arial"/>
                <w:sz w:val="20"/>
                <w:szCs w:val="20"/>
              </w:rPr>
            </w:pPr>
            <w:r w:rsidRPr="0074154F">
              <w:rPr>
                <w:rFonts w:ascii="Arial" w:hAnsi="Arial" w:cs="Arial"/>
                <w:sz w:val="20"/>
                <w:szCs w:val="20"/>
              </w:rPr>
              <w:t>(975,565)</w:t>
            </w:r>
          </w:p>
        </w:tc>
      </w:tr>
    </w:tbl>
    <w:p w14:paraId="05DE444A" w14:textId="48203708" w:rsidR="00ED2F94" w:rsidRPr="0074154F" w:rsidRDefault="00ED2F94" w:rsidP="00372BE9">
      <w:pPr>
        <w:pStyle w:val="ListParagraph"/>
        <w:tabs>
          <w:tab w:val="left" w:pos="1276"/>
        </w:tabs>
        <w:spacing w:after="0" w:line="240" w:lineRule="auto"/>
        <w:ind w:left="567" w:right="-1"/>
        <w:jc w:val="both"/>
        <w:rPr>
          <w:rFonts w:ascii="Arial" w:hAnsi="Arial" w:cs="Arial"/>
          <w:sz w:val="18"/>
          <w:szCs w:val="18"/>
        </w:rPr>
      </w:pPr>
    </w:p>
    <w:p w14:paraId="5EFC86EE" w14:textId="3788BBA5" w:rsidR="00D151F9" w:rsidRPr="0074154F" w:rsidRDefault="006D3909" w:rsidP="00D151F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 xml:space="preserve">DOCUMENTOS Y </w:t>
      </w:r>
      <w:r w:rsidR="00D151F9" w:rsidRPr="0074154F">
        <w:rPr>
          <w:rFonts w:ascii="Arial" w:hAnsi="Arial" w:cs="Arial"/>
          <w:sz w:val="20"/>
          <w:u w:val="single"/>
          <w:lang w:val="es-EC" w:eastAsia="es-EC"/>
        </w:rPr>
        <w:t>CUENTAS POR PAGAR</w:t>
      </w:r>
    </w:p>
    <w:p w14:paraId="18D14C4E" w14:textId="77777777" w:rsidR="00D151F9" w:rsidRPr="0074154F" w:rsidRDefault="00D151F9" w:rsidP="00D151F9">
      <w:pPr>
        <w:pStyle w:val="ListParagraph"/>
        <w:tabs>
          <w:tab w:val="left" w:pos="1276"/>
        </w:tabs>
        <w:spacing w:after="0" w:line="240" w:lineRule="auto"/>
        <w:ind w:left="567" w:right="-1"/>
        <w:jc w:val="both"/>
        <w:rPr>
          <w:rFonts w:ascii="Arial" w:hAnsi="Arial" w:cs="Arial"/>
          <w:sz w:val="18"/>
          <w:szCs w:val="18"/>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D151F9" w:rsidRPr="0074154F" w14:paraId="57EAC2D3" w14:textId="77777777" w:rsidTr="006403FC">
        <w:trPr>
          <w:trHeight w:val="283"/>
          <w:jc w:val="right"/>
        </w:trPr>
        <w:tc>
          <w:tcPr>
            <w:tcW w:w="5272" w:type="dxa"/>
            <w:tcBorders>
              <w:top w:val="nil"/>
              <w:left w:val="nil"/>
              <w:bottom w:val="nil"/>
              <w:right w:val="nil"/>
            </w:tcBorders>
            <w:shd w:val="clear" w:color="auto" w:fill="auto"/>
            <w:noWrap/>
            <w:vAlign w:val="bottom"/>
            <w:hideMark/>
          </w:tcPr>
          <w:p w14:paraId="3068F8C5" w14:textId="77777777" w:rsidR="00D151F9" w:rsidRPr="0074154F" w:rsidRDefault="00D151F9"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461C6C64" w14:textId="77777777" w:rsidR="00D151F9" w:rsidRPr="0074154F" w:rsidRDefault="00D151F9"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tcBorders>
              <w:top w:val="nil"/>
              <w:left w:val="nil"/>
              <w:bottom w:val="nil"/>
              <w:right w:val="nil"/>
            </w:tcBorders>
            <w:shd w:val="clear" w:color="auto" w:fill="auto"/>
            <w:noWrap/>
            <w:vAlign w:val="bottom"/>
            <w:hideMark/>
          </w:tcPr>
          <w:p w14:paraId="4B771577" w14:textId="77777777" w:rsidR="00D151F9" w:rsidRPr="0074154F" w:rsidRDefault="00D151F9" w:rsidP="008F5308">
            <w:pPr>
              <w:spacing w:after="0" w:line="240" w:lineRule="auto"/>
              <w:ind w:right="58"/>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327F479B" w14:textId="77777777" w:rsidR="00D151F9" w:rsidRPr="0074154F" w:rsidRDefault="00D151F9" w:rsidP="008F5308">
            <w:pPr>
              <w:spacing w:after="0" w:line="240" w:lineRule="auto"/>
              <w:ind w:right="58"/>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D151F9" w:rsidRPr="0074154F" w14:paraId="2881A88D" w14:textId="77777777" w:rsidTr="006403FC">
        <w:trPr>
          <w:trHeight w:val="151"/>
          <w:jc w:val="right"/>
        </w:trPr>
        <w:tc>
          <w:tcPr>
            <w:tcW w:w="5272" w:type="dxa"/>
            <w:tcBorders>
              <w:top w:val="nil"/>
              <w:left w:val="nil"/>
              <w:bottom w:val="nil"/>
              <w:right w:val="nil"/>
            </w:tcBorders>
            <w:shd w:val="clear" w:color="auto" w:fill="auto"/>
            <w:noWrap/>
            <w:vAlign w:val="bottom"/>
            <w:hideMark/>
          </w:tcPr>
          <w:p w14:paraId="6440F75C" w14:textId="77777777" w:rsidR="00D151F9" w:rsidRPr="0074154F" w:rsidRDefault="00D151F9"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2B5E750A" w14:textId="77777777" w:rsidR="00D151F9" w:rsidRPr="0074154F" w:rsidRDefault="00D151F9" w:rsidP="008F5308">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61BCDAB2" w14:textId="77777777" w:rsidR="00D151F9" w:rsidRPr="0074154F" w:rsidRDefault="00D151F9" w:rsidP="008F5308">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251EC53E" w14:textId="77777777" w:rsidR="00D151F9" w:rsidRPr="0074154F" w:rsidRDefault="00D151F9" w:rsidP="008F5308">
            <w:pPr>
              <w:spacing w:after="0" w:line="240" w:lineRule="auto"/>
              <w:rPr>
                <w:rFonts w:ascii="Arial" w:eastAsia="Times New Roman" w:hAnsi="Arial" w:cs="Arial"/>
                <w:sz w:val="20"/>
                <w:szCs w:val="20"/>
                <w:lang w:eastAsia="es-EC"/>
              </w:rPr>
            </w:pPr>
          </w:p>
        </w:tc>
      </w:tr>
      <w:tr w:rsidR="00D151F9" w:rsidRPr="0074154F" w14:paraId="13E980EF" w14:textId="77777777" w:rsidTr="006403FC">
        <w:trPr>
          <w:trHeight w:val="283"/>
          <w:jc w:val="right"/>
        </w:trPr>
        <w:tc>
          <w:tcPr>
            <w:tcW w:w="5272" w:type="dxa"/>
            <w:tcBorders>
              <w:top w:val="nil"/>
              <w:left w:val="nil"/>
              <w:bottom w:val="nil"/>
              <w:right w:val="nil"/>
            </w:tcBorders>
            <w:shd w:val="clear" w:color="auto" w:fill="auto"/>
            <w:noWrap/>
            <w:vAlign w:val="bottom"/>
          </w:tcPr>
          <w:p w14:paraId="224DF3EB" w14:textId="77777777" w:rsidR="00D151F9" w:rsidRPr="0074154F" w:rsidRDefault="00D151F9" w:rsidP="008F5308">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Proveedores locales</w:t>
            </w:r>
          </w:p>
        </w:tc>
        <w:tc>
          <w:tcPr>
            <w:tcW w:w="1502" w:type="dxa"/>
            <w:tcBorders>
              <w:left w:val="nil"/>
              <w:bottom w:val="nil"/>
              <w:right w:val="nil"/>
            </w:tcBorders>
            <w:shd w:val="clear" w:color="auto" w:fill="auto"/>
            <w:noWrap/>
            <w:vAlign w:val="bottom"/>
          </w:tcPr>
          <w:p w14:paraId="23933F30" w14:textId="5B5A8163" w:rsidR="00D151F9" w:rsidRPr="0074154F" w:rsidRDefault="00AC75A4" w:rsidP="008F5308">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21,149,807</w:t>
            </w:r>
          </w:p>
        </w:tc>
        <w:tc>
          <w:tcPr>
            <w:tcW w:w="227" w:type="dxa"/>
            <w:tcBorders>
              <w:left w:val="nil"/>
              <w:bottom w:val="nil"/>
              <w:right w:val="nil"/>
            </w:tcBorders>
            <w:shd w:val="clear" w:color="auto" w:fill="auto"/>
            <w:noWrap/>
            <w:vAlign w:val="bottom"/>
          </w:tcPr>
          <w:p w14:paraId="62EBCC7B" w14:textId="77777777" w:rsidR="00D151F9" w:rsidRPr="0074154F" w:rsidRDefault="00D151F9" w:rsidP="008F5308">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0B1085CB" w14:textId="5A9E30B4" w:rsidR="00D151F9" w:rsidRPr="0074154F" w:rsidRDefault="00AC75A4" w:rsidP="008F5308">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9,969,786</w:t>
            </w:r>
          </w:p>
        </w:tc>
      </w:tr>
      <w:tr w:rsidR="00D151F9" w:rsidRPr="0074154F" w14:paraId="0DC8C5FD" w14:textId="77777777" w:rsidTr="006403FC">
        <w:trPr>
          <w:trHeight w:val="283"/>
          <w:jc w:val="right"/>
        </w:trPr>
        <w:tc>
          <w:tcPr>
            <w:tcW w:w="5272" w:type="dxa"/>
            <w:tcBorders>
              <w:top w:val="nil"/>
              <w:left w:val="nil"/>
              <w:right w:val="nil"/>
            </w:tcBorders>
            <w:shd w:val="clear" w:color="auto" w:fill="auto"/>
            <w:noWrap/>
            <w:vAlign w:val="bottom"/>
          </w:tcPr>
          <w:p w14:paraId="00040F8B" w14:textId="77777777" w:rsidR="00D151F9" w:rsidRPr="0074154F" w:rsidRDefault="00D151F9" w:rsidP="008F5308">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val="es-MX" w:eastAsia="es-MX"/>
              </w:rPr>
              <w:t>Proveedores del exterior</w:t>
            </w:r>
          </w:p>
        </w:tc>
        <w:tc>
          <w:tcPr>
            <w:tcW w:w="1502" w:type="dxa"/>
            <w:tcBorders>
              <w:top w:val="nil"/>
              <w:left w:val="nil"/>
              <w:right w:val="nil"/>
            </w:tcBorders>
            <w:shd w:val="clear" w:color="auto" w:fill="auto"/>
            <w:noWrap/>
            <w:vAlign w:val="bottom"/>
          </w:tcPr>
          <w:p w14:paraId="36D4FC3F" w14:textId="71376E2D" w:rsidR="00D151F9" w:rsidRPr="0074154F" w:rsidRDefault="00AC75A4" w:rsidP="008F5308">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12,033,923</w:t>
            </w:r>
          </w:p>
        </w:tc>
        <w:tc>
          <w:tcPr>
            <w:tcW w:w="227" w:type="dxa"/>
            <w:tcBorders>
              <w:top w:val="nil"/>
              <w:left w:val="nil"/>
              <w:right w:val="nil"/>
            </w:tcBorders>
            <w:shd w:val="clear" w:color="auto" w:fill="auto"/>
            <w:noWrap/>
            <w:vAlign w:val="bottom"/>
          </w:tcPr>
          <w:p w14:paraId="23DDD1EF" w14:textId="77777777" w:rsidR="00D151F9" w:rsidRPr="0074154F" w:rsidRDefault="00D151F9" w:rsidP="008F5308">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0FCB8562" w14:textId="6E3AECC6" w:rsidR="00D151F9" w:rsidRPr="0074154F" w:rsidRDefault="00AC75A4" w:rsidP="008F5308">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11,112,787</w:t>
            </w:r>
          </w:p>
        </w:tc>
      </w:tr>
      <w:tr w:rsidR="009355C0" w:rsidRPr="0074154F" w14:paraId="37C86E30" w14:textId="77777777" w:rsidTr="00E535B2">
        <w:trPr>
          <w:trHeight w:val="283"/>
          <w:jc w:val="right"/>
        </w:trPr>
        <w:tc>
          <w:tcPr>
            <w:tcW w:w="5272" w:type="dxa"/>
            <w:tcBorders>
              <w:top w:val="nil"/>
              <w:left w:val="nil"/>
              <w:right w:val="nil"/>
            </w:tcBorders>
            <w:shd w:val="clear" w:color="auto" w:fill="auto"/>
            <w:noWrap/>
            <w:vAlign w:val="bottom"/>
          </w:tcPr>
          <w:p w14:paraId="03505DC2" w14:textId="6AE458B8" w:rsidR="009355C0" w:rsidRPr="0074154F" w:rsidRDefault="009355C0" w:rsidP="009355C0">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Otras cuentas por pagar  </w:t>
            </w:r>
          </w:p>
        </w:tc>
        <w:tc>
          <w:tcPr>
            <w:tcW w:w="1502" w:type="dxa"/>
            <w:tcBorders>
              <w:top w:val="nil"/>
              <w:left w:val="nil"/>
              <w:right w:val="nil"/>
            </w:tcBorders>
            <w:shd w:val="clear" w:color="auto" w:fill="auto"/>
            <w:noWrap/>
            <w:vAlign w:val="bottom"/>
          </w:tcPr>
          <w:p w14:paraId="3D2988CF" w14:textId="552C83B4" w:rsidR="009355C0"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1,738,288</w:t>
            </w:r>
          </w:p>
        </w:tc>
        <w:tc>
          <w:tcPr>
            <w:tcW w:w="227" w:type="dxa"/>
            <w:tcBorders>
              <w:top w:val="nil"/>
              <w:left w:val="nil"/>
              <w:right w:val="nil"/>
            </w:tcBorders>
            <w:shd w:val="clear" w:color="auto" w:fill="auto"/>
            <w:noWrap/>
            <w:vAlign w:val="bottom"/>
          </w:tcPr>
          <w:p w14:paraId="7D7242EB" w14:textId="77777777" w:rsidR="009355C0" w:rsidRPr="0074154F" w:rsidRDefault="009355C0" w:rsidP="009355C0">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237E1A6C" w14:textId="27C569C8" w:rsidR="009355C0"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3,242,795</w:t>
            </w:r>
          </w:p>
        </w:tc>
      </w:tr>
      <w:tr w:rsidR="009355C0" w:rsidRPr="0074154F" w14:paraId="559C2324" w14:textId="77777777" w:rsidTr="00D96B68">
        <w:trPr>
          <w:trHeight w:val="189"/>
          <w:jc w:val="right"/>
        </w:trPr>
        <w:tc>
          <w:tcPr>
            <w:tcW w:w="5272" w:type="dxa"/>
            <w:tcBorders>
              <w:top w:val="nil"/>
              <w:left w:val="nil"/>
              <w:right w:val="nil"/>
            </w:tcBorders>
            <w:shd w:val="clear" w:color="auto" w:fill="auto"/>
            <w:noWrap/>
            <w:vAlign w:val="bottom"/>
          </w:tcPr>
          <w:p w14:paraId="750C2CC3" w14:textId="02FC8463" w:rsidR="009355C0" w:rsidRPr="0074154F" w:rsidRDefault="009355C0" w:rsidP="009355C0">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Relacionadas, </w:t>
            </w:r>
            <w:r w:rsidR="00224065">
              <w:rPr>
                <w:rFonts w:ascii="Arial" w:eastAsia="Times New Roman" w:hAnsi="Arial" w:cs="Arial"/>
                <w:color w:val="000000" w:themeColor="text1"/>
                <w:sz w:val="20"/>
                <w:szCs w:val="20"/>
                <w:lang w:val="es-MX" w:eastAsia="es-MX"/>
              </w:rPr>
              <w:t>N</w:t>
            </w:r>
            <w:r w:rsidRPr="0074154F">
              <w:rPr>
                <w:rFonts w:ascii="Arial" w:eastAsia="Times New Roman" w:hAnsi="Arial" w:cs="Arial"/>
                <w:color w:val="000000" w:themeColor="text1"/>
                <w:sz w:val="20"/>
                <w:szCs w:val="20"/>
                <w:lang w:val="es-MX" w:eastAsia="es-MX"/>
              </w:rPr>
              <w:t>ota 28</w:t>
            </w:r>
          </w:p>
        </w:tc>
        <w:tc>
          <w:tcPr>
            <w:tcW w:w="1502" w:type="dxa"/>
            <w:tcBorders>
              <w:top w:val="nil"/>
              <w:left w:val="nil"/>
              <w:bottom w:val="single" w:sz="6" w:space="0" w:color="auto"/>
              <w:right w:val="nil"/>
            </w:tcBorders>
            <w:shd w:val="clear" w:color="auto" w:fill="auto"/>
            <w:noWrap/>
            <w:vAlign w:val="bottom"/>
          </w:tcPr>
          <w:p w14:paraId="6F1E2A2D" w14:textId="394459DA" w:rsidR="009355C0" w:rsidRPr="0074154F"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922,234</w:t>
            </w:r>
          </w:p>
        </w:tc>
        <w:tc>
          <w:tcPr>
            <w:tcW w:w="227" w:type="dxa"/>
            <w:tcBorders>
              <w:top w:val="nil"/>
              <w:left w:val="nil"/>
              <w:right w:val="nil"/>
            </w:tcBorders>
            <w:shd w:val="clear" w:color="auto" w:fill="auto"/>
            <w:noWrap/>
            <w:vAlign w:val="bottom"/>
          </w:tcPr>
          <w:p w14:paraId="7344EB91" w14:textId="77777777" w:rsidR="009355C0" w:rsidRPr="0074154F" w:rsidRDefault="009355C0" w:rsidP="009355C0">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360E172E" w14:textId="7F48CBC0" w:rsidR="009355C0" w:rsidRPr="0074154F"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4,919,474</w:t>
            </w:r>
          </w:p>
        </w:tc>
      </w:tr>
      <w:tr w:rsidR="009355C0" w:rsidRPr="0074154F" w14:paraId="7797EDE1" w14:textId="77777777" w:rsidTr="00D96B68">
        <w:trPr>
          <w:trHeight w:val="45"/>
          <w:jc w:val="right"/>
        </w:trPr>
        <w:tc>
          <w:tcPr>
            <w:tcW w:w="5272" w:type="dxa"/>
            <w:tcBorders>
              <w:top w:val="nil"/>
              <w:left w:val="nil"/>
              <w:bottom w:val="nil"/>
              <w:right w:val="nil"/>
            </w:tcBorders>
            <w:shd w:val="clear" w:color="auto" w:fill="auto"/>
            <w:noWrap/>
            <w:vAlign w:val="bottom"/>
          </w:tcPr>
          <w:p w14:paraId="4B3D71D2" w14:textId="77777777" w:rsidR="009355C0" w:rsidRPr="00D96B68" w:rsidRDefault="009355C0" w:rsidP="009355C0">
            <w:pPr>
              <w:spacing w:after="0" w:line="240" w:lineRule="auto"/>
              <w:ind w:left="-70"/>
              <w:rPr>
                <w:rFonts w:ascii="Arial" w:eastAsia="Times New Roman" w:hAnsi="Arial" w:cs="Arial"/>
                <w:color w:val="000000" w:themeColor="text1"/>
                <w:sz w:val="16"/>
                <w:szCs w:val="16"/>
                <w:lang w:eastAsia="es-EC"/>
              </w:rPr>
            </w:pPr>
          </w:p>
        </w:tc>
        <w:tc>
          <w:tcPr>
            <w:tcW w:w="1502" w:type="dxa"/>
            <w:tcBorders>
              <w:top w:val="single" w:sz="6" w:space="0" w:color="auto"/>
              <w:left w:val="nil"/>
              <w:right w:val="nil"/>
            </w:tcBorders>
            <w:shd w:val="clear" w:color="auto" w:fill="auto"/>
            <w:noWrap/>
            <w:vAlign w:val="bottom"/>
          </w:tcPr>
          <w:p w14:paraId="0F44705D" w14:textId="77777777" w:rsidR="009355C0" w:rsidRPr="0074154F" w:rsidRDefault="009355C0" w:rsidP="009355C0">
            <w:pPr>
              <w:tabs>
                <w:tab w:val="decimal" w:pos="1276"/>
              </w:tabs>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4F9768EA" w14:textId="77777777" w:rsidR="009355C0" w:rsidRPr="0074154F" w:rsidRDefault="009355C0" w:rsidP="009355C0">
            <w:pPr>
              <w:spacing w:after="0" w:line="240" w:lineRule="auto"/>
              <w:rPr>
                <w:rFonts w:ascii="Arial" w:eastAsia="Times New Roman" w:hAnsi="Arial" w:cs="Arial"/>
                <w:color w:val="000000" w:themeColor="text1"/>
                <w:sz w:val="20"/>
                <w:szCs w:val="20"/>
                <w:lang w:eastAsia="es-EC"/>
              </w:rPr>
            </w:pPr>
          </w:p>
        </w:tc>
        <w:tc>
          <w:tcPr>
            <w:tcW w:w="1502" w:type="dxa"/>
            <w:tcBorders>
              <w:top w:val="single" w:sz="6" w:space="0" w:color="auto"/>
              <w:left w:val="nil"/>
              <w:right w:val="nil"/>
            </w:tcBorders>
            <w:shd w:val="clear" w:color="auto" w:fill="auto"/>
            <w:noWrap/>
            <w:vAlign w:val="bottom"/>
          </w:tcPr>
          <w:p w14:paraId="7EA0BDA2" w14:textId="77777777" w:rsidR="009355C0" w:rsidRPr="0074154F" w:rsidRDefault="009355C0" w:rsidP="009355C0">
            <w:pPr>
              <w:tabs>
                <w:tab w:val="decimal" w:pos="1276"/>
              </w:tabs>
              <w:spacing w:after="0" w:line="240" w:lineRule="auto"/>
              <w:rPr>
                <w:rFonts w:ascii="Arial" w:eastAsia="Times New Roman" w:hAnsi="Arial" w:cs="Arial"/>
                <w:color w:val="000000" w:themeColor="text1"/>
                <w:sz w:val="20"/>
                <w:szCs w:val="20"/>
                <w:lang w:eastAsia="es-EC"/>
              </w:rPr>
            </w:pPr>
          </w:p>
        </w:tc>
      </w:tr>
      <w:tr w:rsidR="009355C0" w:rsidRPr="0074154F" w14:paraId="3DCBE49F" w14:textId="77777777" w:rsidTr="00D96B68">
        <w:trPr>
          <w:trHeight w:val="139"/>
          <w:jc w:val="right"/>
        </w:trPr>
        <w:tc>
          <w:tcPr>
            <w:tcW w:w="5272" w:type="dxa"/>
            <w:tcBorders>
              <w:top w:val="nil"/>
              <w:left w:val="nil"/>
              <w:bottom w:val="nil"/>
              <w:right w:val="nil"/>
            </w:tcBorders>
            <w:shd w:val="clear" w:color="auto" w:fill="auto"/>
            <w:noWrap/>
            <w:vAlign w:val="bottom"/>
          </w:tcPr>
          <w:p w14:paraId="1A8DBEA9" w14:textId="77777777" w:rsidR="009355C0" w:rsidRPr="0074154F" w:rsidRDefault="009355C0" w:rsidP="009355C0">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4AD81EDA" w14:textId="058361FB" w:rsidR="009355C0" w:rsidRPr="0074154F"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35,844,252</w:t>
            </w:r>
          </w:p>
        </w:tc>
        <w:tc>
          <w:tcPr>
            <w:tcW w:w="227" w:type="dxa"/>
            <w:tcBorders>
              <w:left w:val="nil"/>
              <w:right w:val="nil"/>
            </w:tcBorders>
            <w:shd w:val="clear" w:color="auto" w:fill="auto"/>
            <w:noWrap/>
            <w:vAlign w:val="bottom"/>
          </w:tcPr>
          <w:p w14:paraId="602479A5" w14:textId="77777777" w:rsidR="009355C0" w:rsidRPr="0074154F" w:rsidRDefault="009355C0" w:rsidP="009355C0">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double" w:sz="4" w:space="0" w:color="auto"/>
              <w:right w:val="nil"/>
            </w:tcBorders>
            <w:shd w:val="clear" w:color="auto" w:fill="auto"/>
            <w:noWrap/>
            <w:vAlign w:val="bottom"/>
          </w:tcPr>
          <w:p w14:paraId="725B90B8" w14:textId="6E855D44" w:rsidR="009355C0" w:rsidRPr="0074154F" w:rsidRDefault="009355C0" w:rsidP="009355C0">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29,244,842</w:t>
            </w:r>
          </w:p>
        </w:tc>
      </w:tr>
      <w:tr w:rsidR="009355C0" w:rsidRPr="0074154F" w14:paraId="1C657427" w14:textId="77777777" w:rsidTr="006403FC">
        <w:trPr>
          <w:trHeight w:val="89"/>
          <w:jc w:val="right"/>
        </w:trPr>
        <w:tc>
          <w:tcPr>
            <w:tcW w:w="5272" w:type="dxa"/>
            <w:tcBorders>
              <w:top w:val="nil"/>
              <w:left w:val="nil"/>
              <w:bottom w:val="nil"/>
              <w:right w:val="nil"/>
            </w:tcBorders>
            <w:shd w:val="clear" w:color="auto" w:fill="auto"/>
            <w:noWrap/>
            <w:vAlign w:val="bottom"/>
          </w:tcPr>
          <w:p w14:paraId="520E7251" w14:textId="77777777" w:rsidR="009355C0" w:rsidRPr="00D96B68" w:rsidRDefault="009355C0" w:rsidP="009355C0">
            <w:pPr>
              <w:spacing w:after="0" w:line="240" w:lineRule="auto"/>
              <w:ind w:left="-70"/>
              <w:rPr>
                <w:rFonts w:ascii="Arial" w:eastAsia="Times New Roman" w:hAnsi="Arial" w:cs="Arial"/>
                <w:b/>
                <w:bCs/>
                <w:color w:val="FF0000"/>
                <w:sz w:val="12"/>
                <w:szCs w:val="12"/>
                <w:lang w:val="es-MX" w:eastAsia="es-MX"/>
              </w:rPr>
            </w:pPr>
          </w:p>
        </w:tc>
        <w:tc>
          <w:tcPr>
            <w:tcW w:w="1502" w:type="dxa"/>
            <w:tcBorders>
              <w:left w:val="nil"/>
              <w:right w:val="nil"/>
            </w:tcBorders>
            <w:shd w:val="clear" w:color="auto" w:fill="auto"/>
            <w:noWrap/>
            <w:vAlign w:val="bottom"/>
          </w:tcPr>
          <w:p w14:paraId="0F445D01" w14:textId="77777777" w:rsidR="009355C0" w:rsidRPr="0074154F" w:rsidRDefault="009355C0" w:rsidP="009355C0">
            <w:pPr>
              <w:tabs>
                <w:tab w:val="decimal" w:pos="1276"/>
              </w:tabs>
              <w:spacing w:after="0" w:line="240" w:lineRule="auto"/>
              <w:jc w:val="right"/>
              <w:rPr>
                <w:rFonts w:ascii="Arial" w:eastAsia="Times New Roman" w:hAnsi="Arial" w:cs="Arial"/>
                <w:b/>
                <w:bCs/>
                <w:color w:val="FF0000"/>
                <w:sz w:val="20"/>
                <w:szCs w:val="20"/>
                <w:lang w:eastAsia="es-EC"/>
              </w:rPr>
            </w:pPr>
          </w:p>
        </w:tc>
        <w:tc>
          <w:tcPr>
            <w:tcW w:w="227" w:type="dxa"/>
            <w:tcBorders>
              <w:left w:val="nil"/>
              <w:right w:val="nil"/>
            </w:tcBorders>
            <w:shd w:val="clear" w:color="auto" w:fill="auto"/>
            <w:noWrap/>
            <w:vAlign w:val="bottom"/>
          </w:tcPr>
          <w:p w14:paraId="4CB09F18" w14:textId="77777777" w:rsidR="009355C0" w:rsidRPr="0074154F" w:rsidRDefault="009355C0" w:rsidP="009355C0">
            <w:pPr>
              <w:spacing w:after="0" w:line="240" w:lineRule="auto"/>
              <w:rPr>
                <w:rFonts w:ascii="Arial" w:eastAsia="Times New Roman" w:hAnsi="Arial" w:cs="Arial"/>
                <w:b/>
                <w:bCs/>
                <w:color w:val="FF0000"/>
                <w:sz w:val="20"/>
                <w:szCs w:val="20"/>
                <w:lang w:eastAsia="es-EC"/>
              </w:rPr>
            </w:pPr>
          </w:p>
        </w:tc>
        <w:tc>
          <w:tcPr>
            <w:tcW w:w="1502" w:type="dxa"/>
            <w:tcBorders>
              <w:left w:val="nil"/>
              <w:right w:val="nil"/>
            </w:tcBorders>
            <w:shd w:val="clear" w:color="auto" w:fill="auto"/>
            <w:noWrap/>
            <w:vAlign w:val="bottom"/>
          </w:tcPr>
          <w:p w14:paraId="2ED42A3F" w14:textId="77777777" w:rsidR="009355C0" w:rsidRPr="0074154F" w:rsidRDefault="009355C0" w:rsidP="009355C0">
            <w:pPr>
              <w:tabs>
                <w:tab w:val="decimal" w:pos="1276"/>
              </w:tabs>
              <w:spacing w:after="0" w:line="240" w:lineRule="auto"/>
              <w:jc w:val="right"/>
              <w:rPr>
                <w:rFonts w:ascii="Arial" w:eastAsia="Times New Roman" w:hAnsi="Arial" w:cs="Arial"/>
                <w:b/>
                <w:bCs/>
                <w:color w:val="FF0000"/>
                <w:sz w:val="20"/>
                <w:szCs w:val="20"/>
                <w:lang w:eastAsia="es-EC"/>
              </w:rPr>
            </w:pPr>
          </w:p>
        </w:tc>
      </w:tr>
    </w:tbl>
    <w:p w14:paraId="5E0DC5DC" w14:textId="0BB48D0E" w:rsidR="006D3909" w:rsidRPr="0074154F" w:rsidRDefault="006D3909" w:rsidP="006D3909">
      <w:pPr>
        <w:tabs>
          <w:tab w:val="left" w:pos="1276"/>
        </w:tabs>
        <w:spacing w:after="0" w:line="240" w:lineRule="auto"/>
        <w:ind w:right="-1" w:firstLine="567"/>
        <w:jc w:val="both"/>
        <w:rPr>
          <w:rFonts w:ascii="Arial" w:hAnsi="Arial" w:cs="Arial"/>
          <w:sz w:val="20"/>
          <w:szCs w:val="20"/>
        </w:rPr>
      </w:pPr>
      <w:r w:rsidRPr="0074154F">
        <w:rPr>
          <w:rFonts w:ascii="Arial" w:hAnsi="Arial" w:cs="Arial"/>
          <w:sz w:val="20"/>
          <w:szCs w:val="20"/>
        </w:rPr>
        <w:t>Al 31 de diciembre del 2020:</w:t>
      </w:r>
    </w:p>
    <w:p w14:paraId="2893FF58" w14:textId="77777777" w:rsidR="006D3909" w:rsidRPr="00D96B68" w:rsidRDefault="006D3909" w:rsidP="006D3909">
      <w:pPr>
        <w:tabs>
          <w:tab w:val="left" w:pos="1276"/>
        </w:tabs>
        <w:spacing w:after="0" w:line="240" w:lineRule="auto"/>
        <w:ind w:right="-1" w:firstLine="567"/>
        <w:jc w:val="both"/>
        <w:rPr>
          <w:rFonts w:ascii="Arial" w:hAnsi="Arial" w:cs="Arial"/>
          <w:sz w:val="14"/>
          <w:szCs w:val="14"/>
        </w:rPr>
      </w:pPr>
    </w:p>
    <w:p w14:paraId="5618DB1D" w14:textId="79ACAFDB" w:rsidR="00D151F9" w:rsidRPr="0074154F" w:rsidRDefault="00D151F9" w:rsidP="003322E2">
      <w:pPr>
        <w:pStyle w:val="ListParagraph"/>
        <w:numPr>
          <w:ilvl w:val="0"/>
          <w:numId w:val="32"/>
        </w:numPr>
        <w:spacing w:after="0" w:line="240" w:lineRule="auto"/>
        <w:ind w:left="851" w:right="-1" w:hanging="284"/>
        <w:jc w:val="both"/>
        <w:rPr>
          <w:rFonts w:ascii="Arial" w:hAnsi="Arial" w:cs="Arial"/>
          <w:sz w:val="20"/>
          <w:szCs w:val="20"/>
        </w:rPr>
      </w:pPr>
      <w:r w:rsidRPr="0074154F">
        <w:rPr>
          <w:rFonts w:ascii="Arial" w:hAnsi="Arial" w:cs="Arial"/>
          <w:sz w:val="20"/>
          <w:szCs w:val="20"/>
        </w:rPr>
        <w:t>Proveedores locales, incluyen principalmente a cuentas pendientes de pago de servicios de capacidad de respaldo de internet, asesoría técnica, consumo eléctrico y por adquisición de equipos por US$</w:t>
      </w:r>
      <w:r w:rsidR="005E1349">
        <w:rPr>
          <w:rFonts w:ascii="Arial" w:hAnsi="Arial" w:cs="Arial"/>
          <w:sz w:val="20"/>
          <w:szCs w:val="20"/>
        </w:rPr>
        <w:t>2</w:t>
      </w:r>
      <w:r w:rsidRPr="0074154F">
        <w:rPr>
          <w:rFonts w:ascii="Arial" w:hAnsi="Arial" w:cs="Arial"/>
          <w:sz w:val="20"/>
          <w:szCs w:val="20"/>
        </w:rPr>
        <w:t>1.1 millones (US$9.</w:t>
      </w:r>
      <w:r w:rsidR="005E1349">
        <w:rPr>
          <w:rFonts w:ascii="Arial" w:hAnsi="Arial" w:cs="Arial"/>
          <w:sz w:val="20"/>
          <w:szCs w:val="20"/>
        </w:rPr>
        <w:t>9</w:t>
      </w:r>
      <w:r w:rsidRPr="0074154F">
        <w:rPr>
          <w:rFonts w:ascii="Arial" w:hAnsi="Arial" w:cs="Arial"/>
          <w:sz w:val="20"/>
          <w:szCs w:val="20"/>
        </w:rPr>
        <w:t xml:space="preserve"> millones para el año 2019) que no devengan intereses y tienen vencimientos promedios de hasta 90 días.</w:t>
      </w:r>
    </w:p>
    <w:p w14:paraId="129AC726" w14:textId="77777777" w:rsidR="00D151F9" w:rsidRPr="0074154F" w:rsidRDefault="00D151F9" w:rsidP="00D151F9">
      <w:pPr>
        <w:pStyle w:val="ListParagraph"/>
        <w:rPr>
          <w:rFonts w:ascii="Arial" w:hAnsi="Arial" w:cs="Arial"/>
          <w:sz w:val="16"/>
          <w:szCs w:val="16"/>
        </w:rPr>
      </w:pPr>
    </w:p>
    <w:p w14:paraId="56D6A796" w14:textId="4844B3FF" w:rsidR="00D151F9" w:rsidRPr="0074154F" w:rsidRDefault="00D151F9" w:rsidP="003322E2">
      <w:pPr>
        <w:pStyle w:val="ListParagraph"/>
        <w:numPr>
          <w:ilvl w:val="0"/>
          <w:numId w:val="32"/>
        </w:numPr>
        <w:spacing w:after="0" w:line="240" w:lineRule="auto"/>
        <w:ind w:left="851" w:right="-1" w:hanging="284"/>
        <w:jc w:val="both"/>
        <w:rPr>
          <w:rFonts w:ascii="Arial" w:hAnsi="Arial" w:cs="Arial"/>
          <w:sz w:val="20"/>
          <w:szCs w:val="20"/>
        </w:rPr>
      </w:pPr>
      <w:r w:rsidRPr="0074154F">
        <w:rPr>
          <w:rFonts w:ascii="Arial" w:hAnsi="Arial" w:cs="Arial"/>
          <w:sz w:val="20"/>
          <w:szCs w:val="20"/>
        </w:rPr>
        <w:t xml:space="preserve">Proveedores del exterior, corresponde a saldos pendientes de pago por adquisiciones de mercaderías importadas relacionadas con la operatividad del giro del negocio que no devengan intereses y tienen vencimientos promedios hasta 120 días.  </w:t>
      </w:r>
    </w:p>
    <w:p w14:paraId="12A80611" w14:textId="77777777" w:rsidR="002A0A2B" w:rsidRPr="0074154F" w:rsidRDefault="002A0A2B" w:rsidP="002A0A2B">
      <w:pPr>
        <w:pStyle w:val="ListParagraph"/>
        <w:rPr>
          <w:rFonts w:ascii="Arial" w:hAnsi="Arial" w:cs="Arial"/>
          <w:sz w:val="16"/>
          <w:szCs w:val="16"/>
        </w:rPr>
      </w:pPr>
    </w:p>
    <w:p w14:paraId="0EBA0D97" w14:textId="6D8FD3B2" w:rsidR="002A0A2B" w:rsidRPr="0074154F" w:rsidRDefault="002A0A2B" w:rsidP="003322E2">
      <w:pPr>
        <w:pStyle w:val="ListParagraph"/>
        <w:numPr>
          <w:ilvl w:val="0"/>
          <w:numId w:val="32"/>
        </w:numPr>
        <w:spacing w:after="0" w:line="240" w:lineRule="auto"/>
        <w:ind w:left="851" w:right="-1" w:hanging="284"/>
        <w:jc w:val="both"/>
        <w:rPr>
          <w:rFonts w:ascii="Arial" w:hAnsi="Arial" w:cs="Arial"/>
          <w:sz w:val="20"/>
          <w:szCs w:val="20"/>
        </w:rPr>
      </w:pPr>
      <w:r w:rsidRPr="0074154F">
        <w:rPr>
          <w:rFonts w:ascii="Arial" w:hAnsi="Arial" w:cs="Arial"/>
          <w:sz w:val="20"/>
          <w:szCs w:val="20"/>
        </w:rPr>
        <w:t>Otras cuentas por pagar, incluye principalmente a saldos provisionados por pagar con la Compañía Corporación Nacional de Electricidad CNEL EP por concepto de servicios de luz en postes eléctrico a nivel nacional por US$770,129 (</w:t>
      </w:r>
      <w:r w:rsidR="00C35CC3" w:rsidRPr="0074154F">
        <w:rPr>
          <w:rFonts w:ascii="Arial" w:hAnsi="Arial" w:cs="Arial"/>
          <w:sz w:val="20"/>
          <w:szCs w:val="20"/>
        </w:rPr>
        <w:t>US$</w:t>
      </w:r>
      <w:r w:rsidR="00645B3F">
        <w:rPr>
          <w:rFonts w:ascii="Arial" w:hAnsi="Arial" w:cs="Arial"/>
          <w:sz w:val="20"/>
          <w:szCs w:val="20"/>
        </w:rPr>
        <w:t>3</w:t>
      </w:r>
      <w:r w:rsidRPr="0074154F">
        <w:rPr>
          <w:rFonts w:ascii="Arial" w:hAnsi="Arial" w:cs="Arial"/>
          <w:sz w:val="20"/>
          <w:szCs w:val="20"/>
        </w:rPr>
        <w:t>.</w:t>
      </w:r>
      <w:r w:rsidR="00645B3F">
        <w:rPr>
          <w:rFonts w:ascii="Arial" w:hAnsi="Arial" w:cs="Arial"/>
          <w:sz w:val="20"/>
          <w:szCs w:val="20"/>
        </w:rPr>
        <w:t>2</w:t>
      </w:r>
      <w:r w:rsidRPr="0074154F">
        <w:rPr>
          <w:rFonts w:ascii="Arial" w:hAnsi="Arial" w:cs="Arial"/>
          <w:sz w:val="20"/>
          <w:szCs w:val="20"/>
        </w:rPr>
        <w:t xml:space="preserve"> millones para el año 2019).</w:t>
      </w:r>
    </w:p>
    <w:p w14:paraId="03E81AD5" w14:textId="77777777" w:rsidR="00D151F9" w:rsidRPr="0074154F" w:rsidRDefault="00D151F9" w:rsidP="00D151F9">
      <w:pPr>
        <w:tabs>
          <w:tab w:val="left" w:pos="1276"/>
        </w:tabs>
        <w:spacing w:after="0" w:line="240" w:lineRule="auto"/>
        <w:ind w:right="-1"/>
        <w:jc w:val="both"/>
        <w:rPr>
          <w:rFonts w:ascii="Arial" w:hAnsi="Arial" w:cs="Arial"/>
          <w:sz w:val="16"/>
          <w:szCs w:val="16"/>
        </w:rPr>
      </w:pPr>
    </w:p>
    <w:p w14:paraId="3D864904" w14:textId="77777777" w:rsidR="000825BD" w:rsidRPr="0074154F" w:rsidRDefault="000825BD" w:rsidP="000825BD">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PASIVOS POR ARRENDAMIENTOS</w:t>
      </w:r>
    </w:p>
    <w:p w14:paraId="63ABF020" w14:textId="77777777" w:rsidR="000825BD" w:rsidRPr="00D96B68" w:rsidRDefault="000825BD" w:rsidP="000825BD">
      <w:pPr>
        <w:rPr>
          <w:sz w:val="6"/>
          <w:szCs w:val="6"/>
          <w:lang w:eastAsia="es-EC"/>
        </w:rPr>
      </w:pPr>
    </w:p>
    <w:tbl>
      <w:tblPr>
        <w:tblW w:w="8492" w:type="dxa"/>
        <w:jc w:val="right"/>
        <w:tblBorders>
          <w:bottom w:val="double" w:sz="4" w:space="0" w:color="auto"/>
        </w:tblBorders>
        <w:tblLayout w:type="fixed"/>
        <w:tblCellMar>
          <w:left w:w="70" w:type="dxa"/>
          <w:right w:w="70" w:type="dxa"/>
        </w:tblCellMar>
        <w:tblLook w:val="04A0" w:firstRow="1" w:lastRow="0" w:firstColumn="1" w:lastColumn="0" w:noHBand="0" w:noVBand="1"/>
      </w:tblPr>
      <w:tblGrid>
        <w:gridCol w:w="5270"/>
        <w:gridCol w:w="1530"/>
        <w:gridCol w:w="230"/>
        <w:gridCol w:w="1462"/>
      </w:tblGrid>
      <w:tr w:rsidR="000825BD" w:rsidRPr="0074154F" w14:paraId="685769A2" w14:textId="77777777" w:rsidTr="0068674B">
        <w:trPr>
          <w:trHeight w:val="221"/>
          <w:jc w:val="right"/>
        </w:trPr>
        <w:tc>
          <w:tcPr>
            <w:tcW w:w="5270" w:type="dxa"/>
            <w:shd w:val="clear" w:color="auto" w:fill="auto"/>
            <w:noWrap/>
            <w:vAlign w:val="bottom"/>
          </w:tcPr>
          <w:p w14:paraId="5627D503" w14:textId="77777777" w:rsidR="000825BD" w:rsidRPr="0074154F" w:rsidRDefault="000825BD" w:rsidP="008F5308">
            <w:pPr>
              <w:spacing w:after="0" w:line="240" w:lineRule="auto"/>
              <w:ind w:left="-70" w:right="22"/>
              <w:rPr>
                <w:rFonts w:ascii="Arial" w:eastAsia="Times New Roman" w:hAnsi="Arial" w:cs="Arial"/>
                <w:b/>
                <w:bCs/>
                <w:color w:val="000000"/>
                <w:sz w:val="20"/>
                <w:szCs w:val="20"/>
                <w:lang w:val="es-MX" w:eastAsia="es-MX"/>
              </w:rPr>
            </w:pPr>
          </w:p>
        </w:tc>
        <w:tc>
          <w:tcPr>
            <w:tcW w:w="1530" w:type="dxa"/>
            <w:tcBorders>
              <w:bottom w:val="single" w:sz="8" w:space="0" w:color="auto"/>
            </w:tcBorders>
            <w:shd w:val="clear" w:color="auto" w:fill="auto"/>
            <w:noWrap/>
            <w:vAlign w:val="bottom"/>
          </w:tcPr>
          <w:p w14:paraId="5123C8AD" w14:textId="77777777" w:rsidR="000825BD" w:rsidRPr="0074154F" w:rsidRDefault="000825BD" w:rsidP="008F5308">
            <w:pPr>
              <w:tabs>
                <w:tab w:val="decimal" w:pos="1276"/>
              </w:tabs>
              <w:spacing w:after="0" w:line="240" w:lineRule="auto"/>
              <w:ind w:right="22"/>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30" w:type="dxa"/>
            <w:tcBorders>
              <w:bottom w:val="nil"/>
            </w:tcBorders>
          </w:tcPr>
          <w:p w14:paraId="64D686F6" w14:textId="77777777" w:rsidR="000825BD" w:rsidRPr="0074154F" w:rsidRDefault="000825BD" w:rsidP="008F5308">
            <w:pPr>
              <w:tabs>
                <w:tab w:val="decimal" w:pos="1276"/>
              </w:tabs>
              <w:spacing w:after="0" w:line="240" w:lineRule="auto"/>
              <w:ind w:right="22"/>
              <w:jc w:val="right"/>
              <w:rPr>
                <w:rFonts w:ascii="Arial" w:eastAsia="Times New Roman" w:hAnsi="Arial" w:cs="Arial"/>
                <w:b/>
                <w:bCs/>
                <w:sz w:val="20"/>
                <w:szCs w:val="20"/>
                <w:lang w:eastAsia="es-EC"/>
              </w:rPr>
            </w:pPr>
          </w:p>
        </w:tc>
        <w:tc>
          <w:tcPr>
            <w:tcW w:w="1462" w:type="dxa"/>
            <w:tcBorders>
              <w:bottom w:val="single" w:sz="8" w:space="0" w:color="auto"/>
            </w:tcBorders>
            <w:vAlign w:val="bottom"/>
          </w:tcPr>
          <w:p w14:paraId="15047DB6" w14:textId="77777777" w:rsidR="000825BD" w:rsidRPr="0074154F" w:rsidRDefault="000825BD" w:rsidP="008F5308">
            <w:pPr>
              <w:tabs>
                <w:tab w:val="decimal" w:pos="1276"/>
              </w:tabs>
              <w:spacing w:after="0" w:line="240" w:lineRule="auto"/>
              <w:ind w:right="22"/>
              <w:jc w:val="right"/>
              <w:rPr>
                <w:rFonts w:ascii="Arial" w:eastAsia="Times New Roman" w:hAnsi="Arial" w:cs="Arial"/>
                <w:b/>
                <w:bCs/>
                <w:sz w:val="20"/>
                <w:szCs w:val="20"/>
                <w:lang w:eastAsia="es-EC"/>
              </w:rPr>
            </w:pPr>
            <w:r w:rsidRPr="0074154F">
              <w:rPr>
                <w:rFonts w:ascii="Arial" w:eastAsia="Times New Roman" w:hAnsi="Arial" w:cs="Arial"/>
                <w:b/>
                <w:bCs/>
                <w:sz w:val="20"/>
                <w:szCs w:val="20"/>
                <w:lang w:eastAsia="es-EC"/>
              </w:rPr>
              <w:t>31/12/2019</w:t>
            </w:r>
          </w:p>
        </w:tc>
      </w:tr>
      <w:tr w:rsidR="000825BD" w:rsidRPr="0074154F" w14:paraId="41CCD6D2" w14:textId="77777777" w:rsidTr="00D96B68">
        <w:trPr>
          <w:trHeight w:val="40"/>
          <w:jc w:val="right"/>
        </w:trPr>
        <w:tc>
          <w:tcPr>
            <w:tcW w:w="5270" w:type="dxa"/>
            <w:tcBorders>
              <w:bottom w:val="nil"/>
            </w:tcBorders>
            <w:shd w:val="clear" w:color="auto" w:fill="auto"/>
            <w:noWrap/>
            <w:vAlign w:val="bottom"/>
          </w:tcPr>
          <w:p w14:paraId="7C7C66BB" w14:textId="77777777" w:rsidR="000825BD" w:rsidRPr="00D96B68" w:rsidRDefault="000825BD" w:rsidP="008F5308">
            <w:pPr>
              <w:spacing w:after="0" w:line="240" w:lineRule="auto"/>
              <w:ind w:left="-70" w:right="22"/>
              <w:rPr>
                <w:rFonts w:ascii="Arial" w:eastAsia="Times New Roman" w:hAnsi="Arial" w:cs="Arial"/>
                <w:color w:val="000000"/>
                <w:sz w:val="10"/>
                <w:szCs w:val="10"/>
                <w:u w:val="single"/>
                <w:lang w:val="es-MX" w:eastAsia="es-MX"/>
              </w:rPr>
            </w:pPr>
          </w:p>
        </w:tc>
        <w:tc>
          <w:tcPr>
            <w:tcW w:w="1530" w:type="dxa"/>
            <w:tcBorders>
              <w:top w:val="single" w:sz="8" w:space="0" w:color="auto"/>
              <w:bottom w:val="nil"/>
            </w:tcBorders>
            <w:shd w:val="clear" w:color="auto" w:fill="auto"/>
            <w:noWrap/>
            <w:vAlign w:val="bottom"/>
          </w:tcPr>
          <w:p w14:paraId="4B7E0FF1"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230" w:type="dxa"/>
            <w:tcBorders>
              <w:top w:val="nil"/>
              <w:bottom w:val="nil"/>
            </w:tcBorders>
          </w:tcPr>
          <w:p w14:paraId="3E365BB4"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1462" w:type="dxa"/>
            <w:tcBorders>
              <w:top w:val="single" w:sz="8" w:space="0" w:color="auto"/>
              <w:bottom w:val="nil"/>
            </w:tcBorders>
          </w:tcPr>
          <w:p w14:paraId="4668E959"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r>
      <w:tr w:rsidR="000825BD" w:rsidRPr="0074154F" w14:paraId="7D3B5EAD" w14:textId="77777777" w:rsidTr="0068674B">
        <w:trPr>
          <w:trHeight w:val="115"/>
          <w:jc w:val="right"/>
        </w:trPr>
        <w:tc>
          <w:tcPr>
            <w:tcW w:w="5270" w:type="dxa"/>
            <w:tcBorders>
              <w:top w:val="nil"/>
              <w:bottom w:val="nil"/>
            </w:tcBorders>
            <w:shd w:val="clear" w:color="auto" w:fill="auto"/>
            <w:noWrap/>
            <w:vAlign w:val="bottom"/>
          </w:tcPr>
          <w:p w14:paraId="6A5A07CF" w14:textId="77777777" w:rsidR="000825BD" w:rsidRPr="0074154F" w:rsidRDefault="000825BD" w:rsidP="008F5308">
            <w:pPr>
              <w:spacing w:after="0" w:line="240" w:lineRule="auto"/>
              <w:ind w:left="-70" w:right="22"/>
              <w:rPr>
                <w:rFonts w:ascii="Arial" w:eastAsia="Times New Roman" w:hAnsi="Arial" w:cs="Arial"/>
                <w:color w:val="000000"/>
                <w:sz w:val="20"/>
                <w:szCs w:val="20"/>
                <w:u w:val="single"/>
                <w:lang w:val="es-MX" w:eastAsia="es-MX"/>
              </w:rPr>
            </w:pPr>
            <w:r w:rsidRPr="0074154F">
              <w:rPr>
                <w:rFonts w:ascii="Arial" w:eastAsia="Times New Roman" w:hAnsi="Arial" w:cs="Arial"/>
                <w:color w:val="000000"/>
                <w:sz w:val="20"/>
                <w:szCs w:val="20"/>
                <w:u w:val="single"/>
                <w:lang w:val="es-MX" w:eastAsia="es-MX"/>
              </w:rPr>
              <w:t>Análisis de madurez:</w:t>
            </w:r>
          </w:p>
        </w:tc>
        <w:tc>
          <w:tcPr>
            <w:tcW w:w="1530" w:type="dxa"/>
            <w:tcBorders>
              <w:top w:val="nil"/>
              <w:bottom w:val="nil"/>
            </w:tcBorders>
            <w:shd w:val="clear" w:color="auto" w:fill="auto"/>
            <w:noWrap/>
            <w:vAlign w:val="bottom"/>
          </w:tcPr>
          <w:p w14:paraId="1AEA8205"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230" w:type="dxa"/>
            <w:tcBorders>
              <w:top w:val="nil"/>
              <w:bottom w:val="nil"/>
            </w:tcBorders>
          </w:tcPr>
          <w:p w14:paraId="318AA9EC"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1462" w:type="dxa"/>
            <w:tcBorders>
              <w:top w:val="nil"/>
              <w:bottom w:val="nil"/>
            </w:tcBorders>
          </w:tcPr>
          <w:p w14:paraId="2FA58DBD"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r>
      <w:tr w:rsidR="00F246F3" w:rsidRPr="0074154F" w14:paraId="477E3BDE" w14:textId="77777777" w:rsidTr="00D96B68">
        <w:trPr>
          <w:trHeight w:val="60"/>
          <w:jc w:val="right"/>
        </w:trPr>
        <w:tc>
          <w:tcPr>
            <w:tcW w:w="5270" w:type="dxa"/>
            <w:tcBorders>
              <w:top w:val="nil"/>
              <w:bottom w:val="nil"/>
            </w:tcBorders>
            <w:shd w:val="clear" w:color="auto" w:fill="auto"/>
            <w:noWrap/>
            <w:vAlign w:val="bottom"/>
          </w:tcPr>
          <w:p w14:paraId="01E7938B" w14:textId="77777777" w:rsidR="00F246F3" w:rsidRPr="0074154F" w:rsidRDefault="00F246F3" w:rsidP="008F5308">
            <w:pPr>
              <w:spacing w:after="0" w:line="240" w:lineRule="auto"/>
              <w:ind w:left="-70" w:right="22"/>
              <w:rPr>
                <w:rFonts w:ascii="Arial" w:eastAsia="Times New Roman" w:hAnsi="Arial" w:cs="Arial"/>
                <w:color w:val="000000"/>
                <w:sz w:val="20"/>
                <w:szCs w:val="20"/>
                <w:u w:val="single"/>
                <w:lang w:val="es-MX" w:eastAsia="es-MX"/>
              </w:rPr>
            </w:pPr>
          </w:p>
        </w:tc>
        <w:tc>
          <w:tcPr>
            <w:tcW w:w="1530" w:type="dxa"/>
            <w:tcBorders>
              <w:top w:val="nil"/>
              <w:bottom w:val="nil"/>
            </w:tcBorders>
            <w:shd w:val="clear" w:color="auto" w:fill="auto"/>
            <w:noWrap/>
            <w:vAlign w:val="bottom"/>
          </w:tcPr>
          <w:p w14:paraId="2C13FCAF" w14:textId="77777777" w:rsidR="00F246F3" w:rsidRPr="0074154F" w:rsidRDefault="00F246F3" w:rsidP="008F5308">
            <w:pPr>
              <w:spacing w:after="0" w:line="240" w:lineRule="auto"/>
              <w:ind w:right="22"/>
              <w:rPr>
                <w:rFonts w:ascii="Arial" w:eastAsia="Times New Roman" w:hAnsi="Arial" w:cs="Arial"/>
                <w:color w:val="000000"/>
                <w:sz w:val="20"/>
                <w:szCs w:val="20"/>
                <w:lang w:eastAsia="es-EC"/>
              </w:rPr>
            </w:pPr>
          </w:p>
        </w:tc>
        <w:tc>
          <w:tcPr>
            <w:tcW w:w="230" w:type="dxa"/>
            <w:tcBorders>
              <w:top w:val="nil"/>
              <w:bottom w:val="nil"/>
            </w:tcBorders>
          </w:tcPr>
          <w:p w14:paraId="15D1A078" w14:textId="77777777" w:rsidR="00F246F3" w:rsidRPr="0074154F" w:rsidRDefault="00F246F3" w:rsidP="008F5308">
            <w:pPr>
              <w:spacing w:after="0" w:line="240" w:lineRule="auto"/>
              <w:ind w:right="22"/>
              <w:rPr>
                <w:rFonts w:ascii="Arial" w:eastAsia="Times New Roman" w:hAnsi="Arial" w:cs="Arial"/>
                <w:color w:val="000000"/>
                <w:sz w:val="20"/>
                <w:szCs w:val="20"/>
                <w:lang w:eastAsia="es-EC"/>
              </w:rPr>
            </w:pPr>
          </w:p>
        </w:tc>
        <w:tc>
          <w:tcPr>
            <w:tcW w:w="1462" w:type="dxa"/>
            <w:tcBorders>
              <w:top w:val="nil"/>
              <w:bottom w:val="nil"/>
            </w:tcBorders>
          </w:tcPr>
          <w:p w14:paraId="2605CC60" w14:textId="77777777" w:rsidR="00F246F3" w:rsidRPr="0074154F" w:rsidRDefault="00F246F3" w:rsidP="008F5308">
            <w:pPr>
              <w:spacing w:after="0" w:line="240" w:lineRule="auto"/>
              <w:ind w:right="22"/>
              <w:rPr>
                <w:rFonts w:ascii="Arial" w:eastAsia="Times New Roman" w:hAnsi="Arial" w:cs="Arial"/>
                <w:color w:val="000000"/>
                <w:sz w:val="20"/>
                <w:szCs w:val="20"/>
                <w:lang w:eastAsia="es-EC"/>
              </w:rPr>
            </w:pPr>
          </w:p>
        </w:tc>
      </w:tr>
      <w:tr w:rsidR="000825BD" w:rsidRPr="0074154F" w14:paraId="2FD57439" w14:textId="77777777" w:rsidTr="0068674B">
        <w:trPr>
          <w:trHeight w:val="175"/>
          <w:jc w:val="right"/>
        </w:trPr>
        <w:tc>
          <w:tcPr>
            <w:tcW w:w="5270" w:type="dxa"/>
            <w:tcBorders>
              <w:top w:val="nil"/>
              <w:bottom w:val="nil"/>
            </w:tcBorders>
            <w:shd w:val="clear" w:color="auto" w:fill="auto"/>
            <w:noWrap/>
            <w:vAlign w:val="bottom"/>
          </w:tcPr>
          <w:p w14:paraId="69AC1CF0" w14:textId="77777777" w:rsidR="000825BD" w:rsidRPr="0074154F" w:rsidRDefault="000825BD" w:rsidP="008F5308">
            <w:pPr>
              <w:spacing w:after="0" w:line="240" w:lineRule="auto"/>
              <w:ind w:left="-70" w:right="22"/>
              <w:rPr>
                <w:rFonts w:ascii="Arial" w:eastAsia="Times New Roman" w:hAnsi="Arial" w:cs="Arial"/>
                <w:color w:val="000000"/>
                <w:sz w:val="20"/>
                <w:szCs w:val="20"/>
                <w:u w:val="single"/>
                <w:lang w:val="es-MX" w:eastAsia="es-MX"/>
              </w:rPr>
            </w:pPr>
            <w:r w:rsidRPr="0074154F">
              <w:rPr>
                <w:rFonts w:ascii="Arial" w:eastAsia="Times New Roman" w:hAnsi="Arial" w:cs="Arial"/>
                <w:color w:val="000000"/>
                <w:sz w:val="20"/>
                <w:szCs w:val="20"/>
                <w:lang w:eastAsia="es-EC"/>
              </w:rPr>
              <w:t>Año 2020</w:t>
            </w:r>
          </w:p>
        </w:tc>
        <w:tc>
          <w:tcPr>
            <w:tcW w:w="1530" w:type="dxa"/>
            <w:tcBorders>
              <w:top w:val="nil"/>
              <w:bottom w:val="nil"/>
            </w:tcBorders>
            <w:shd w:val="clear" w:color="auto" w:fill="auto"/>
            <w:noWrap/>
            <w:vAlign w:val="bottom"/>
          </w:tcPr>
          <w:p w14:paraId="0ADF1A67" w14:textId="77777777" w:rsidR="000825BD" w:rsidRPr="0074154F" w:rsidRDefault="000825BD" w:rsidP="008F5308">
            <w:pPr>
              <w:spacing w:after="0" w:line="240" w:lineRule="auto"/>
              <w:ind w:right="22"/>
              <w:jc w:val="right"/>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w:t>
            </w:r>
          </w:p>
        </w:tc>
        <w:tc>
          <w:tcPr>
            <w:tcW w:w="230" w:type="dxa"/>
            <w:tcBorders>
              <w:top w:val="nil"/>
              <w:bottom w:val="nil"/>
            </w:tcBorders>
          </w:tcPr>
          <w:p w14:paraId="2C049485"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1462" w:type="dxa"/>
            <w:tcBorders>
              <w:top w:val="nil"/>
              <w:bottom w:val="nil"/>
            </w:tcBorders>
            <w:vAlign w:val="bottom"/>
          </w:tcPr>
          <w:p w14:paraId="46C28783" w14:textId="3D8EE957" w:rsidR="000825BD" w:rsidRPr="0074154F" w:rsidRDefault="00243F52" w:rsidP="008F5308">
            <w:pPr>
              <w:spacing w:after="0" w:line="240" w:lineRule="auto"/>
              <w:ind w:right="22"/>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2,219,217</w:t>
            </w:r>
          </w:p>
        </w:tc>
      </w:tr>
      <w:tr w:rsidR="000825BD" w:rsidRPr="0074154F" w14:paraId="0874AE94" w14:textId="77777777" w:rsidTr="0068674B">
        <w:trPr>
          <w:trHeight w:val="235"/>
          <w:jc w:val="right"/>
        </w:trPr>
        <w:tc>
          <w:tcPr>
            <w:tcW w:w="5270" w:type="dxa"/>
            <w:tcBorders>
              <w:top w:val="nil"/>
            </w:tcBorders>
            <w:shd w:val="clear" w:color="auto" w:fill="auto"/>
            <w:noWrap/>
            <w:vAlign w:val="bottom"/>
          </w:tcPr>
          <w:p w14:paraId="2AD87B10"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Año 2021</w:t>
            </w:r>
          </w:p>
        </w:tc>
        <w:tc>
          <w:tcPr>
            <w:tcW w:w="1530" w:type="dxa"/>
            <w:tcBorders>
              <w:top w:val="nil"/>
              <w:bottom w:val="nil"/>
            </w:tcBorders>
            <w:shd w:val="clear" w:color="auto" w:fill="auto"/>
            <w:noWrap/>
            <w:vAlign w:val="bottom"/>
          </w:tcPr>
          <w:p w14:paraId="4DF5CBCF" w14:textId="6F897BEE"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2,204,664</w:t>
            </w:r>
          </w:p>
        </w:tc>
        <w:tc>
          <w:tcPr>
            <w:tcW w:w="230" w:type="dxa"/>
            <w:tcBorders>
              <w:top w:val="nil"/>
              <w:bottom w:val="nil"/>
            </w:tcBorders>
          </w:tcPr>
          <w:p w14:paraId="6998AA79"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nil"/>
              <w:bottom w:val="nil"/>
            </w:tcBorders>
            <w:vAlign w:val="bottom"/>
          </w:tcPr>
          <w:p w14:paraId="20D0E1D7" w14:textId="606A2C24"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r w:rsidRPr="0074154F">
              <w:rPr>
                <w:rFonts w:ascii="Arial" w:eastAsia="Times New Roman" w:hAnsi="Arial" w:cs="Arial"/>
                <w:sz w:val="20"/>
                <w:szCs w:val="20"/>
                <w:lang w:eastAsia="es-EC"/>
              </w:rPr>
              <w:t>1,</w:t>
            </w:r>
            <w:r w:rsidR="00243F52">
              <w:rPr>
                <w:rFonts w:ascii="Arial" w:eastAsia="Times New Roman" w:hAnsi="Arial" w:cs="Arial"/>
                <w:sz w:val="20"/>
                <w:szCs w:val="20"/>
                <w:lang w:eastAsia="es-EC"/>
              </w:rPr>
              <w:t>938,354</w:t>
            </w:r>
          </w:p>
        </w:tc>
      </w:tr>
      <w:tr w:rsidR="000825BD" w:rsidRPr="0074154F" w14:paraId="55AAC55A" w14:textId="77777777" w:rsidTr="0068674B">
        <w:trPr>
          <w:trHeight w:val="285"/>
          <w:jc w:val="right"/>
        </w:trPr>
        <w:tc>
          <w:tcPr>
            <w:tcW w:w="5270" w:type="dxa"/>
            <w:shd w:val="clear" w:color="auto" w:fill="auto"/>
            <w:noWrap/>
            <w:vAlign w:val="bottom"/>
          </w:tcPr>
          <w:p w14:paraId="7F5A2373"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Año 2022</w:t>
            </w:r>
          </w:p>
        </w:tc>
        <w:tc>
          <w:tcPr>
            <w:tcW w:w="1530" w:type="dxa"/>
            <w:tcBorders>
              <w:bottom w:val="nil"/>
            </w:tcBorders>
            <w:shd w:val="clear" w:color="auto" w:fill="auto"/>
            <w:noWrap/>
            <w:vAlign w:val="bottom"/>
          </w:tcPr>
          <w:p w14:paraId="400F021E" w14:textId="359DC287"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1,721,478</w:t>
            </w:r>
          </w:p>
        </w:tc>
        <w:tc>
          <w:tcPr>
            <w:tcW w:w="230" w:type="dxa"/>
            <w:tcBorders>
              <w:bottom w:val="nil"/>
            </w:tcBorders>
          </w:tcPr>
          <w:p w14:paraId="1AD0FECF"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bottom w:val="nil"/>
            </w:tcBorders>
            <w:vAlign w:val="bottom"/>
          </w:tcPr>
          <w:p w14:paraId="5ECC10BB" w14:textId="1B3AA227" w:rsidR="000825BD" w:rsidRPr="0074154F" w:rsidRDefault="00243F5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999,008</w:t>
            </w:r>
          </w:p>
        </w:tc>
      </w:tr>
      <w:tr w:rsidR="000825BD" w:rsidRPr="0074154F" w14:paraId="37155C5D" w14:textId="77777777" w:rsidTr="0068674B">
        <w:trPr>
          <w:trHeight w:val="129"/>
          <w:jc w:val="right"/>
        </w:trPr>
        <w:tc>
          <w:tcPr>
            <w:tcW w:w="5270" w:type="dxa"/>
            <w:shd w:val="clear" w:color="auto" w:fill="auto"/>
            <w:noWrap/>
            <w:vAlign w:val="bottom"/>
          </w:tcPr>
          <w:p w14:paraId="1361EB5C"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Año 2023</w:t>
            </w:r>
          </w:p>
        </w:tc>
        <w:tc>
          <w:tcPr>
            <w:tcW w:w="1530" w:type="dxa"/>
            <w:tcBorders>
              <w:bottom w:val="nil"/>
            </w:tcBorders>
            <w:shd w:val="clear" w:color="auto" w:fill="auto"/>
            <w:noWrap/>
            <w:vAlign w:val="bottom"/>
          </w:tcPr>
          <w:p w14:paraId="2E8EDDD9" w14:textId="59AD3D2C"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1,263,095</w:t>
            </w:r>
          </w:p>
        </w:tc>
        <w:tc>
          <w:tcPr>
            <w:tcW w:w="230" w:type="dxa"/>
            <w:tcBorders>
              <w:bottom w:val="nil"/>
            </w:tcBorders>
          </w:tcPr>
          <w:p w14:paraId="39E194DD"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bottom w:val="nil"/>
            </w:tcBorders>
            <w:vAlign w:val="bottom"/>
          </w:tcPr>
          <w:p w14:paraId="1E18C39F" w14:textId="7335182C" w:rsidR="000825BD" w:rsidRPr="0074154F" w:rsidRDefault="00243F5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638,625</w:t>
            </w:r>
          </w:p>
        </w:tc>
      </w:tr>
      <w:tr w:rsidR="000825BD" w:rsidRPr="0074154F" w14:paraId="05D276D2" w14:textId="77777777" w:rsidTr="0068674B">
        <w:trPr>
          <w:trHeight w:val="134"/>
          <w:jc w:val="right"/>
        </w:trPr>
        <w:tc>
          <w:tcPr>
            <w:tcW w:w="5270" w:type="dxa"/>
            <w:tcBorders>
              <w:bottom w:val="nil"/>
            </w:tcBorders>
            <w:shd w:val="clear" w:color="auto" w:fill="auto"/>
            <w:noWrap/>
            <w:vAlign w:val="bottom"/>
          </w:tcPr>
          <w:p w14:paraId="49853F11"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Año 2024</w:t>
            </w:r>
          </w:p>
        </w:tc>
        <w:tc>
          <w:tcPr>
            <w:tcW w:w="1530" w:type="dxa"/>
            <w:tcBorders>
              <w:top w:val="nil"/>
              <w:bottom w:val="nil"/>
            </w:tcBorders>
            <w:shd w:val="clear" w:color="auto" w:fill="auto"/>
            <w:noWrap/>
            <w:vAlign w:val="bottom"/>
          </w:tcPr>
          <w:p w14:paraId="17D13C81" w14:textId="5320B209"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788,664</w:t>
            </w:r>
          </w:p>
        </w:tc>
        <w:tc>
          <w:tcPr>
            <w:tcW w:w="230" w:type="dxa"/>
            <w:tcBorders>
              <w:top w:val="nil"/>
              <w:bottom w:val="nil"/>
            </w:tcBorders>
          </w:tcPr>
          <w:p w14:paraId="510AE5B9"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nil"/>
              <w:bottom w:val="nil"/>
            </w:tcBorders>
            <w:vAlign w:val="bottom"/>
          </w:tcPr>
          <w:p w14:paraId="2A1BC146" w14:textId="15D75D57" w:rsidR="000825BD" w:rsidRPr="0074154F" w:rsidRDefault="00243F5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140,852</w:t>
            </w:r>
          </w:p>
        </w:tc>
      </w:tr>
      <w:tr w:rsidR="000825BD" w:rsidRPr="0074154F" w14:paraId="66559197" w14:textId="77777777" w:rsidTr="0068674B">
        <w:trPr>
          <w:trHeight w:val="235"/>
          <w:jc w:val="right"/>
        </w:trPr>
        <w:tc>
          <w:tcPr>
            <w:tcW w:w="5270" w:type="dxa"/>
            <w:tcBorders>
              <w:bottom w:val="nil"/>
            </w:tcBorders>
            <w:shd w:val="clear" w:color="auto" w:fill="auto"/>
            <w:noWrap/>
            <w:vAlign w:val="bottom"/>
          </w:tcPr>
          <w:p w14:paraId="76250857"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Año 2025</w:t>
            </w:r>
          </w:p>
        </w:tc>
        <w:tc>
          <w:tcPr>
            <w:tcW w:w="1530" w:type="dxa"/>
            <w:tcBorders>
              <w:top w:val="nil"/>
              <w:bottom w:val="nil"/>
            </w:tcBorders>
            <w:shd w:val="clear" w:color="auto" w:fill="auto"/>
            <w:noWrap/>
            <w:vAlign w:val="bottom"/>
          </w:tcPr>
          <w:p w14:paraId="05BDD856" w14:textId="56382650"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134,799</w:t>
            </w:r>
          </w:p>
        </w:tc>
        <w:tc>
          <w:tcPr>
            <w:tcW w:w="230" w:type="dxa"/>
            <w:tcBorders>
              <w:top w:val="nil"/>
              <w:bottom w:val="nil"/>
            </w:tcBorders>
          </w:tcPr>
          <w:p w14:paraId="5F210FEA"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nil"/>
              <w:bottom w:val="nil"/>
            </w:tcBorders>
            <w:vAlign w:val="bottom"/>
          </w:tcPr>
          <w:p w14:paraId="126C7873" w14:textId="180BFB87" w:rsidR="000825BD" w:rsidRPr="0074154F" w:rsidRDefault="00243F52" w:rsidP="008F5308">
            <w:pPr>
              <w:tabs>
                <w:tab w:val="decimal" w:pos="1276"/>
              </w:tabs>
              <w:spacing w:after="0" w:line="240" w:lineRule="auto"/>
              <w:ind w:right="22"/>
              <w:rPr>
                <w:rFonts w:ascii="Arial" w:eastAsia="Times New Roman" w:hAnsi="Arial" w:cs="Arial"/>
                <w:sz w:val="20"/>
                <w:szCs w:val="20"/>
                <w:lang w:eastAsia="es-EC"/>
              </w:rPr>
            </w:pPr>
            <w:r>
              <w:rPr>
                <w:rFonts w:ascii="Arial" w:eastAsia="Times New Roman" w:hAnsi="Arial" w:cs="Arial"/>
                <w:sz w:val="20"/>
                <w:szCs w:val="20"/>
                <w:lang w:eastAsia="es-EC"/>
              </w:rPr>
              <w:t>7,360</w:t>
            </w:r>
          </w:p>
        </w:tc>
      </w:tr>
      <w:tr w:rsidR="0005736D" w:rsidRPr="0074154F" w14:paraId="0E93B50B" w14:textId="77777777" w:rsidTr="0068674B">
        <w:trPr>
          <w:trHeight w:val="235"/>
          <w:jc w:val="right"/>
        </w:trPr>
        <w:tc>
          <w:tcPr>
            <w:tcW w:w="5270" w:type="dxa"/>
            <w:tcBorders>
              <w:bottom w:val="nil"/>
            </w:tcBorders>
            <w:shd w:val="clear" w:color="auto" w:fill="auto"/>
            <w:noWrap/>
            <w:vAlign w:val="bottom"/>
          </w:tcPr>
          <w:p w14:paraId="04C2DABC" w14:textId="047DBACC" w:rsidR="0005736D" w:rsidRPr="0074154F" w:rsidRDefault="0005736D" w:rsidP="008F5308">
            <w:pPr>
              <w:spacing w:after="0" w:line="240" w:lineRule="auto"/>
              <w:ind w:left="-70" w:right="22"/>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Año 2026</w:t>
            </w:r>
          </w:p>
        </w:tc>
        <w:tc>
          <w:tcPr>
            <w:tcW w:w="1530" w:type="dxa"/>
            <w:tcBorders>
              <w:top w:val="nil"/>
              <w:bottom w:val="nil"/>
            </w:tcBorders>
            <w:shd w:val="clear" w:color="auto" w:fill="auto"/>
            <w:noWrap/>
            <w:vAlign w:val="bottom"/>
          </w:tcPr>
          <w:p w14:paraId="424E0629" w14:textId="663A41D6" w:rsidR="0005736D"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26,602</w:t>
            </w:r>
          </w:p>
        </w:tc>
        <w:tc>
          <w:tcPr>
            <w:tcW w:w="230" w:type="dxa"/>
            <w:tcBorders>
              <w:top w:val="nil"/>
              <w:bottom w:val="nil"/>
            </w:tcBorders>
          </w:tcPr>
          <w:p w14:paraId="464F1EA6" w14:textId="77777777" w:rsidR="0005736D" w:rsidRPr="0074154F" w:rsidRDefault="0005736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nil"/>
              <w:bottom w:val="nil"/>
            </w:tcBorders>
            <w:vAlign w:val="bottom"/>
          </w:tcPr>
          <w:p w14:paraId="64579248" w14:textId="1EBD1CEC" w:rsidR="0005736D" w:rsidRPr="0074154F" w:rsidRDefault="00243F52" w:rsidP="008F5308">
            <w:pPr>
              <w:tabs>
                <w:tab w:val="decimal" w:pos="1276"/>
              </w:tabs>
              <w:spacing w:after="0" w:line="240" w:lineRule="auto"/>
              <w:ind w:right="22"/>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05736D" w:rsidRPr="0074154F" w14:paraId="17069AFD" w14:textId="77777777" w:rsidTr="0068674B">
        <w:trPr>
          <w:trHeight w:val="235"/>
          <w:jc w:val="right"/>
        </w:trPr>
        <w:tc>
          <w:tcPr>
            <w:tcW w:w="5270" w:type="dxa"/>
            <w:tcBorders>
              <w:bottom w:val="nil"/>
            </w:tcBorders>
            <w:shd w:val="clear" w:color="auto" w:fill="auto"/>
            <w:noWrap/>
            <w:vAlign w:val="bottom"/>
          </w:tcPr>
          <w:p w14:paraId="23AB800F" w14:textId="3005C451" w:rsidR="0005736D" w:rsidRPr="0074154F" w:rsidRDefault="0005736D" w:rsidP="008F5308">
            <w:pPr>
              <w:spacing w:after="0" w:line="240" w:lineRule="auto"/>
              <w:ind w:left="-70" w:right="22"/>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Año 2027</w:t>
            </w:r>
          </w:p>
        </w:tc>
        <w:tc>
          <w:tcPr>
            <w:tcW w:w="1530" w:type="dxa"/>
            <w:tcBorders>
              <w:top w:val="nil"/>
              <w:bottom w:val="nil"/>
            </w:tcBorders>
            <w:shd w:val="clear" w:color="auto" w:fill="auto"/>
            <w:noWrap/>
            <w:vAlign w:val="bottom"/>
          </w:tcPr>
          <w:p w14:paraId="055C81FD" w14:textId="5B21E8EF" w:rsidR="0005736D"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34,636</w:t>
            </w:r>
          </w:p>
        </w:tc>
        <w:tc>
          <w:tcPr>
            <w:tcW w:w="230" w:type="dxa"/>
            <w:tcBorders>
              <w:top w:val="nil"/>
              <w:bottom w:val="nil"/>
            </w:tcBorders>
          </w:tcPr>
          <w:p w14:paraId="48F385C6" w14:textId="77777777" w:rsidR="0005736D" w:rsidRPr="0074154F" w:rsidRDefault="0005736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nil"/>
              <w:bottom w:val="nil"/>
            </w:tcBorders>
            <w:vAlign w:val="bottom"/>
          </w:tcPr>
          <w:p w14:paraId="415FE5FB" w14:textId="580B4A06" w:rsidR="0005736D" w:rsidRPr="0074154F" w:rsidRDefault="00243F52" w:rsidP="008F5308">
            <w:pPr>
              <w:tabs>
                <w:tab w:val="decimal" w:pos="1276"/>
              </w:tabs>
              <w:spacing w:after="0" w:line="240" w:lineRule="auto"/>
              <w:ind w:right="22"/>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0825BD" w:rsidRPr="0074154F" w14:paraId="4E75431B" w14:textId="77777777" w:rsidTr="0068674B">
        <w:trPr>
          <w:trHeight w:val="219"/>
          <w:jc w:val="right"/>
        </w:trPr>
        <w:tc>
          <w:tcPr>
            <w:tcW w:w="5270" w:type="dxa"/>
            <w:tcBorders>
              <w:bottom w:val="nil"/>
            </w:tcBorders>
            <w:shd w:val="clear" w:color="auto" w:fill="auto"/>
            <w:noWrap/>
            <w:vAlign w:val="bottom"/>
          </w:tcPr>
          <w:p w14:paraId="7BBF486F"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p>
        </w:tc>
        <w:tc>
          <w:tcPr>
            <w:tcW w:w="1530" w:type="dxa"/>
            <w:tcBorders>
              <w:top w:val="single" w:sz="4" w:space="0" w:color="auto"/>
              <w:bottom w:val="nil"/>
            </w:tcBorders>
            <w:shd w:val="clear" w:color="auto" w:fill="auto"/>
            <w:noWrap/>
            <w:vAlign w:val="bottom"/>
          </w:tcPr>
          <w:p w14:paraId="744AD0D1"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230" w:type="dxa"/>
            <w:tcBorders>
              <w:top w:val="nil"/>
              <w:bottom w:val="nil"/>
            </w:tcBorders>
          </w:tcPr>
          <w:p w14:paraId="7539E3EC"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top w:val="single" w:sz="4" w:space="0" w:color="auto"/>
              <w:bottom w:val="nil"/>
            </w:tcBorders>
          </w:tcPr>
          <w:p w14:paraId="48E9DAA2"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r>
      <w:tr w:rsidR="000825BD" w:rsidRPr="0074154F" w14:paraId="7AEB2253" w14:textId="77777777" w:rsidTr="0068674B">
        <w:trPr>
          <w:trHeight w:val="285"/>
          <w:jc w:val="right"/>
        </w:trPr>
        <w:tc>
          <w:tcPr>
            <w:tcW w:w="5270" w:type="dxa"/>
            <w:tcBorders>
              <w:bottom w:val="nil"/>
            </w:tcBorders>
            <w:shd w:val="clear" w:color="auto" w:fill="auto"/>
            <w:noWrap/>
            <w:vAlign w:val="bottom"/>
          </w:tcPr>
          <w:p w14:paraId="039C3CE0"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Total</w:t>
            </w:r>
          </w:p>
        </w:tc>
        <w:tc>
          <w:tcPr>
            <w:tcW w:w="1530" w:type="dxa"/>
            <w:tcBorders>
              <w:bottom w:val="double" w:sz="4" w:space="0" w:color="auto"/>
            </w:tcBorders>
            <w:shd w:val="clear" w:color="auto" w:fill="auto"/>
            <w:noWrap/>
            <w:vAlign w:val="bottom"/>
          </w:tcPr>
          <w:p w14:paraId="1BD81D97" w14:textId="7A6342AB" w:rsidR="000825BD" w:rsidRPr="0074154F" w:rsidRDefault="0005736D"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6</w:t>
            </w:r>
            <w:r w:rsidR="000825BD" w:rsidRPr="0074154F">
              <w:rPr>
                <w:rFonts w:ascii="Arial" w:eastAsia="Times New Roman" w:hAnsi="Arial" w:cs="Arial"/>
                <w:sz w:val="20"/>
                <w:szCs w:val="20"/>
                <w:lang w:eastAsia="es-EC"/>
              </w:rPr>
              <w:t>,1</w:t>
            </w:r>
            <w:r w:rsidR="00243F52">
              <w:rPr>
                <w:rFonts w:ascii="Arial" w:eastAsia="Times New Roman" w:hAnsi="Arial" w:cs="Arial"/>
                <w:sz w:val="20"/>
                <w:szCs w:val="20"/>
                <w:lang w:eastAsia="es-EC"/>
              </w:rPr>
              <w:t>73</w:t>
            </w:r>
            <w:r w:rsidR="000825BD" w:rsidRPr="0074154F">
              <w:rPr>
                <w:rFonts w:ascii="Arial" w:eastAsia="Times New Roman" w:hAnsi="Arial" w:cs="Arial"/>
                <w:sz w:val="20"/>
                <w:szCs w:val="20"/>
                <w:lang w:eastAsia="es-EC"/>
              </w:rPr>
              <w:t>,</w:t>
            </w:r>
            <w:r w:rsidR="00243F52">
              <w:rPr>
                <w:rFonts w:ascii="Arial" w:eastAsia="Times New Roman" w:hAnsi="Arial" w:cs="Arial"/>
                <w:sz w:val="20"/>
                <w:szCs w:val="20"/>
                <w:lang w:eastAsia="es-EC"/>
              </w:rPr>
              <w:t>938</w:t>
            </w:r>
          </w:p>
        </w:tc>
        <w:tc>
          <w:tcPr>
            <w:tcW w:w="230" w:type="dxa"/>
            <w:tcBorders>
              <w:bottom w:val="nil"/>
            </w:tcBorders>
            <w:vAlign w:val="bottom"/>
          </w:tcPr>
          <w:p w14:paraId="4CF3F6E2" w14:textId="77777777" w:rsidR="000825BD" w:rsidRPr="0074154F" w:rsidRDefault="000825BD" w:rsidP="008F5308">
            <w:pPr>
              <w:tabs>
                <w:tab w:val="decimal" w:pos="1276"/>
              </w:tabs>
              <w:spacing w:after="0" w:line="240" w:lineRule="auto"/>
              <w:ind w:right="22"/>
              <w:rPr>
                <w:rFonts w:ascii="Arial" w:eastAsia="Times New Roman" w:hAnsi="Arial" w:cs="Arial"/>
                <w:sz w:val="20"/>
                <w:szCs w:val="20"/>
                <w:lang w:eastAsia="es-EC"/>
              </w:rPr>
            </w:pPr>
          </w:p>
        </w:tc>
        <w:tc>
          <w:tcPr>
            <w:tcW w:w="1462" w:type="dxa"/>
            <w:tcBorders>
              <w:bottom w:val="double" w:sz="4" w:space="0" w:color="auto"/>
            </w:tcBorders>
            <w:vAlign w:val="bottom"/>
          </w:tcPr>
          <w:p w14:paraId="46530B73" w14:textId="6BE8F4E9" w:rsidR="000825BD" w:rsidRPr="0074154F" w:rsidRDefault="00243F5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5,9</w:t>
            </w:r>
            <w:r w:rsidR="0090119B">
              <w:rPr>
                <w:rFonts w:ascii="Arial" w:eastAsia="Times New Roman" w:hAnsi="Arial" w:cs="Arial"/>
                <w:sz w:val="20"/>
                <w:szCs w:val="20"/>
                <w:lang w:eastAsia="es-EC"/>
              </w:rPr>
              <w:t>43,416</w:t>
            </w:r>
          </w:p>
        </w:tc>
      </w:tr>
      <w:tr w:rsidR="000825BD" w:rsidRPr="0074154F" w14:paraId="6599DB88" w14:textId="77777777" w:rsidTr="00D96B68">
        <w:trPr>
          <w:trHeight w:val="285"/>
          <w:jc w:val="right"/>
        </w:trPr>
        <w:tc>
          <w:tcPr>
            <w:tcW w:w="5270" w:type="dxa"/>
            <w:tcBorders>
              <w:top w:val="nil"/>
              <w:left w:val="nil"/>
              <w:bottom w:val="nil"/>
              <w:right w:val="nil"/>
            </w:tcBorders>
            <w:noWrap/>
            <w:vAlign w:val="bottom"/>
            <w:hideMark/>
          </w:tcPr>
          <w:p w14:paraId="08363FF2" w14:textId="77777777" w:rsidR="000825BD" w:rsidRPr="00F246F3" w:rsidRDefault="000825BD" w:rsidP="008F5308">
            <w:pPr>
              <w:spacing w:after="0" w:line="240" w:lineRule="auto"/>
              <w:ind w:left="-70" w:right="22"/>
              <w:rPr>
                <w:rFonts w:ascii="Arial" w:eastAsia="Times New Roman" w:hAnsi="Arial" w:cs="Arial"/>
                <w:i/>
                <w:iCs/>
                <w:color w:val="000000"/>
                <w:sz w:val="20"/>
                <w:szCs w:val="20"/>
                <w:u w:val="single"/>
                <w:lang w:val="es-MX" w:eastAsia="es-MX"/>
              </w:rPr>
            </w:pPr>
            <w:r w:rsidRPr="00F246F3">
              <w:rPr>
                <w:rFonts w:ascii="Arial" w:eastAsia="Times New Roman" w:hAnsi="Arial" w:cs="Arial"/>
                <w:i/>
                <w:iCs/>
                <w:color w:val="000000"/>
                <w:sz w:val="20"/>
                <w:szCs w:val="20"/>
                <w:u w:val="single"/>
                <w:lang w:val="es-MX" w:eastAsia="es-MX"/>
              </w:rPr>
              <w:lastRenderedPageBreak/>
              <w:t>Clasificación:</w:t>
            </w:r>
          </w:p>
        </w:tc>
        <w:tc>
          <w:tcPr>
            <w:tcW w:w="1530" w:type="dxa"/>
            <w:tcBorders>
              <w:top w:val="nil"/>
              <w:left w:val="nil"/>
              <w:bottom w:val="single" w:sz="8" w:space="0" w:color="auto"/>
              <w:right w:val="nil"/>
            </w:tcBorders>
            <w:noWrap/>
            <w:vAlign w:val="bottom"/>
          </w:tcPr>
          <w:p w14:paraId="243FE4BB" w14:textId="72A4FC6E" w:rsidR="000825BD" w:rsidRPr="0074154F" w:rsidRDefault="001B26A3" w:rsidP="0068674B">
            <w:pPr>
              <w:spacing w:after="0" w:line="240" w:lineRule="auto"/>
              <w:ind w:right="22"/>
              <w:jc w:val="right"/>
              <w:rPr>
                <w:rFonts w:ascii="Arial" w:eastAsia="Times New Roman" w:hAnsi="Arial" w:cs="Arial"/>
                <w:b/>
                <w:bCs/>
                <w:color w:val="000000"/>
                <w:sz w:val="20"/>
                <w:szCs w:val="20"/>
                <w:lang w:eastAsia="es-EC"/>
              </w:rPr>
            </w:pPr>
            <w:r>
              <w:rPr>
                <w:rFonts w:ascii="Arial" w:eastAsia="Times New Roman" w:hAnsi="Arial" w:cs="Arial"/>
                <w:b/>
                <w:bCs/>
                <w:color w:val="000000"/>
                <w:sz w:val="20"/>
                <w:szCs w:val="20"/>
                <w:lang w:eastAsia="es-EC"/>
              </w:rPr>
              <w:t>31/12/</w:t>
            </w:r>
            <w:r w:rsidR="0068674B" w:rsidRPr="0074154F">
              <w:rPr>
                <w:rFonts w:ascii="Arial" w:eastAsia="Times New Roman" w:hAnsi="Arial" w:cs="Arial"/>
                <w:b/>
                <w:bCs/>
                <w:color w:val="000000"/>
                <w:sz w:val="20"/>
                <w:szCs w:val="20"/>
                <w:lang w:eastAsia="es-EC"/>
              </w:rPr>
              <w:t>2020</w:t>
            </w:r>
          </w:p>
        </w:tc>
        <w:tc>
          <w:tcPr>
            <w:tcW w:w="230" w:type="dxa"/>
            <w:tcBorders>
              <w:top w:val="nil"/>
              <w:left w:val="nil"/>
              <w:bottom w:val="nil"/>
              <w:right w:val="nil"/>
            </w:tcBorders>
          </w:tcPr>
          <w:p w14:paraId="4236AE27" w14:textId="77777777" w:rsidR="000825BD" w:rsidRPr="0074154F" w:rsidRDefault="000825BD" w:rsidP="008F5308">
            <w:pPr>
              <w:spacing w:after="0" w:line="240" w:lineRule="auto"/>
              <w:ind w:right="22"/>
              <w:rPr>
                <w:rFonts w:ascii="Arial" w:eastAsia="Times New Roman" w:hAnsi="Arial" w:cs="Arial"/>
                <w:color w:val="000000"/>
                <w:sz w:val="20"/>
                <w:szCs w:val="20"/>
                <w:lang w:eastAsia="es-EC"/>
              </w:rPr>
            </w:pPr>
          </w:p>
        </w:tc>
        <w:tc>
          <w:tcPr>
            <w:tcW w:w="1462" w:type="dxa"/>
            <w:tcBorders>
              <w:top w:val="nil"/>
              <w:left w:val="nil"/>
              <w:bottom w:val="single" w:sz="8" w:space="0" w:color="auto"/>
              <w:right w:val="nil"/>
            </w:tcBorders>
            <w:vAlign w:val="bottom"/>
          </w:tcPr>
          <w:p w14:paraId="46C3EE4D" w14:textId="7ED51BC5" w:rsidR="000825BD" w:rsidRPr="0074154F" w:rsidRDefault="001B26A3" w:rsidP="0068674B">
            <w:pPr>
              <w:spacing w:after="0" w:line="240" w:lineRule="auto"/>
              <w:ind w:right="22"/>
              <w:jc w:val="right"/>
              <w:rPr>
                <w:rFonts w:ascii="Arial" w:eastAsia="Times New Roman" w:hAnsi="Arial" w:cs="Arial"/>
                <w:color w:val="000000"/>
                <w:sz w:val="20"/>
                <w:szCs w:val="20"/>
                <w:lang w:eastAsia="es-EC"/>
              </w:rPr>
            </w:pPr>
            <w:r>
              <w:rPr>
                <w:rFonts w:ascii="Arial" w:eastAsia="Times New Roman" w:hAnsi="Arial" w:cs="Arial"/>
                <w:b/>
                <w:bCs/>
                <w:color w:val="000000"/>
                <w:sz w:val="20"/>
                <w:szCs w:val="20"/>
                <w:lang w:eastAsia="es-EC"/>
              </w:rPr>
              <w:t>31/12/</w:t>
            </w:r>
            <w:r w:rsidR="0068674B" w:rsidRPr="0074154F">
              <w:rPr>
                <w:rFonts w:ascii="Arial" w:eastAsia="Times New Roman" w:hAnsi="Arial" w:cs="Arial"/>
                <w:b/>
                <w:bCs/>
                <w:color w:val="000000"/>
                <w:sz w:val="20"/>
                <w:szCs w:val="20"/>
                <w:lang w:eastAsia="es-EC"/>
              </w:rPr>
              <w:t>2019</w:t>
            </w:r>
          </w:p>
        </w:tc>
      </w:tr>
      <w:tr w:rsidR="000825BD" w:rsidRPr="0074154F" w14:paraId="454F5D6A" w14:textId="77777777" w:rsidTr="00D96B68">
        <w:trPr>
          <w:trHeight w:val="285"/>
          <w:jc w:val="right"/>
        </w:trPr>
        <w:tc>
          <w:tcPr>
            <w:tcW w:w="5270" w:type="dxa"/>
            <w:tcBorders>
              <w:top w:val="nil"/>
              <w:left w:val="nil"/>
              <w:bottom w:val="nil"/>
              <w:right w:val="nil"/>
            </w:tcBorders>
            <w:noWrap/>
            <w:vAlign w:val="bottom"/>
            <w:hideMark/>
          </w:tcPr>
          <w:p w14:paraId="5A87EF42"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Corriente</w:t>
            </w:r>
          </w:p>
        </w:tc>
        <w:tc>
          <w:tcPr>
            <w:tcW w:w="1530" w:type="dxa"/>
            <w:tcBorders>
              <w:top w:val="single" w:sz="8" w:space="0" w:color="auto"/>
              <w:left w:val="nil"/>
              <w:bottom w:val="nil"/>
              <w:right w:val="nil"/>
            </w:tcBorders>
            <w:noWrap/>
            <w:vAlign w:val="bottom"/>
          </w:tcPr>
          <w:p w14:paraId="2BF2A4AC" w14:textId="35E4DDDB"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2,486,092</w:t>
            </w:r>
          </w:p>
        </w:tc>
        <w:tc>
          <w:tcPr>
            <w:tcW w:w="230" w:type="dxa"/>
            <w:tcBorders>
              <w:top w:val="nil"/>
              <w:left w:val="nil"/>
              <w:bottom w:val="nil"/>
              <w:right w:val="nil"/>
            </w:tcBorders>
            <w:vAlign w:val="bottom"/>
          </w:tcPr>
          <w:p w14:paraId="16A43154"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c>
          <w:tcPr>
            <w:tcW w:w="1462" w:type="dxa"/>
            <w:tcBorders>
              <w:top w:val="single" w:sz="8" w:space="0" w:color="auto"/>
              <w:left w:val="nil"/>
              <w:bottom w:val="nil"/>
              <w:right w:val="nil"/>
            </w:tcBorders>
            <w:vAlign w:val="bottom"/>
          </w:tcPr>
          <w:p w14:paraId="34052B00" w14:textId="534C26D2"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2,219,217</w:t>
            </w:r>
          </w:p>
        </w:tc>
      </w:tr>
      <w:tr w:rsidR="000825BD" w:rsidRPr="0074154F" w14:paraId="1B9B104B" w14:textId="77777777" w:rsidTr="00D96B68">
        <w:trPr>
          <w:trHeight w:val="285"/>
          <w:jc w:val="right"/>
        </w:trPr>
        <w:tc>
          <w:tcPr>
            <w:tcW w:w="5270" w:type="dxa"/>
            <w:tcBorders>
              <w:top w:val="nil"/>
              <w:left w:val="nil"/>
              <w:bottom w:val="nil"/>
              <w:right w:val="nil"/>
            </w:tcBorders>
            <w:noWrap/>
            <w:vAlign w:val="bottom"/>
            <w:hideMark/>
          </w:tcPr>
          <w:p w14:paraId="10BF911D"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No corriente</w:t>
            </w:r>
          </w:p>
        </w:tc>
        <w:tc>
          <w:tcPr>
            <w:tcW w:w="1530" w:type="dxa"/>
            <w:tcBorders>
              <w:top w:val="nil"/>
              <w:left w:val="nil"/>
              <w:bottom w:val="single" w:sz="6" w:space="0" w:color="auto"/>
              <w:right w:val="nil"/>
            </w:tcBorders>
            <w:noWrap/>
            <w:vAlign w:val="bottom"/>
          </w:tcPr>
          <w:p w14:paraId="202EC4B4" w14:textId="1AABD86E"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3,687,846</w:t>
            </w:r>
          </w:p>
        </w:tc>
        <w:tc>
          <w:tcPr>
            <w:tcW w:w="230" w:type="dxa"/>
            <w:tcBorders>
              <w:top w:val="nil"/>
              <w:left w:val="nil"/>
              <w:bottom w:val="nil"/>
              <w:right w:val="nil"/>
            </w:tcBorders>
          </w:tcPr>
          <w:p w14:paraId="3D3CE596"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c>
          <w:tcPr>
            <w:tcW w:w="1462" w:type="dxa"/>
            <w:tcBorders>
              <w:top w:val="nil"/>
              <w:left w:val="nil"/>
              <w:bottom w:val="single" w:sz="6" w:space="0" w:color="auto"/>
              <w:right w:val="nil"/>
            </w:tcBorders>
            <w:vAlign w:val="bottom"/>
          </w:tcPr>
          <w:p w14:paraId="64408E2C" w14:textId="029EEDD8"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3,724,199</w:t>
            </w:r>
          </w:p>
        </w:tc>
      </w:tr>
      <w:tr w:rsidR="000825BD" w:rsidRPr="0074154F" w14:paraId="1F2EAFC6" w14:textId="77777777" w:rsidTr="00D96B68">
        <w:trPr>
          <w:trHeight w:val="285"/>
          <w:jc w:val="right"/>
        </w:trPr>
        <w:tc>
          <w:tcPr>
            <w:tcW w:w="5270" w:type="dxa"/>
            <w:tcBorders>
              <w:top w:val="nil"/>
              <w:left w:val="nil"/>
              <w:bottom w:val="nil"/>
              <w:right w:val="nil"/>
            </w:tcBorders>
            <w:noWrap/>
            <w:vAlign w:val="bottom"/>
          </w:tcPr>
          <w:p w14:paraId="26CCCCB6"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p>
        </w:tc>
        <w:tc>
          <w:tcPr>
            <w:tcW w:w="1530" w:type="dxa"/>
            <w:tcBorders>
              <w:top w:val="single" w:sz="6" w:space="0" w:color="auto"/>
              <w:left w:val="nil"/>
              <w:bottom w:val="nil"/>
              <w:right w:val="nil"/>
            </w:tcBorders>
            <w:noWrap/>
            <w:vAlign w:val="bottom"/>
          </w:tcPr>
          <w:p w14:paraId="19D63630"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c>
          <w:tcPr>
            <w:tcW w:w="230" w:type="dxa"/>
            <w:tcBorders>
              <w:top w:val="nil"/>
              <w:left w:val="nil"/>
              <w:bottom w:val="nil"/>
              <w:right w:val="nil"/>
            </w:tcBorders>
          </w:tcPr>
          <w:p w14:paraId="49E9A1A2"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c>
          <w:tcPr>
            <w:tcW w:w="1462" w:type="dxa"/>
            <w:tcBorders>
              <w:top w:val="single" w:sz="6" w:space="0" w:color="auto"/>
              <w:left w:val="nil"/>
              <w:bottom w:val="nil"/>
              <w:right w:val="nil"/>
            </w:tcBorders>
          </w:tcPr>
          <w:p w14:paraId="22EAA7A8"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r>
      <w:tr w:rsidR="000825BD" w:rsidRPr="0074154F" w14:paraId="1F991313" w14:textId="77777777" w:rsidTr="00D96B68">
        <w:trPr>
          <w:trHeight w:val="285"/>
          <w:jc w:val="right"/>
        </w:trPr>
        <w:tc>
          <w:tcPr>
            <w:tcW w:w="5270" w:type="dxa"/>
            <w:tcBorders>
              <w:top w:val="nil"/>
              <w:left w:val="nil"/>
              <w:bottom w:val="nil"/>
              <w:right w:val="nil"/>
            </w:tcBorders>
            <w:noWrap/>
            <w:vAlign w:val="bottom"/>
            <w:hideMark/>
          </w:tcPr>
          <w:p w14:paraId="5D1A0D4E" w14:textId="77777777" w:rsidR="000825BD" w:rsidRPr="0074154F" w:rsidRDefault="000825BD" w:rsidP="008F5308">
            <w:pPr>
              <w:spacing w:after="0" w:line="240" w:lineRule="auto"/>
              <w:ind w:left="-70" w:right="2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Total</w:t>
            </w:r>
          </w:p>
        </w:tc>
        <w:tc>
          <w:tcPr>
            <w:tcW w:w="1530" w:type="dxa"/>
            <w:tcBorders>
              <w:top w:val="nil"/>
              <w:left w:val="nil"/>
              <w:bottom w:val="double" w:sz="4" w:space="0" w:color="auto"/>
              <w:right w:val="nil"/>
            </w:tcBorders>
            <w:noWrap/>
            <w:vAlign w:val="bottom"/>
          </w:tcPr>
          <w:p w14:paraId="4B7D4306" w14:textId="414A7274"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6,173,938</w:t>
            </w:r>
          </w:p>
        </w:tc>
        <w:tc>
          <w:tcPr>
            <w:tcW w:w="230" w:type="dxa"/>
            <w:tcBorders>
              <w:top w:val="nil"/>
              <w:left w:val="nil"/>
              <w:bottom w:val="nil"/>
              <w:right w:val="nil"/>
            </w:tcBorders>
            <w:vAlign w:val="bottom"/>
          </w:tcPr>
          <w:p w14:paraId="1F812748" w14:textId="77777777" w:rsidR="000825BD" w:rsidRPr="0074154F" w:rsidRDefault="000825BD" w:rsidP="008F5308">
            <w:pPr>
              <w:tabs>
                <w:tab w:val="decimal" w:pos="1276"/>
              </w:tabs>
              <w:spacing w:after="0" w:line="240" w:lineRule="auto"/>
              <w:ind w:right="22"/>
              <w:jc w:val="right"/>
              <w:rPr>
                <w:rFonts w:ascii="Arial" w:eastAsia="Times New Roman" w:hAnsi="Arial" w:cs="Arial"/>
                <w:sz w:val="20"/>
                <w:szCs w:val="20"/>
                <w:lang w:eastAsia="es-EC"/>
              </w:rPr>
            </w:pPr>
          </w:p>
        </w:tc>
        <w:tc>
          <w:tcPr>
            <w:tcW w:w="1462" w:type="dxa"/>
            <w:tcBorders>
              <w:top w:val="nil"/>
              <w:left w:val="nil"/>
              <w:bottom w:val="double" w:sz="4" w:space="0" w:color="auto"/>
              <w:right w:val="nil"/>
            </w:tcBorders>
            <w:vAlign w:val="bottom"/>
          </w:tcPr>
          <w:p w14:paraId="38CCB06D" w14:textId="2482A705" w:rsidR="000825BD" w:rsidRPr="0074154F" w:rsidRDefault="005E11B2" w:rsidP="008F5308">
            <w:pPr>
              <w:tabs>
                <w:tab w:val="decimal" w:pos="1276"/>
              </w:tabs>
              <w:spacing w:after="0" w:line="240" w:lineRule="auto"/>
              <w:ind w:right="22"/>
              <w:jc w:val="right"/>
              <w:rPr>
                <w:rFonts w:ascii="Arial" w:eastAsia="Times New Roman" w:hAnsi="Arial" w:cs="Arial"/>
                <w:sz w:val="20"/>
                <w:szCs w:val="20"/>
                <w:lang w:eastAsia="es-EC"/>
              </w:rPr>
            </w:pPr>
            <w:r>
              <w:rPr>
                <w:rFonts w:ascii="Arial" w:eastAsia="Times New Roman" w:hAnsi="Arial" w:cs="Arial"/>
                <w:sz w:val="20"/>
                <w:szCs w:val="20"/>
                <w:lang w:eastAsia="es-EC"/>
              </w:rPr>
              <w:t>5,943,416</w:t>
            </w:r>
          </w:p>
        </w:tc>
      </w:tr>
    </w:tbl>
    <w:p w14:paraId="4CFB0BBF" w14:textId="1CC395F6" w:rsidR="000825BD" w:rsidRPr="0074154F" w:rsidRDefault="000825BD" w:rsidP="00372BE9">
      <w:pPr>
        <w:pStyle w:val="ListParagraph"/>
        <w:tabs>
          <w:tab w:val="left" w:pos="1276"/>
        </w:tabs>
        <w:spacing w:after="0" w:line="240" w:lineRule="auto"/>
        <w:ind w:left="567" w:right="-1"/>
        <w:jc w:val="both"/>
        <w:rPr>
          <w:rFonts w:ascii="Arial" w:hAnsi="Arial" w:cs="Arial"/>
          <w:sz w:val="20"/>
          <w:szCs w:val="20"/>
        </w:rPr>
      </w:pPr>
    </w:p>
    <w:p w14:paraId="19711BD9" w14:textId="4AD596AA" w:rsidR="00D845E0" w:rsidRPr="0074154F" w:rsidRDefault="00D845E0" w:rsidP="00D845E0">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PRÉSTAMOS</w:t>
      </w:r>
    </w:p>
    <w:p w14:paraId="6414D9C7" w14:textId="765C87A3" w:rsidR="00D845E0" w:rsidRPr="0074154F" w:rsidRDefault="00D845E0" w:rsidP="00372BE9">
      <w:pPr>
        <w:pStyle w:val="ListParagraph"/>
        <w:tabs>
          <w:tab w:val="left" w:pos="1276"/>
        </w:tabs>
        <w:spacing w:after="0" w:line="240" w:lineRule="auto"/>
        <w:ind w:left="567" w:right="-1"/>
        <w:jc w:val="both"/>
        <w:rPr>
          <w:rFonts w:ascii="Arial" w:hAnsi="Arial" w:cs="Arial"/>
          <w:b/>
          <w:bCs/>
          <w:sz w:val="20"/>
          <w:szCs w:val="20"/>
        </w:rPr>
      </w:pPr>
    </w:p>
    <w:tbl>
      <w:tblPr>
        <w:tblW w:w="8494" w:type="dxa"/>
        <w:jc w:val="right"/>
        <w:tblCellMar>
          <w:left w:w="70" w:type="dxa"/>
          <w:right w:w="70" w:type="dxa"/>
        </w:tblCellMar>
        <w:tblLook w:val="04A0" w:firstRow="1" w:lastRow="0" w:firstColumn="1" w:lastColumn="0" w:noHBand="0" w:noVBand="1"/>
      </w:tblPr>
      <w:tblGrid>
        <w:gridCol w:w="3816"/>
        <w:gridCol w:w="801"/>
        <w:gridCol w:w="146"/>
        <w:gridCol w:w="2043"/>
        <w:gridCol w:w="221"/>
        <w:gridCol w:w="2043"/>
      </w:tblGrid>
      <w:tr w:rsidR="000422B8" w:rsidRPr="0074154F" w14:paraId="3CC4FA9C" w14:textId="77777777" w:rsidTr="003D7F8D">
        <w:trPr>
          <w:trHeight w:val="283"/>
          <w:jc w:val="right"/>
        </w:trPr>
        <w:tc>
          <w:tcPr>
            <w:tcW w:w="4111" w:type="dxa"/>
            <w:tcBorders>
              <w:top w:val="nil"/>
              <w:left w:val="nil"/>
              <w:bottom w:val="nil"/>
              <w:right w:val="nil"/>
            </w:tcBorders>
            <w:shd w:val="clear" w:color="auto" w:fill="auto"/>
            <w:noWrap/>
            <w:vAlign w:val="bottom"/>
            <w:hideMark/>
          </w:tcPr>
          <w:p w14:paraId="033BC01A" w14:textId="77777777" w:rsidR="00D845E0" w:rsidRPr="0074154F" w:rsidRDefault="00D845E0" w:rsidP="0035793D">
            <w:pPr>
              <w:spacing w:after="0" w:line="240" w:lineRule="auto"/>
              <w:ind w:left="-70"/>
              <w:rPr>
                <w:rFonts w:ascii="Arial" w:eastAsia="Times New Roman" w:hAnsi="Arial" w:cs="Arial"/>
                <w:color w:val="000000" w:themeColor="text1"/>
                <w:sz w:val="20"/>
                <w:szCs w:val="20"/>
                <w:u w:val="single"/>
                <w:lang w:eastAsia="es-EC"/>
              </w:rPr>
            </w:pPr>
          </w:p>
        </w:tc>
        <w:tc>
          <w:tcPr>
            <w:tcW w:w="992" w:type="dxa"/>
            <w:tcBorders>
              <w:top w:val="nil"/>
              <w:left w:val="nil"/>
              <w:bottom w:val="single" w:sz="8" w:space="0" w:color="auto"/>
              <w:right w:val="nil"/>
            </w:tcBorders>
          </w:tcPr>
          <w:p w14:paraId="7061E1BB" w14:textId="298DEC90" w:rsidR="00D845E0" w:rsidRPr="0074154F" w:rsidRDefault="00D845E0" w:rsidP="00D845E0">
            <w:pPr>
              <w:spacing w:after="0" w:line="240" w:lineRule="auto"/>
              <w:ind w:right="58"/>
              <w:jc w:val="center"/>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Tasa de interés</w:t>
            </w:r>
          </w:p>
        </w:tc>
        <w:tc>
          <w:tcPr>
            <w:tcW w:w="160" w:type="dxa"/>
            <w:tcBorders>
              <w:top w:val="nil"/>
              <w:left w:val="nil"/>
              <w:right w:val="nil"/>
            </w:tcBorders>
          </w:tcPr>
          <w:p w14:paraId="50CD3076" w14:textId="0953D6BE" w:rsidR="00D845E0" w:rsidRPr="0074154F" w:rsidRDefault="00D845E0" w:rsidP="0035793D">
            <w:pPr>
              <w:spacing w:after="0" w:line="240" w:lineRule="auto"/>
              <w:ind w:right="58"/>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64550D5" w14:textId="1B0CB01E" w:rsidR="00D845E0" w:rsidRPr="0074154F" w:rsidRDefault="00D845E0" w:rsidP="0035793D">
            <w:pPr>
              <w:spacing w:after="0" w:line="240" w:lineRule="auto"/>
              <w:ind w:right="58"/>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31/12/2020</w:t>
            </w:r>
          </w:p>
        </w:tc>
        <w:tc>
          <w:tcPr>
            <w:tcW w:w="227" w:type="dxa"/>
            <w:tcBorders>
              <w:top w:val="nil"/>
              <w:left w:val="nil"/>
              <w:bottom w:val="nil"/>
              <w:right w:val="nil"/>
            </w:tcBorders>
            <w:shd w:val="clear" w:color="auto" w:fill="auto"/>
            <w:noWrap/>
            <w:vAlign w:val="bottom"/>
            <w:hideMark/>
          </w:tcPr>
          <w:p w14:paraId="4C3AB560" w14:textId="77777777" w:rsidR="00D845E0" w:rsidRPr="0074154F" w:rsidRDefault="00D845E0" w:rsidP="0035793D">
            <w:pPr>
              <w:spacing w:after="0" w:line="240" w:lineRule="auto"/>
              <w:ind w:right="58"/>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034D04FC" w14:textId="77777777" w:rsidR="00D845E0" w:rsidRPr="0074154F" w:rsidRDefault="00D845E0" w:rsidP="0035793D">
            <w:pPr>
              <w:spacing w:after="0" w:line="240" w:lineRule="auto"/>
              <w:ind w:right="58"/>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31/12/2019</w:t>
            </w:r>
          </w:p>
        </w:tc>
      </w:tr>
      <w:tr w:rsidR="000422B8" w:rsidRPr="0074154F" w14:paraId="47F35C38" w14:textId="77777777" w:rsidTr="00E535B2">
        <w:trPr>
          <w:trHeight w:val="309"/>
          <w:jc w:val="right"/>
        </w:trPr>
        <w:tc>
          <w:tcPr>
            <w:tcW w:w="4111" w:type="dxa"/>
            <w:tcBorders>
              <w:top w:val="nil"/>
              <w:left w:val="nil"/>
              <w:bottom w:val="nil"/>
              <w:right w:val="nil"/>
            </w:tcBorders>
            <w:shd w:val="clear" w:color="auto" w:fill="auto"/>
            <w:noWrap/>
            <w:vAlign w:val="bottom"/>
            <w:hideMark/>
          </w:tcPr>
          <w:p w14:paraId="6BCEFBF4" w14:textId="77777777" w:rsidR="00D845E0" w:rsidRPr="0074154F" w:rsidRDefault="00D845E0" w:rsidP="0035793D">
            <w:pPr>
              <w:spacing w:after="0" w:line="240" w:lineRule="auto"/>
              <w:ind w:left="-70"/>
              <w:rPr>
                <w:rFonts w:ascii="Arial" w:eastAsia="Times New Roman" w:hAnsi="Arial" w:cs="Arial"/>
                <w:color w:val="000000" w:themeColor="text1"/>
                <w:sz w:val="20"/>
                <w:szCs w:val="20"/>
                <w:u w:val="single"/>
                <w:lang w:eastAsia="es-EC"/>
              </w:rPr>
            </w:pPr>
          </w:p>
        </w:tc>
        <w:tc>
          <w:tcPr>
            <w:tcW w:w="992" w:type="dxa"/>
            <w:tcBorders>
              <w:top w:val="single" w:sz="8" w:space="0" w:color="auto"/>
              <w:left w:val="nil"/>
              <w:right w:val="nil"/>
            </w:tcBorders>
          </w:tcPr>
          <w:p w14:paraId="6C27C63D"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3A9B2DB2" w14:textId="761DB14D"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top w:val="single" w:sz="8" w:space="0" w:color="auto"/>
              <w:left w:val="nil"/>
              <w:right w:val="nil"/>
            </w:tcBorders>
            <w:shd w:val="clear" w:color="auto" w:fill="auto"/>
            <w:noWrap/>
            <w:vAlign w:val="bottom"/>
            <w:hideMark/>
          </w:tcPr>
          <w:p w14:paraId="7EA4A2D8" w14:textId="6AC8F63B"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227" w:type="dxa"/>
            <w:tcBorders>
              <w:top w:val="nil"/>
              <w:left w:val="nil"/>
              <w:right w:val="nil"/>
            </w:tcBorders>
            <w:shd w:val="clear" w:color="auto" w:fill="auto"/>
            <w:noWrap/>
            <w:vAlign w:val="bottom"/>
            <w:hideMark/>
          </w:tcPr>
          <w:p w14:paraId="0D082531"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top w:val="single" w:sz="8" w:space="0" w:color="auto"/>
              <w:left w:val="nil"/>
              <w:right w:val="nil"/>
            </w:tcBorders>
            <w:shd w:val="clear" w:color="auto" w:fill="auto"/>
            <w:noWrap/>
            <w:vAlign w:val="bottom"/>
            <w:hideMark/>
          </w:tcPr>
          <w:p w14:paraId="0C8791DC"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r>
      <w:tr w:rsidR="000422B8" w:rsidRPr="0074154F" w14:paraId="3BAAA25F" w14:textId="77777777" w:rsidTr="000928B8">
        <w:trPr>
          <w:trHeight w:val="138"/>
          <w:jc w:val="right"/>
        </w:trPr>
        <w:tc>
          <w:tcPr>
            <w:tcW w:w="4111" w:type="dxa"/>
            <w:tcBorders>
              <w:top w:val="nil"/>
              <w:left w:val="nil"/>
              <w:bottom w:val="nil"/>
              <w:right w:val="nil"/>
            </w:tcBorders>
            <w:shd w:val="clear" w:color="auto" w:fill="auto"/>
            <w:noWrap/>
            <w:vAlign w:val="bottom"/>
          </w:tcPr>
          <w:p w14:paraId="6E695605" w14:textId="547D1F67" w:rsidR="00D845E0" w:rsidRPr="0074154F" w:rsidRDefault="00D845E0" w:rsidP="0035793D">
            <w:pPr>
              <w:spacing w:after="0" w:line="240" w:lineRule="auto"/>
              <w:ind w:left="-70"/>
              <w:rPr>
                <w:rFonts w:ascii="Arial" w:eastAsia="Times New Roman" w:hAnsi="Arial" w:cs="Arial"/>
                <w:color w:val="000000" w:themeColor="text1"/>
                <w:sz w:val="20"/>
                <w:szCs w:val="20"/>
                <w:u w:val="single"/>
                <w:lang w:eastAsia="es-EC"/>
              </w:rPr>
            </w:pPr>
            <w:r w:rsidRPr="0074154F">
              <w:rPr>
                <w:rFonts w:ascii="Arial" w:eastAsia="Times New Roman" w:hAnsi="Arial" w:cs="Arial"/>
                <w:color w:val="000000" w:themeColor="text1"/>
                <w:sz w:val="20"/>
                <w:szCs w:val="20"/>
                <w:u w:val="single"/>
                <w:lang w:eastAsia="es-EC"/>
              </w:rPr>
              <w:t>Institución bancaria</w:t>
            </w:r>
          </w:p>
        </w:tc>
        <w:tc>
          <w:tcPr>
            <w:tcW w:w="992" w:type="dxa"/>
            <w:tcBorders>
              <w:left w:val="nil"/>
              <w:bottom w:val="nil"/>
              <w:right w:val="nil"/>
            </w:tcBorders>
          </w:tcPr>
          <w:p w14:paraId="3C651CDD"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60" w:type="dxa"/>
            <w:tcBorders>
              <w:left w:val="nil"/>
              <w:bottom w:val="nil"/>
              <w:right w:val="nil"/>
            </w:tcBorders>
          </w:tcPr>
          <w:p w14:paraId="7AC30850" w14:textId="4CED0852"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5A15FD91" w14:textId="6E34CDAB"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227" w:type="dxa"/>
            <w:tcBorders>
              <w:left w:val="nil"/>
              <w:bottom w:val="nil"/>
              <w:right w:val="nil"/>
            </w:tcBorders>
            <w:shd w:val="clear" w:color="auto" w:fill="auto"/>
            <w:noWrap/>
            <w:vAlign w:val="bottom"/>
          </w:tcPr>
          <w:p w14:paraId="18AD9858"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56BA1453"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r>
      <w:tr w:rsidR="000422B8" w:rsidRPr="0074154F" w14:paraId="0D1F36B8" w14:textId="77777777" w:rsidTr="007578C1">
        <w:trPr>
          <w:trHeight w:val="114"/>
          <w:jc w:val="right"/>
        </w:trPr>
        <w:tc>
          <w:tcPr>
            <w:tcW w:w="4111" w:type="dxa"/>
            <w:tcBorders>
              <w:top w:val="nil"/>
              <w:left w:val="nil"/>
              <w:bottom w:val="nil"/>
              <w:right w:val="nil"/>
            </w:tcBorders>
            <w:shd w:val="clear" w:color="auto" w:fill="auto"/>
            <w:noWrap/>
            <w:vAlign w:val="bottom"/>
          </w:tcPr>
          <w:p w14:paraId="5CF7E0AE" w14:textId="77777777" w:rsidR="00D845E0" w:rsidRPr="0074154F" w:rsidRDefault="00D845E0" w:rsidP="0035793D">
            <w:pPr>
              <w:spacing w:after="0" w:line="240" w:lineRule="auto"/>
              <w:ind w:left="-70"/>
              <w:rPr>
                <w:rFonts w:ascii="Arial" w:eastAsia="Times New Roman" w:hAnsi="Arial" w:cs="Arial"/>
                <w:color w:val="000000" w:themeColor="text1"/>
                <w:sz w:val="20"/>
                <w:szCs w:val="20"/>
                <w:u w:val="single"/>
                <w:lang w:eastAsia="es-EC"/>
              </w:rPr>
            </w:pPr>
          </w:p>
        </w:tc>
        <w:tc>
          <w:tcPr>
            <w:tcW w:w="992" w:type="dxa"/>
            <w:tcBorders>
              <w:left w:val="nil"/>
              <w:bottom w:val="nil"/>
              <w:right w:val="nil"/>
            </w:tcBorders>
          </w:tcPr>
          <w:p w14:paraId="4022AE23"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60" w:type="dxa"/>
            <w:tcBorders>
              <w:left w:val="nil"/>
              <w:bottom w:val="nil"/>
              <w:right w:val="nil"/>
            </w:tcBorders>
          </w:tcPr>
          <w:p w14:paraId="7E32D0EF" w14:textId="0E11136B"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2C735991" w14:textId="2722D42F"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227" w:type="dxa"/>
            <w:tcBorders>
              <w:left w:val="nil"/>
              <w:bottom w:val="nil"/>
              <w:right w:val="nil"/>
            </w:tcBorders>
            <w:shd w:val="clear" w:color="auto" w:fill="auto"/>
            <w:noWrap/>
            <w:vAlign w:val="bottom"/>
          </w:tcPr>
          <w:p w14:paraId="603FC7CC"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09E0B8D3" w14:textId="77777777" w:rsidR="00D845E0" w:rsidRPr="0074154F" w:rsidRDefault="00D845E0" w:rsidP="0035793D">
            <w:pPr>
              <w:spacing w:after="0" w:line="240" w:lineRule="auto"/>
              <w:rPr>
                <w:rFonts w:ascii="Arial" w:eastAsia="Times New Roman" w:hAnsi="Arial" w:cs="Arial"/>
                <w:color w:val="000000" w:themeColor="text1"/>
                <w:sz w:val="20"/>
                <w:szCs w:val="20"/>
                <w:lang w:eastAsia="es-EC"/>
              </w:rPr>
            </w:pPr>
          </w:p>
        </w:tc>
      </w:tr>
      <w:tr w:rsidR="00895D04" w:rsidRPr="0074154F" w14:paraId="09B4AA2F" w14:textId="77777777" w:rsidTr="0080416F">
        <w:trPr>
          <w:trHeight w:val="114"/>
          <w:jc w:val="right"/>
        </w:trPr>
        <w:tc>
          <w:tcPr>
            <w:tcW w:w="4111" w:type="dxa"/>
            <w:tcBorders>
              <w:top w:val="nil"/>
              <w:left w:val="nil"/>
              <w:bottom w:val="nil"/>
              <w:right w:val="nil"/>
            </w:tcBorders>
            <w:shd w:val="clear" w:color="auto" w:fill="auto"/>
            <w:noWrap/>
            <w:vAlign w:val="bottom"/>
          </w:tcPr>
          <w:p w14:paraId="5E6CA9DC" w14:textId="3E4D2650" w:rsidR="00895D04" w:rsidRPr="0074154F" w:rsidRDefault="00895D04" w:rsidP="00895D04">
            <w:pPr>
              <w:spacing w:after="0" w:line="240" w:lineRule="auto"/>
              <w:ind w:left="-70"/>
              <w:rPr>
                <w:rFonts w:ascii="Arial" w:eastAsia="Times New Roman" w:hAnsi="Arial" w:cs="Arial"/>
                <w:color w:val="000000" w:themeColor="text1"/>
                <w:sz w:val="20"/>
                <w:szCs w:val="20"/>
                <w:lang w:eastAsia="es-EC"/>
              </w:rPr>
            </w:pPr>
            <w:proofErr w:type="spellStart"/>
            <w:r w:rsidRPr="00D25C0B">
              <w:rPr>
                <w:rFonts w:ascii="Arial" w:eastAsia="Times New Roman" w:hAnsi="Arial" w:cs="Arial"/>
                <w:color w:val="000000" w:themeColor="text1"/>
                <w:sz w:val="20"/>
                <w:szCs w:val="20"/>
                <w:lang w:eastAsia="es-EC"/>
              </w:rPr>
              <w:t>Charleroi</w:t>
            </w:r>
            <w:proofErr w:type="spellEnd"/>
            <w:r w:rsidRPr="00D25C0B">
              <w:rPr>
                <w:rFonts w:ascii="Arial" w:eastAsia="Times New Roman" w:hAnsi="Arial" w:cs="Arial"/>
                <w:color w:val="000000" w:themeColor="text1"/>
                <w:sz w:val="20"/>
                <w:szCs w:val="20"/>
                <w:lang w:eastAsia="es-EC"/>
              </w:rPr>
              <w:t xml:space="preserve"> </w:t>
            </w:r>
            <w:proofErr w:type="spellStart"/>
            <w:r w:rsidRPr="00D25C0B">
              <w:rPr>
                <w:rFonts w:ascii="Arial" w:eastAsia="Times New Roman" w:hAnsi="Arial" w:cs="Arial"/>
                <w:color w:val="000000" w:themeColor="text1"/>
                <w:sz w:val="20"/>
                <w:szCs w:val="20"/>
                <w:lang w:eastAsia="es-EC"/>
              </w:rPr>
              <w:t>investments</w:t>
            </w:r>
            <w:proofErr w:type="spellEnd"/>
            <w:r w:rsidRPr="00D25C0B">
              <w:rPr>
                <w:rFonts w:ascii="Arial" w:eastAsia="Times New Roman" w:hAnsi="Arial" w:cs="Arial"/>
                <w:color w:val="000000" w:themeColor="text1"/>
                <w:sz w:val="20"/>
                <w:szCs w:val="20"/>
                <w:lang w:eastAsia="es-EC"/>
              </w:rPr>
              <w:t xml:space="preserve"> S.L.</w:t>
            </w:r>
          </w:p>
        </w:tc>
        <w:tc>
          <w:tcPr>
            <w:tcW w:w="992" w:type="dxa"/>
            <w:tcBorders>
              <w:left w:val="nil"/>
              <w:bottom w:val="nil"/>
              <w:right w:val="nil"/>
            </w:tcBorders>
            <w:vAlign w:val="bottom"/>
          </w:tcPr>
          <w:p w14:paraId="09BD33D8" w14:textId="30C3A6B3" w:rsidR="00895D04" w:rsidRPr="0074154F" w:rsidRDefault="00895D04" w:rsidP="00895D04">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4.00%</w:t>
            </w:r>
          </w:p>
        </w:tc>
        <w:tc>
          <w:tcPr>
            <w:tcW w:w="160" w:type="dxa"/>
            <w:tcBorders>
              <w:left w:val="nil"/>
              <w:bottom w:val="nil"/>
              <w:right w:val="nil"/>
            </w:tcBorders>
          </w:tcPr>
          <w:p w14:paraId="3A7A8D8E" w14:textId="77777777" w:rsidR="00895D04" w:rsidRPr="0074154F" w:rsidRDefault="00895D04" w:rsidP="00895D04">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0A95613F" w14:textId="72227E9E" w:rsidR="00895D04" w:rsidRPr="0074154F" w:rsidRDefault="00895D04" w:rsidP="00895D04">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2,230,000</w:t>
            </w:r>
          </w:p>
        </w:tc>
        <w:tc>
          <w:tcPr>
            <w:tcW w:w="227" w:type="dxa"/>
            <w:tcBorders>
              <w:left w:val="nil"/>
              <w:bottom w:val="nil"/>
              <w:right w:val="nil"/>
            </w:tcBorders>
            <w:shd w:val="clear" w:color="auto" w:fill="auto"/>
            <w:noWrap/>
            <w:vAlign w:val="bottom"/>
          </w:tcPr>
          <w:p w14:paraId="1FC06D81" w14:textId="77777777" w:rsidR="00895D04" w:rsidRPr="0074154F" w:rsidRDefault="00895D04" w:rsidP="00895D04">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3435A982" w14:textId="7EDB1124" w:rsidR="00895D04" w:rsidRPr="0074154F" w:rsidRDefault="00895D04" w:rsidP="00895D04">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2,230,000</w:t>
            </w:r>
          </w:p>
        </w:tc>
      </w:tr>
      <w:tr w:rsidR="00247926" w:rsidRPr="0074154F" w14:paraId="1D243DF3" w14:textId="77777777" w:rsidTr="0080416F">
        <w:trPr>
          <w:trHeight w:val="114"/>
          <w:jc w:val="right"/>
        </w:trPr>
        <w:tc>
          <w:tcPr>
            <w:tcW w:w="4111" w:type="dxa"/>
            <w:tcBorders>
              <w:top w:val="nil"/>
              <w:left w:val="nil"/>
              <w:bottom w:val="nil"/>
              <w:right w:val="nil"/>
            </w:tcBorders>
            <w:shd w:val="clear" w:color="auto" w:fill="auto"/>
            <w:noWrap/>
            <w:vAlign w:val="bottom"/>
          </w:tcPr>
          <w:p w14:paraId="3926B08E" w14:textId="310CAFF2" w:rsidR="00247926" w:rsidRPr="00D25C0B"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Banco del Austro S.A.</w:t>
            </w:r>
          </w:p>
        </w:tc>
        <w:tc>
          <w:tcPr>
            <w:tcW w:w="992" w:type="dxa"/>
            <w:tcBorders>
              <w:left w:val="nil"/>
              <w:bottom w:val="nil"/>
              <w:right w:val="nil"/>
            </w:tcBorders>
            <w:vAlign w:val="bottom"/>
          </w:tcPr>
          <w:p w14:paraId="1C4FF960" w14:textId="4EC69E52" w:rsidR="00247926" w:rsidRPr="00D25C0B" w:rsidRDefault="00247926" w:rsidP="00247926">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9.33%</w:t>
            </w:r>
          </w:p>
        </w:tc>
        <w:tc>
          <w:tcPr>
            <w:tcW w:w="160" w:type="dxa"/>
            <w:tcBorders>
              <w:left w:val="nil"/>
              <w:bottom w:val="nil"/>
              <w:right w:val="nil"/>
            </w:tcBorders>
          </w:tcPr>
          <w:p w14:paraId="431E9DC9"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0897ED8F" w14:textId="34B48D9A" w:rsidR="00247926" w:rsidRPr="00D25C0B" w:rsidRDefault="00247926" w:rsidP="00247926">
            <w:pPr>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2,160,624</w:t>
            </w:r>
          </w:p>
        </w:tc>
        <w:tc>
          <w:tcPr>
            <w:tcW w:w="227" w:type="dxa"/>
            <w:tcBorders>
              <w:left w:val="nil"/>
              <w:bottom w:val="nil"/>
              <w:right w:val="nil"/>
            </w:tcBorders>
            <w:shd w:val="clear" w:color="auto" w:fill="auto"/>
            <w:noWrap/>
            <w:vAlign w:val="bottom"/>
          </w:tcPr>
          <w:p w14:paraId="478129A4"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nil"/>
              <w:right w:val="nil"/>
            </w:tcBorders>
            <w:shd w:val="clear" w:color="auto" w:fill="auto"/>
            <w:noWrap/>
            <w:vAlign w:val="bottom"/>
          </w:tcPr>
          <w:p w14:paraId="4127563D" w14:textId="0DA9104F" w:rsidR="00247926" w:rsidRPr="00D25C0B" w:rsidRDefault="00247926" w:rsidP="00247926">
            <w:pPr>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3,042,160</w:t>
            </w:r>
          </w:p>
        </w:tc>
      </w:tr>
      <w:tr w:rsidR="00247926" w:rsidRPr="0074154F" w14:paraId="164307AA" w14:textId="77777777" w:rsidTr="007B2F6D">
        <w:trPr>
          <w:trHeight w:val="283"/>
          <w:jc w:val="right"/>
        </w:trPr>
        <w:tc>
          <w:tcPr>
            <w:tcW w:w="4111" w:type="dxa"/>
            <w:tcBorders>
              <w:top w:val="nil"/>
              <w:left w:val="nil"/>
              <w:right w:val="nil"/>
            </w:tcBorders>
            <w:shd w:val="clear" w:color="auto" w:fill="auto"/>
            <w:noWrap/>
            <w:vAlign w:val="bottom"/>
          </w:tcPr>
          <w:p w14:paraId="5E25AC21" w14:textId="2EDED6AA"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 xml:space="preserve">Banco de Machala S.A. </w:t>
            </w:r>
          </w:p>
        </w:tc>
        <w:tc>
          <w:tcPr>
            <w:tcW w:w="992" w:type="dxa"/>
            <w:tcBorders>
              <w:top w:val="nil"/>
              <w:left w:val="nil"/>
              <w:right w:val="nil"/>
            </w:tcBorders>
            <w:vAlign w:val="bottom"/>
          </w:tcPr>
          <w:p w14:paraId="67A21302" w14:textId="1EC9C0A2" w:rsidR="00247926" w:rsidRPr="0074154F" w:rsidRDefault="00247926" w:rsidP="00247926">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8.95%</w:t>
            </w:r>
          </w:p>
        </w:tc>
        <w:tc>
          <w:tcPr>
            <w:tcW w:w="160" w:type="dxa"/>
            <w:tcBorders>
              <w:top w:val="nil"/>
              <w:left w:val="nil"/>
              <w:right w:val="nil"/>
            </w:tcBorders>
          </w:tcPr>
          <w:p w14:paraId="0253D1BE" w14:textId="0D7F4C62"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66495B62" w14:textId="56A33978"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1,435,000</w:t>
            </w:r>
          </w:p>
        </w:tc>
        <w:tc>
          <w:tcPr>
            <w:tcW w:w="227" w:type="dxa"/>
            <w:tcBorders>
              <w:top w:val="nil"/>
              <w:left w:val="nil"/>
              <w:right w:val="nil"/>
            </w:tcBorders>
            <w:shd w:val="clear" w:color="auto" w:fill="auto"/>
            <w:noWrap/>
            <w:vAlign w:val="bottom"/>
          </w:tcPr>
          <w:p w14:paraId="27439FEF"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685B6BCA" w14:textId="1614C28B"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1,492,970</w:t>
            </w:r>
          </w:p>
        </w:tc>
      </w:tr>
      <w:tr w:rsidR="00247926" w:rsidRPr="0074154F" w14:paraId="775EE317" w14:textId="77777777" w:rsidTr="000928B8">
        <w:trPr>
          <w:trHeight w:val="283"/>
          <w:jc w:val="right"/>
        </w:trPr>
        <w:tc>
          <w:tcPr>
            <w:tcW w:w="4111" w:type="dxa"/>
            <w:tcBorders>
              <w:top w:val="nil"/>
              <w:left w:val="nil"/>
              <w:right w:val="nil"/>
            </w:tcBorders>
            <w:shd w:val="clear" w:color="auto" w:fill="auto"/>
            <w:noWrap/>
            <w:vAlign w:val="bottom"/>
          </w:tcPr>
          <w:p w14:paraId="45B020ED" w14:textId="5A494419"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Banco Amazonas S.A.</w:t>
            </w:r>
          </w:p>
        </w:tc>
        <w:tc>
          <w:tcPr>
            <w:tcW w:w="992" w:type="dxa"/>
            <w:tcBorders>
              <w:top w:val="nil"/>
              <w:left w:val="nil"/>
              <w:right w:val="nil"/>
            </w:tcBorders>
            <w:vAlign w:val="bottom"/>
          </w:tcPr>
          <w:p w14:paraId="10EC086E" w14:textId="209847D8" w:rsidR="00247926" w:rsidRPr="0074154F" w:rsidRDefault="00247926" w:rsidP="00247926">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11.23%</w:t>
            </w:r>
          </w:p>
        </w:tc>
        <w:tc>
          <w:tcPr>
            <w:tcW w:w="160" w:type="dxa"/>
            <w:tcBorders>
              <w:top w:val="nil"/>
              <w:left w:val="nil"/>
              <w:right w:val="nil"/>
            </w:tcBorders>
          </w:tcPr>
          <w:p w14:paraId="4A0C1FC1"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4E2B0701" w14:textId="2AA343F9"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1,255,233</w:t>
            </w:r>
          </w:p>
        </w:tc>
        <w:tc>
          <w:tcPr>
            <w:tcW w:w="227" w:type="dxa"/>
            <w:tcBorders>
              <w:top w:val="nil"/>
              <w:left w:val="nil"/>
              <w:right w:val="nil"/>
            </w:tcBorders>
            <w:shd w:val="clear" w:color="auto" w:fill="auto"/>
            <w:noWrap/>
            <w:vAlign w:val="bottom"/>
          </w:tcPr>
          <w:p w14:paraId="63B88DAC"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3A1FF74C" w14:textId="6AB05AC2"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212,724</w:t>
            </w:r>
          </w:p>
        </w:tc>
      </w:tr>
      <w:tr w:rsidR="00247926" w:rsidRPr="0074154F" w14:paraId="45A8D89B" w14:textId="77777777" w:rsidTr="000928B8">
        <w:trPr>
          <w:trHeight w:val="283"/>
          <w:jc w:val="right"/>
        </w:trPr>
        <w:tc>
          <w:tcPr>
            <w:tcW w:w="4111" w:type="dxa"/>
            <w:tcBorders>
              <w:top w:val="nil"/>
              <w:left w:val="nil"/>
              <w:right w:val="nil"/>
            </w:tcBorders>
            <w:shd w:val="clear" w:color="auto" w:fill="auto"/>
            <w:noWrap/>
            <w:vAlign w:val="bottom"/>
          </w:tcPr>
          <w:p w14:paraId="58B89ADE" w14:textId="52C8129E"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Banco del Pacífico S.A.</w:t>
            </w:r>
          </w:p>
        </w:tc>
        <w:tc>
          <w:tcPr>
            <w:tcW w:w="992" w:type="dxa"/>
            <w:tcBorders>
              <w:top w:val="nil"/>
              <w:left w:val="nil"/>
              <w:right w:val="nil"/>
            </w:tcBorders>
            <w:vAlign w:val="bottom"/>
          </w:tcPr>
          <w:p w14:paraId="3D1A1E33" w14:textId="07DEAAA7" w:rsidR="00247926" w:rsidRPr="0074154F" w:rsidRDefault="00247926" w:rsidP="00247926">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7.25%</w:t>
            </w:r>
          </w:p>
        </w:tc>
        <w:tc>
          <w:tcPr>
            <w:tcW w:w="160" w:type="dxa"/>
            <w:tcBorders>
              <w:top w:val="nil"/>
              <w:left w:val="nil"/>
              <w:right w:val="nil"/>
            </w:tcBorders>
          </w:tcPr>
          <w:p w14:paraId="2E05656B"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20107A03" w14:textId="7825CFB5"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1,209,628</w:t>
            </w:r>
          </w:p>
        </w:tc>
        <w:tc>
          <w:tcPr>
            <w:tcW w:w="227" w:type="dxa"/>
            <w:tcBorders>
              <w:top w:val="nil"/>
              <w:left w:val="nil"/>
              <w:right w:val="nil"/>
            </w:tcBorders>
            <w:shd w:val="clear" w:color="auto" w:fill="auto"/>
            <w:noWrap/>
            <w:vAlign w:val="bottom"/>
          </w:tcPr>
          <w:p w14:paraId="33258B26"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42580446" w14:textId="1AD09622"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2,871,015</w:t>
            </w:r>
          </w:p>
        </w:tc>
      </w:tr>
      <w:tr w:rsidR="00247926" w:rsidRPr="0074154F" w14:paraId="7FFD26B9" w14:textId="77777777" w:rsidTr="00E535B2">
        <w:trPr>
          <w:trHeight w:val="283"/>
          <w:jc w:val="right"/>
        </w:trPr>
        <w:tc>
          <w:tcPr>
            <w:tcW w:w="4111" w:type="dxa"/>
            <w:tcBorders>
              <w:top w:val="nil"/>
              <w:left w:val="nil"/>
              <w:right w:val="nil"/>
            </w:tcBorders>
            <w:shd w:val="clear" w:color="auto" w:fill="auto"/>
            <w:noWrap/>
            <w:vAlign w:val="bottom"/>
          </w:tcPr>
          <w:p w14:paraId="6E1306C6" w14:textId="74CE8129"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Banco de la Producción S.A. Produbanco</w:t>
            </w:r>
          </w:p>
        </w:tc>
        <w:tc>
          <w:tcPr>
            <w:tcW w:w="992" w:type="dxa"/>
            <w:tcBorders>
              <w:top w:val="nil"/>
              <w:left w:val="nil"/>
              <w:right w:val="nil"/>
            </w:tcBorders>
            <w:vAlign w:val="bottom"/>
          </w:tcPr>
          <w:p w14:paraId="6AF7C9DF" w14:textId="2F9BF098" w:rsidR="00247926" w:rsidRPr="0074154F" w:rsidRDefault="00247926" w:rsidP="00247926">
            <w:pPr>
              <w:spacing w:after="0" w:line="240" w:lineRule="auto"/>
              <w:jc w:val="center"/>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11.23%</w:t>
            </w:r>
          </w:p>
        </w:tc>
        <w:tc>
          <w:tcPr>
            <w:tcW w:w="160" w:type="dxa"/>
            <w:tcBorders>
              <w:top w:val="nil"/>
              <w:left w:val="nil"/>
              <w:right w:val="nil"/>
            </w:tcBorders>
          </w:tcPr>
          <w:p w14:paraId="3F08583D"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3E2DE91D" w14:textId="4FDCBCC5"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w:t>
            </w:r>
          </w:p>
        </w:tc>
        <w:tc>
          <w:tcPr>
            <w:tcW w:w="227" w:type="dxa"/>
            <w:tcBorders>
              <w:left w:val="nil"/>
              <w:right w:val="nil"/>
            </w:tcBorders>
            <w:shd w:val="clear" w:color="auto" w:fill="auto"/>
            <w:noWrap/>
            <w:vAlign w:val="bottom"/>
          </w:tcPr>
          <w:p w14:paraId="0254C5EC"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9398DAF" w14:textId="3548C8D7"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35,620</w:t>
            </w:r>
          </w:p>
        </w:tc>
      </w:tr>
      <w:tr w:rsidR="00247926" w:rsidRPr="0074154F" w14:paraId="513E15B9" w14:textId="77777777" w:rsidTr="00E535B2">
        <w:trPr>
          <w:trHeight w:val="283"/>
          <w:jc w:val="right"/>
        </w:trPr>
        <w:tc>
          <w:tcPr>
            <w:tcW w:w="4111" w:type="dxa"/>
            <w:tcBorders>
              <w:top w:val="nil"/>
              <w:left w:val="nil"/>
              <w:right w:val="nil"/>
            </w:tcBorders>
            <w:shd w:val="clear" w:color="auto" w:fill="auto"/>
            <w:noWrap/>
            <w:vAlign w:val="bottom"/>
          </w:tcPr>
          <w:p w14:paraId="203752A6" w14:textId="715F9310"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eastAsia="es-EC"/>
              </w:rPr>
              <w:t>Sobre giro bancario</w:t>
            </w:r>
          </w:p>
        </w:tc>
        <w:tc>
          <w:tcPr>
            <w:tcW w:w="992" w:type="dxa"/>
            <w:tcBorders>
              <w:top w:val="nil"/>
              <w:left w:val="nil"/>
              <w:right w:val="nil"/>
            </w:tcBorders>
          </w:tcPr>
          <w:p w14:paraId="056A5D56" w14:textId="7A99BE1A" w:rsidR="00247926" w:rsidRPr="0074154F" w:rsidRDefault="00247926" w:rsidP="00247926">
            <w:pPr>
              <w:spacing w:after="0" w:line="240" w:lineRule="auto"/>
              <w:jc w:val="center"/>
              <w:rPr>
                <w:rFonts w:ascii="Arial" w:eastAsia="Times New Roman" w:hAnsi="Arial" w:cs="Arial"/>
                <w:color w:val="000000" w:themeColor="text1"/>
                <w:sz w:val="20"/>
                <w:szCs w:val="20"/>
                <w:lang w:eastAsia="es-EC"/>
              </w:rPr>
            </w:pPr>
          </w:p>
        </w:tc>
        <w:tc>
          <w:tcPr>
            <w:tcW w:w="160" w:type="dxa"/>
            <w:tcBorders>
              <w:top w:val="nil"/>
              <w:left w:val="nil"/>
              <w:right w:val="nil"/>
            </w:tcBorders>
          </w:tcPr>
          <w:p w14:paraId="5C8B541A"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left w:val="nil"/>
              <w:bottom w:val="single" w:sz="6" w:space="0" w:color="auto"/>
              <w:right w:val="nil"/>
            </w:tcBorders>
            <w:shd w:val="clear" w:color="auto" w:fill="auto"/>
            <w:noWrap/>
            <w:vAlign w:val="bottom"/>
          </w:tcPr>
          <w:p w14:paraId="68265B8F" w14:textId="763228D8"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w:t>
            </w:r>
          </w:p>
        </w:tc>
        <w:tc>
          <w:tcPr>
            <w:tcW w:w="227" w:type="dxa"/>
            <w:tcBorders>
              <w:left w:val="nil"/>
              <w:right w:val="nil"/>
            </w:tcBorders>
            <w:shd w:val="clear" w:color="auto" w:fill="auto"/>
            <w:noWrap/>
            <w:vAlign w:val="bottom"/>
          </w:tcPr>
          <w:p w14:paraId="22936F4B"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single" w:sz="6" w:space="0" w:color="auto"/>
              <w:right w:val="nil"/>
            </w:tcBorders>
            <w:shd w:val="clear" w:color="auto" w:fill="auto"/>
            <w:noWrap/>
            <w:vAlign w:val="bottom"/>
          </w:tcPr>
          <w:p w14:paraId="0D214AC5" w14:textId="418D1B01"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sz w:val="20"/>
                <w:szCs w:val="20"/>
                <w:lang w:val="es-MX" w:eastAsia="es-MX"/>
              </w:rPr>
              <w:t>50,776</w:t>
            </w:r>
          </w:p>
        </w:tc>
      </w:tr>
      <w:tr w:rsidR="00247926" w:rsidRPr="0074154F" w14:paraId="59F77CA3" w14:textId="77777777" w:rsidTr="00E535B2">
        <w:trPr>
          <w:trHeight w:val="243"/>
          <w:jc w:val="right"/>
        </w:trPr>
        <w:tc>
          <w:tcPr>
            <w:tcW w:w="4111" w:type="dxa"/>
            <w:tcBorders>
              <w:top w:val="nil"/>
              <w:left w:val="nil"/>
              <w:bottom w:val="nil"/>
              <w:right w:val="nil"/>
            </w:tcBorders>
            <w:shd w:val="clear" w:color="auto" w:fill="auto"/>
            <w:noWrap/>
            <w:vAlign w:val="bottom"/>
          </w:tcPr>
          <w:p w14:paraId="5AC29F25" w14:textId="77777777"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p>
        </w:tc>
        <w:tc>
          <w:tcPr>
            <w:tcW w:w="992" w:type="dxa"/>
            <w:tcBorders>
              <w:left w:val="nil"/>
              <w:right w:val="nil"/>
            </w:tcBorders>
          </w:tcPr>
          <w:p w14:paraId="18D6622E"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0FAC2CE9" w14:textId="06662CEE"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top w:val="single" w:sz="6" w:space="0" w:color="auto"/>
              <w:left w:val="nil"/>
              <w:right w:val="nil"/>
            </w:tcBorders>
            <w:shd w:val="clear" w:color="auto" w:fill="auto"/>
            <w:noWrap/>
            <w:vAlign w:val="bottom"/>
          </w:tcPr>
          <w:p w14:paraId="77602548" w14:textId="43A0ECE0"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3E832900"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single" w:sz="6" w:space="0" w:color="auto"/>
              <w:left w:val="nil"/>
              <w:right w:val="nil"/>
            </w:tcBorders>
            <w:shd w:val="clear" w:color="auto" w:fill="auto"/>
            <w:noWrap/>
            <w:vAlign w:val="bottom"/>
          </w:tcPr>
          <w:p w14:paraId="48C8C9EE" w14:textId="77777777"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p>
        </w:tc>
      </w:tr>
      <w:tr w:rsidR="00247926" w:rsidRPr="0074154F" w14:paraId="042E721B" w14:textId="77777777" w:rsidTr="003D7F8D">
        <w:trPr>
          <w:trHeight w:val="283"/>
          <w:jc w:val="right"/>
        </w:trPr>
        <w:tc>
          <w:tcPr>
            <w:tcW w:w="4111" w:type="dxa"/>
            <w:tcBorders>
              <w:top w:val="nil"/>
              <w:left w:val="nil"/>
              <w:bottom w:val="nil"/>
              <w:right w:val="nil"/>
            </w:tcBorders>
            <w:shd w:val="clear" w:color="auto" w:fill="auto"/>
            <w:noWrap/>
            <w:vAlign w:val="bottom"/>
          </w:tcPr>
          <w:p w14:paraId="06755681" w14:textId="1994603C" w:rsidR="00247926" w:rsidRPr="0074154F" w:rsidRDefault="00247926" w:rsidP="00247926">
            <w:pPr>
              <w:spacing w:after="0" w:line="240" w:lineRule="auto"/>
              <w:ind w:left="-70"/>
              <w:rPr>
                <w:rFonts w:ascii="Arial" w:eastAsia="Times New Roman" w:hAnsi="Arial" w:cs="Arial"/>
                <w:color w:val="000000" w:themeColor="text1"/>
                <w:sz w:val="20"/>
                <w:szCs w:val="20"/>
                <w:lang w:eastAsia="es-EC"/>
              </w:rPr>
            </w:pPr>
            <w:r w:rsidRPr="00D25C0B">
              <w:rPr>
                <w:rFonts w:ascii="Arial" w:eastAsia="Times New Roman" w:hAnsi="Arial" w:cs="Arial"/>
                <w:color w:val="000000" w:themeColor="text1"/>
                <w:sz w:val="20"/>
                <w:szCs w:val="20"/>
                <w:lang w:val="es-MX" w:eastAsia="es-MX"/>
              </w:rPr>
              <w:t>Total</w:t>
            </w:r>
          </w:p>
        </w:tc>
        <w:tc>
          <w:tcPr>
            <w:tcW w:w="992" w:type="dxa"/>
            <w:tcBorders>
              <w:left w:val="nil"/>
              <w:right w:val="nil"/>
            </w:tcBorders>
          </w:tcPr>
          <w:p w14:paraId="42D8DA49" w14:textId="77777777"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4EE361BF" w14:textId="73814FA1" w:rsidR="00247926" w:rsidRPr="0074154F" w:rsidRDefault="00247926" w:rsidP="00247926">
            <w:pPr>
              <w:tabs>
                <w:tab w:val="decimal" w:pos="1276"/>
              </w:tabs>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5E844BCF" w14:textId="71456DD7"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sz w:val="20"/>
                <w:szCs w:val="20"/>
                <w:lang w:val="es-MX" w:eastAsia="es-MX"/>
              </w:rPr>
              <w:t>8</w:t>
            </w:r>
            <w:r w:rsidRPr="00D25C0B">
              <w:rPr>
                <w:rFonts w:ascii="Arial" w:eastAsia="Times New Roman" w:hAnsi="Arial" w:cs="Arial"/>
                <w:color w:val="000000"/>
                <w:sz w:val="20"/>
                <w:szCs w:val="20"/>
                <w:lang w:val="es-MX" w:eastAsia="es-MX"/>
              </w:rPr>
              <w:t>,</w:t>
            </w:r>
            <w:r>
              <w:rPr>
                <w:rFonts w:ascii="Arial" w:eastAsia="Times New Roman" w:hAnsi="Arial" w:cs="Arial"/>
                <w:color w:val="000000"/>
                <w:sz w:val="20"/>
                <w:szCs w:val="20"/>
                <w:lang w:val="es-MX" w:eastAsia="es-MX"/>
              </w:rPr>
              <w:t>290</w:t>
            </w:r>
            <w:r w:rsidRPr="00D25C0B">
              <w:rPr>
                <w:rFonts w:ascii="Arial" w:eastAsia="Times New Roman" w:hAnsi="Arial" w:cs="Arial"/>
                <w:color w:val="000000"/>
                <w:sz w:val="20"/>
                <w:szCs w:val="20"/>
                <w:lang w:val="es-MX" w:eastAsia="es-MX"/>
              </w:rPr>
              <w:t>,4</w:t>
            </w:r>
            <w:r>
              <w:rPr>
                <w:rFonts w:ascii="Arial" w:eastAsia="Times New Roman" w:hAnsi="Arial" w:cs="Arial"/>
                <w:color w:val="000000"/>
                <w:sz w:val="20"/>
                <w:szCs w:val="20"/>
                <w:lang w:val="es-MX" w:eastAsia="es-MX"/>
              </w:rPr>
              <w:t>85</w:t>
            </w:r>
          </w:p>
        </w:tc>
        <w:tc>
          <w:tcPr>
            <w:tcW w:w="227" w:type="dxa"/>
            <w:tcBorders>
              <w:left w:val="nil"/>
              <w:right w:val="nil"/>
            </w:tcBorders>
            <w:shd w:val="clear" w:color="auto" w:fill="auto"/>
            <w:noWrap/>
            <w:vAlign w:val="bottom"/>
          </w:tcPr>
          <w:p w14:paraId="145D1FD7"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539B3433" w14:textId="65771F1A" w:rsidR="00247926" w:rsidRPr="0074154F" w:rsidRDefault="00247926" w:rsidP="00247926">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sz w:val="20"/>
                <w:szCs w:val="20"/>
                <w:lang w:val="es-MX" w:eastAsia="es-MX"/>
              </w:rPr>
              <w:t>9,935,265</w:t>
            </w:r>
          </w:p>
        </w:tc>
      </w:tr>
      <w:tr w:rsidR="00247926" w:rsidRPr="0074154F" w14:paraId="6A50F061" w14:textId="77777777" w:rsidTr="00E535B2">
        <w:trPr>
          <w:trHeight w:val="333"/>
          <w:jc w:val="right"/>
        </w:trPr>
        <w:tc>
          <w:tcPr>
            <w:tcW w:w="4111" w:type="dxa"/>
            <w:tcBorders>
              <w:top w:val="nil"/>
              <w:left w:val="nil"/>
              <w:bottom w:val="nil"/>
              <w:right w:val="nil"/>
            </w:tcBorders>
            <w:shd w:val="clear" w:color="auto" w:fill="auto"/>
            <w:noWrap/>
            <w:vAlign w:val="bottom"/>
          </w:tcPr>
          <w:p w14:paraId="04DC26AA" w14:textId="77777777"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p>
        </w:tc>
        <w:tc>
          <w:tcPr>
            <w:tcW w:w="992" w:type="dxa"/>
            <w:tcBorders>
              <w:left w:val="nil"/>
              <w:right w:val="nil"/>
            </w:tcBorders>
          </w:tcPr>
          <w:p w14:paraId="34A2B619"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51C763A5" w14:textId="143AF3AB"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0CC40BB9" w14:textId="0429C71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58026204"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6E771AED"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r>
      <w:tr w:rsidR="00247926" w:rsidRPr="0074154F" w14:paraId="13EEE100" w14:textId="77777777" w:rsidTr="00895D04">
        <w:trPr>
          <w:trHeight w:val="349"/>
          <w:jc w:val="right"/>
        </w:trPr>
        <w:tc>
          <w:tcPr>
            <w:tcW w:w="4111" w:type="dxa"/>
            <w:tcBorders>
              <w:top w:val="nil"/>
              <w:left w:val="nil"/>
              <w:bottom w:val="nil"/>
              <w:right w:val="nil"/>
            </w:tcBorders>
            <w:shd w:val="clear" w:color="auto" w:fill="auto"/>
            <w:noWrap/>
            <w:vAlign w:val="bottom"/>
          </w:tcPr>
          <w:p w14:paraId="175C047E" w14:textId="6EA3840E"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r w:rsidRPr="00D25C0B">
              <w:rPr>
                <w:rFonts w:ascii="Arial" w:eastAsia="Times New Roman" w:hAnsi="Arial" w:cs="Arial"/>
                <w:color w:val="000000" w:themeColor="text1"/>
                <w:sz w:val="20"/>
                <w:szCs w:val="20"/>
                <w:lang w:val="es-MX" w:eastAsia="es-MX"/>
              </w:rPr>
              <w:t xml:space="preserve">Intereses </w:t>
            </w:r>
            <w:r>
              <w:rPr>
                <w:rFonts w:ascii="Arial" w:eastAsia="Times New Roman" w:hAnsi="Arial" w:cs="Arial"/>
                <w:color w:val="000000" w:themeColor="text1"/>
                <w:sz w:val="20"/>
                <w:szCs w:val="20"/>
                <w:lang w:val="es-MX" w:eastAsia="es-MX"/>
              </w:rPr>
              <w:t>devengados y pendientes de pago</w:t>
            </w:r>
          </w:p>
        </w:tc>
        <w:tc>
          <w:tcPr>
            <w:tcW w:w="992" w:type="dxa"/>
            <w:tcBorders>
              <w:left w:val="nil"/>
              <w:right w:val="nil"/>
            </w:tcBorders>
          </w:tcPr>
          <w:p w14:paraId="40251EE7"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6B1F688B"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EFA9A87" w14:textId="4031E0DB"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1,034</w:t>
            </w:r>
          </w:p>
        </w:tc>
        <w:tc>
          <w:tcPr>
            <w:tcW w:w="227" w:type="dxa"/>
            <w:tcBorders>
              <w:left w:val="nil"/>
              <w:right w:val="nil"/>
            </w:tcBorders>
            <w:shd w:val="clear" w:color="auto" w:fill="auto"/>
            <w:noWrap/>
            <w:vAlign w:val="bottom"/>
          </w:tcPr>
          <w:p w14:paraId="5F06F499"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28E27D55" w14:textId="18E39928"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17,173</w:t>
            </w:r>
          </w:p>
        </w:tc>
      </w:tr>
      <w:tr w:rsidR="00247926" w:rsidRPr="0074154F" w14:paraId="32D9BCCE" w14:textId="77777777" w:rsidTr="000928B8">
        <w:trPr>
          <w:trHeight w:val="65"/>
          <w:jc w:val="right"/>
        </w:trPr>
        <w:tc>
          <w:tcPr>
            <w:tcW w:w="4111" w:type="dxa"/>
            <w:tcBorders>
              <w:top w:val="nil"/>
              <w:left w:val="nil"/>
              <w:bottom w:val="nil"/>
              <w:right w:val="nil"/>
            </w:tcBorders>
            <w:shd w:val="clear" w:color="auto" w:fill="auto"/>
            <w:noWrap/>
            <w:vAlign w:val="bottom"/>
          </w:tcPr>
          <w:p w14:paraId="0225DA58" w14:textId="77777777"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p>
        </w:tc>
        <w:tc>
          <w:tcPr>
            <w:tcW w:w="992" w:type="dxa"/>
            <w:tcBorders>
              <w:left w:val="nil"/>
              <w:right w:val="nil"/>
            </w:tcBorders>
          </w:tcPr>
          <w:p w14:paraId="013614ED"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12CD68FF"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6D41BF24"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0E4EC438"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7ECA52DC"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r>
      <w:tr w:rsidR="00247926" w:rsidRPr="0074154F" w14:paraId="62BA468C" w14:textId="77777777" w:rsidTr="00895D04">
        <w:trPr>
          <w:trHeight w:val="329"/>
          <w:jc w:val="right"/>
        </w:trPr>
        <w:tc>
          <w:tcPr>
            <w:tcW w:w="4111" w:type="dxa"/>
            <w:tcBorders>
              <w:top w:val="nil"/>
              <w:left w:val="nil"/>
              <w:bottom w:val="nil"/>
              <w:right w:val="nil"/>
            </w:tcBorders>
            <w:shd w:val="clear" w:color="auto" w:fill="auto"/>
            <w:noWrap/>
            <w:vAlign w:val="bottom"/>
          </w:tcPr>
          <w:p w14:paraId="3F620F5B" w14:textId="71730351"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r w:rsidRPr="00D25C0B">
              <w:rPr>
                <w:rFonts w:ascii="Arial" w:eastAsia="Times New Roman" w:hAnsi="Arial" w:cs="Arial"/>
                <w:color w:val="000000" w:themeColor="text1"/>
                <w:sz w:val="20"/>
                <w:szCs w:val="20"/>
                <w:lang w:val="es-MX" w:eastAsia="es-MX"/>
              </w:rPr>
              <w:t>Vencimientos corrientes</w:t>
            </w:r>
          </w:p>
        </w:tc>
        <w:tc>
          <w:tcPr>
            <w:tcW w:w="992" w:type="dxa"/>
            <w:tcBorders>
              <w:left w:val="nil"/>
              <w:right w:val="nil"/>
            </w:tcBorders>
          </w:tcPr>
          <w:p w14:paraId="2FF3EB67"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3B9AA3FD"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single" w:sz="4" w:space="0" w:color="auto"/>
              <w:right w:val="nil"/>
            </w:tcBorders>
            <w:shd w:val="clear" w:color="auto" w:fill="auto"/>
            <w:noWrap/>
            <w:vAlign w:val="bottom"/>
          </w:tcPr>
          <w:p w14:paraId="3691E505" w14:textId="35243CF1"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w:t>
            </w:r>
            <w:r>
              <w:rPr>
                <w:rFonts w:ascii="Arial" w:eastAsia="Times New Roman" w:hAnsi="Arial" w:cs="Arial"/>
                <w:color w:val="000000"/>
                <w:sz w:val="20"/>
                <w:szCs w:val="20"/>
                <w:lang w:val="es-MX" w:eastAsia="es-MX"/>
              </w:rPr>
              <w:t>5,559,832</w:t>
            </w:r>
            <w:r w:rsidRPr="00D25C0B">
              <w:rPr>
                <w:rFonts w:ascii="Arial" w:eastAsia="Times New Roman" w:hAnsi="Arial" w:cs="Arial"/>
                <w:color w:val="000000"/>
                <w:sz w:val="20"/>
                <w:szCs w:val="20"/>
                <w:lang w:val="es-MX" w:eastAsia="es-MX"/>
              </w:rPr>
              <w:t>)</w:t>
            </w:r>
          </w:p>
        </w:tc>
        <w:tc>
          <w:tcPr>
            <w:tcW w:w="227" w:type="dxa"/>
            <w:tcBorders>
              <w:left w:val="nil"/>
              <w:right w:val="nil"/>
            </w:tcBorders>
            <w:shd w:val="clear" w:color="auto" w:fill="auto"/>
            <w:noWrap/>
            <w:vAlign w:val="bottom"/>
          </w:tcPr>
          <w:p w14:paraId="160BCEEE"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single" w:sz="4" w:space="0" w:color="auto"/>
              <w:right w:val="nil"/>
            </w:tcBorders>
            <w:shd w:val="clear" w:color="auto" w:fill="auto"/>
            <w:noWrap/>
            <w:vAlign w:val="bottom"/>
          </w:tcPr>
          <w:p w14:paraId="5E0E3954" w14:textId="73EA4987"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w:t>
            </w:r>
            <w:r>
              <w:rPr>
                <w:rFonts w:ascii="Arial" w:eastAsia="Times New Roman" w:hAnsi="Arial" w:cs="Arial"/>
                <w:color w:val="000000"/>
                <w:sz w:val="20"/>
                <w:szCs w:val="20"/>
                <w:lang w:val="es-MX" w:eastAsia="es-MX"/>
              </w:rPr>
              <w:t>6,303,077</w:t>
            </w:r>
            <w:r w:rsidRPr="00D25C0B">
              <w:rPr>
                <w:rFonts w:ascii="Arial" w:eastAsia="Times New Roman" w:hAnsi="Arial" w:cs="Arial"/>
                <w:color w:val="000000"/>
                <w:sz w:val="20"/>
                <w:szCs w:val="20"/>
                <w:lang w:val="es-MX" w:eastAsia="es-MX"/>
              </w:rPr>
              <w:t>)</w:t>
            </w:r>
          </w:p>
        </w:tc>
      </w:tr>
      <w:tr w:rsidR="00247926" w:rsidRPr="0074154F" w14:paraId="6CA53722" w14:textId="77777777" w:rsidTr="003D7F8D">
        <w:trPr>
          <w:trHeight w:val="105"/>
          <w:jc w:val="right"/>
        </w:trPr>
        <w:tc>
          <w:tcPr>
            <w:tcW w:w="4111" w:type="dxa"/>
            <w:tcBorders>
              <w:top w:val="nil"/>
              <w:left w:val="nil"/>
              <w:bottom w:val="nil"/>
              <w:right w:val="nil"/>
            </w:tcBorders>
            <w:shd w:val="clear" w:color="auto" w:fill="auto"/>
            <w:noWrap/>
            <w:vAlign w:val="bottom"/>
          </w:tcPr>
          <w:p w14:paraId="45421DB4" w14:textId="77777777"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p>
        </w:tc>
        <w:tc>
          <w:tcPr>
            <w:tcW w:w="992" w:type="dxa"/>
            <w:tcBorders>
              <w:left w:val="nil"/>
              <w:right w:val="nil"/>
            </w:tcBorders>
          </w:tcPr>
          <w:p w14:paraId="147A5FD4"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35BB0EE6"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single" w:sz="4" w:space="0" w:color="auto"/>
              <w:left w:val="nil"/>
              <w:right w:val="nil"/>
            </w:tcBorders>
            <w:shd w:val="clear" w:color="auto" w:fill="auto"/>
            <w:noWrap/>
            <w:vAlign w:val="bottom"/>
          </w:tcPr>
          <w:p w14:paraId="643760F3"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3B8F2A7C"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single" w:sz="4" w:space="0" w:color="auto"/>
              <w:left w:val="nil"/>
              <w:right w:val="nil"/>
            </w:tcBorders>
            <w:shd w:val="clear" w:color="auto" w:fill="auto"/>
            <w:noWrap/>
            <w:vAlign w:val="bottom"/>
          </w:tcPr>
          <w:p w14:paraId="7E5DB993"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r>
      <w:tr w:rsidR="00247926" w:rsidRPr="0074154F" w14:paraId="0866CE3D" w14:textId="77777777" w:rsidTr="00895D04">
        <w:trPr>
          <w:trHeight w:val="337"/>
          <w:jc w:val="right"/>
        </w:trPr>
        <w:tc>
          <w:tcPr>
            <w:tcW w:w="4111" w:type="dxa"/>
            <w:tcBorders>
              <w:top w:val="nil"/>
              <w:left w:val="nil"/>
              <w:bottom w:val="nil"/>
              <w:right w:val="nil"/>
            </w:tcBorders>
            <w:shd w:val="clear" w:color="auto" w:fill="auto"/>
            <w:noWrap/>
            <w:vAlign w:val="bottom"/>
          </w:tcPr>
          <w:p w14:paraId="65EC4375" w14:textId="228A783C"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proofErr w:type="gramStart"/>
            <w:r w:rsidRPr="00D25C0B">
              <w:rPr>
                <w:rFonts w:ascii="Arial" w:eastAsia="Times New Roman" w:hAnsi="Arial" w:cs="Arial"/>
                <w:color w:val="000000" w:themeColor="text1"/>
                <w:sz w:val="20"/>
                <w:szCs w:val="20"/>
                <w:lang w:val="es-MX" w:eastAsia="es-MX"/>
              </w:rPr>
              <w:t>Total</w:t>
            </w:r>
            <w:proofErr w:type="gramEnd"/>
            <w:r w:rsidRPr="00D25C0B">
              <w:rPr>
                <w:rFonts w:ascii="Arial" w:eastAsia="Times New Roman" w:hAnsi="Arial" w:cs="Arial"/>
                <w:color w:val="000000" w:themeColor="text1"/>
                <w:sz w:val="20"/>
                <w:szCs w:val="20"/>
                <w:lang w:val="es-MX" w:eastAsia="es-MX"/>
              </w:rPr>
              <w:t xml:space="preserve"> porción largo plazo</w:t>
            </w:r>
          </w:p>
        </w:tc>
        <w:tc>
          <w:tcPr>
            <w:tcW w:w="992" w:type="dxa"/>
            <w:tcBorders>
              <w:left w:val="nil"/>
              <w:right w:val="nil"/>
            </w:tcBorders>
          </w:tcPr>
          <w:p w14:paraId="33E4BD8A"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69482F65"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double" w:sz="4" w:space="0" w:color="auto"/>
              <w:right w:val="nil"/>
            </w:tcBorders>
            <w:shd w:val="clear" w:color="auto" w:fill="auto"/>
            <w:noWrap/>
            <w:vAlign w:val="bottom"/>
          </w:tcPr>
          <w:p w14:paraId="114F34D9" w14:textId="0C9D07F3"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sidRPr="00D25C0B">
              <w:rPr>
                <w:rFonts w:ascii="Arial" w:eastAsia="Times New Roman" w:hAnsi="Arial" w:cs="Arial"/>
                <w:color w:val="000000"/>
                <w:sz w:val="20"/>
                <w:szCs w:val="20"/>
                <w:lang w:val="es-MX" w:eastAsia="es-MX"/>
              </w:rPr>
              <w:t>2,731,687</w:t>
            </w:r>
          </w:p>
        </w:tc>
        <w:tc>
          <w:tcPr>
            <w:tcW w:w="227" w:type="dxa"/>
            <w:tcBorders>
              <w:left w:val="nil"/>
              <w:right w:val="nil"/>
            </w:tcBorders>
            <w:shd w:val="clear" w:color="auto" w:fill="auto"/>
            <w:noWrap/>
            <w:vAlign w:val="bottom"/>
          </w:tcPr>
          <w:p w14:paraId="26AB25AD"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double" w:sz="4" w:space="0" w:color="auto"/>
              <w:right w:val="nil"/>
            </w:tcBorders>
            <w:shd w:val="clear" w:color="auto" w:fill="auto"/>
            <w:noWrap/>
            <w:vAlign w:val="bottom"/>
          </w:tcPr>
          <w:p w14:paraId="0ED12435" w14:textId="728AED76"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sz w:val="20"/>
                <w:szCs w:val="20"/>
                <w:lang w:val="es-MX" w:eastAsia="es-MX"/>
              </w:rPr>
              <w:t>3,649,361</w:t>
            </w:r>
          </w:p>
        </w:tc>
      </w:tr>
      <w:tr w:rsidR="00247926" w:rsidRPr="0074154F" w14:paraId="697E1C7A" w14:textId="77777777" w:rsidTr="003D7F8D">
        <w:trPr>
          <w:trHeight w:val="105"/>
          <w:jc w:val="right"/>
        </w:trPr>
        <w:tc>
          <w:tcPr>
            <w:tcW w:w="4111" w:type="dxa"/>
            <w:tcBorders>
              <w:top w:val="nil"/>
              <w:left w:val="nil"/>
              <w:bottom w:val="nil"/>
              <w:right w:val="nil"/>
            </w:tcBorders>
            <w:shd w:val="clear" w:color="auto" w:fill="auto"/>
            <w:noWrap/>
            <w:vAlign w:val="bottom"/>
          </w:tcPr>
          <w:p w14:paraId="3850DE5E" w14:textId="77777777" w:rsidR="00247926" w:rsidRPr="0074154F" w:rsidRDefault="00247926" w:rsidP="00247926">
            <w:pPr>
              <w:spacing w:after="0" w:line="240" w:lineRule="auto"/>
              <w:ind w:left="-70"/>
              <w:rPr>
                <w:rFonts w:ascii="Arial" w:eastAsia="Times New Roman" w:hAnsi="Arial" w:cs="Arial"/>
                <w:color w:val="000000" w:themeColor="text1"/>
                <w:sz w:val="20"/>
                <w:szCs w:val="20"/>
                <w:lang w:val="es-MX" w:eastAsia="es-MX"/>
              </w:rPr>
            </w:pPr>
          </w:p>
        </w:tc>
        <w:tc>
          <w:tcPr>
            <w:tcW w:w="992" w:type="dxa"/>
            <w:tcBorders>
              <w:left w:val="nil"/>
              <w:right w:val="nil"/>
            </w:tcBorders>
          </w:tcPr>
          <w:p w14:paraId="116F7E63"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60" w:type="dxa"/>
            <w:tcBorders>
              <w:left w:val="nil"/>
              <w:right w:val="nil"/>
            </w:tcBorders>
          </w:tcPr>
          <w:p w14:paraId="7D506551"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double" w:sz="4" w:space="0" w:color="auto"/>
              <w:left w:val="nil"/>
              <w:right w:val="nil"/>
            </w:tcBorders>
            <w:shd w:val="clear" w:color="auto" w:fill="auto"/>
            <w:noWrap/>
            <w:vAlign w:val="bottom"/>
          </w:tcPr>
          <w:p w14:paraId="104BCDF6" w14:textId="77777777"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472921D2" w14:textId="77777777" w:rsidR="00247926" w:rsidRPr="0074154F" w:rsidRDefault="00247926" w:rsidP="00247926">
            <w:pPr>
              <w:spacing w:after="0" w:line="240" w:lineRule="auto"/>
              <w:rPr>
                <w:rFonts w:ascii="Arial" w:eastAsia="Times New Roman" w:hAnsi="Arial" w:cs="Arial"/>
                <w:color w:val="000000" w:themeColor="text1"/>
                <w:sz w:val="20"/>
                <w:szCs w:val="20"/>
                <w:lang w:eastAsia="es-EC"/>
              </w:rPr>
            </w:pPr>
          </w:p>
        </w:tc>
        <w:tc>
          <w:tcPr>
            <w:tcW w:w="1502" w:type="dxa"/>
            <w:tcBorders>
              <w:top w:val="double" w:sz="4" w:space="0" w:color="auto"/>
              <w:left w:val="nil"/>
              <w:right w:val="nil"/>
            </w:tcBorders>
            <w:shd w:val="clear" w:color="auto" w:fill="auto"/>
            <w:noWrap/>
            <w:vAlign w:val="bottom"/>
          </w:tcPr>
          <w:p w14:paraId="10034BC2" w14:textId="77777777" w:rsidR="00247926" w:rsidRPr="0074154F" w:rsidRDefault="00247926" w:rsidP="00247926">
            <w:pPr>
              <w:spacing w:after="0" w:line="240" w:lineRule="auto"/>
              <w:jc w:val="right"/>
              <w:rPr>
                <w:rFonts w:ascii="Arial" w:eastAsia="Times New Roman" w:hAnsi="Arial" w:cs="Arial"/>
                <w:color w:val="000000" w:themeColor="text1"/>
                <w:sz w:val="20"/>
                <w:szCs w:val="20"/>
                <w:lang w:eastAsia="es-EC"/>
              </w:rPr>
            </w:pPr>
          </w:p>
        </w:tc>
      </w:tr>
    </w:tbl>
    <w:p w14:paraId="77AB5729" w14:textId="093B25D8" w:rsidR="00D845E0" w:rsidRPr="0074154F" w:rsidRDefault="004033CD" w:rsidP="00372BE9">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Un detalle de los vencimientos anuales de los préstamos a largo plazo es como sigue:</w:t>
      </w:r>
    </w:p>
    <w:p w14:paraId="31096BDE" w14:textId="4118655C" w:rsidR="00D845E0" w:rsidRPr="0074154F" w:rsidRDefault="00D845E0" w:rsidP="00372BE9">
      <w:pPr>
        <w:pStyle w:val="ListParagraph"/>
        <w:tabs>
          <w:tab w:val="left" w:pos="1276"/>
        </w:tabs>
        <w:spacing w:after="0" w:line="240" w:lineRule="auto"/>
        <w:ind w:left="567" w:right="-1"/>
        <w:jc w:val="both"/>
        <w:rPr>
          <w:rFonts w:ascii="Arial" w:hAnsi="Arial" w:cs="Arial"/>
          <w:sz w:val="20"/>
          <w:szCs w:val="20"/>
        </w:rPr>
      </w:pPr>
    </w:p>
    <w:tbl>
      <w:tblPr>
        <w:tblW w:w="8488" w:type="dxa"/>
        <w:jc w:val="right"/>
        <w:tblCellMar>
          <w:left w:w="70" w:type="dxa"/>
          <w:right w:w="70" w:type="dxa"/>
        </w:tblCellMar>
        <w:tblLook w:val="04A0" w:firstRow="1" w:lastRow="0" w:firstColumn="1" w:lastColumn="0" w:noHBand="0" w:noVBand="1"/>
      </w:tblPr>
      <w:tblGrid>
        <w:gridCol w:w="6916"/>
        <w:gridCol w:w="2154"/>
      </w:tblGrid>
      <w:tr w:rsidR="003B1724" w:rsidRPr="0074154F" w14:paraId="38FC73B4" w14:textId="77777777" w:rsidTr="00CD7E7F">
        <w:trPr>
          <w:trHeight w:val="255"/>
          <w:jc w:val="right"/>
        </w:trPr>
        <w:tc>
          <w:tcPr>
            <w:tcW w:w="7054" w:type="dxa"/>
            <w:tcBorders>
              <w:top w:val="nil"/>
              <w:left w:val="nil"/>
              <w:bottom w:val="nil"/>
              <w:right w:val="nil"/>
            </w:tcBorders>
            <w:shd w:val="clear" w:color="auto" w:fill="auto"/>
            <w:noWrap/>
            <w:vAlign w:val="bottom"/>
            <w:hideMark/>
          </w:tcPr>
          <w:p w14:paraId="4FFBA888" w14:textId="77777777" w:rsidR="003B1724" w:rsidRPr="0074154F" w:rsidRDefault="003B1724" w:rsidP="003B1724">
            <w:pPr>
              <w:spacing w:after="0" w:line="240" w:lineRule="auto"/>
              <w:ind w:left="-70" w:right="-216"/>
              <w:rPr>
                <w:rFonts w:ascii="Arial" w:eastAsia="Times New Roman" w:hAnsi="Arial" w:cs="Arial"/>
                <w:b/>
                <w:bCs/>
                <w:color w:val="000000"/>
                <w:sz w:val="20"/>
                <w:szCs w:val="20"/>
                <w:u w:val="single"/>
                <w:lang w:eastAsia="es-EC"/>
              </w:rPr>
            </w:pPr>
          </w:p>
        </w:tc>
        <w:tc>
          <w:tcPr>
            <w:tcW w:w="1434" w:type="dxa"/>
            <w:tcBorders>
              <w:top w:val="nil"/>
              <w:left w:val="nil"/>
              <w:bottom w:val="single" w:sz="8" w:space="0" w:color="auto"/>
              <w:right w:val="nil"/>
            </w:tcBorders>
            <w:shd w:val="clear" w:color="auto" w:fill="auto"/>
            <w:noWrap/>
            <w:vAlign w:val="bottom"/>
            <w:hideMark/>
          </w:tcPr>
          <w:p w14:paraId="047D5ADA" w14:textId="3F8BD84C" w:rsidR="003B1724" w:rsidRPr="0074154F" w:rsidRDefault="003B1724" w:rsidP="00B90DCE">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r>
      <w:tr w:rsidR="003B1724" w:rsidRPr="0074154F" w14:paraId="7465D0BA" w14:textId="77777777" w:rsidTr="00CD7E7F">
        <w:trPr>
          <w:trHeight w:val="129"/>
          <w:jc w:val="right"/>
        </w:trPr>
        <w:tc>
          <w:tcPr>
            <w:tcW w:w="7054" w:type="dxa"/>
            <w:tcBorders>
              <w:top w:val="nil"/>
              <w:left w:val="nil"/>
              <w:bottom w:val="nil"/>
              <w:right w:val="nil"/>
            </w:tcBorders>
            <w:shd w:val="clear" w:color="auto" w:fill="auto"/>
            <w:noWrap/>
            <w:vAlign w:val="bottom"/>
          </w:tcPr>
          <w:p w14:paraId="47EF8F71" w14:textId="77777777" w:rsidR="003B1724" w:rsidRPr="00895D04" w:rsidRDefault="003B1724" w:rsidP="0035793D">
            <w:pPr>
              <w:spacing w:after="0" w:line="240" w:lineRule="auto"/>
              <w:ind w:left="-70"/>
              <w:rPr>
                <w:rFonts w:ascii="Arial" w:eastAsia="Times New Roman" w:hAnsi="Arial" w:cs="Arial"/>
                <w:b/>
                <w:bCs/>
                <w:color w:val="000000"/>
                <w:sz w:val="28"/>
                <w:szCs w:val="28"/>
                <w:u w:val="single"/>
                <w:lang w:eastAsia="es-EC"/>
              </w:rPr>
            </w:pPr>
          </w:p>
        </w:tc>
        <w:tc>
          <w:tcPr>
            <w:tcW w:w="1434" w:type="dxa"/>
            <w:tcBorders>
              <w:top w:val="single" w:sz="8" w:space="0" w:color="auto"/>
              <w:left w:val="nil"/>
              <w:right w:val="nil"/>
            </w:tcBorders>
            <w:shd w:val="clear" w:color="auto" w:fill="auto"/>
            <w:noWrap/>
            <w:vAlign w:val="bottom"/>
          </w:tcPr>
          <w:p w14:paraId="4C5EADBA" w14:textId="77777777" w:rsidR="003B1724" w:rsidRPr="0074154F" w:rsidRDefault="003B1724" w:rsidP="0035793D">
            <w:pPr>
              <w:spacing w:after="0" w:line="240" w:lineRule="auto"/>
              <w:rPr>
                <w:rFonts w:ascii="Arial" w:eastAsia="Times New Roman" w:hAnsi="Arial" w:cs="Arial"/>
                <w:sz w:val="20"/>
                <w:szCs w:val="20"/>
                <w:lang w:eastAsia="es-EC"/>
              </w:rPr>
            </w:pPr>
          </w:p>
        </w:tc>
      </w:tr>
      <w:tr w:rsidR="003B1724" w:rsidRPr="0074154F" w14:paraId="617A9AF5" w14:textId="77777777" w:rsidTr="00E535B2">
        <w:trPr>
          <w:trHeight w:val="330"/>
          <w:jc w:val="right"/>
        </w:trPr>
        <w:tc>
          <w:tcPr>
            <w:tcW w:w="7054" w:type="dxa"/>
            <w:tcBorders>
              <w:top w:val="nil"/>
              <w:left w:val="nil"/>
              <w:right w:val="nil"/>
            </w:tcBorders>
            <w:shd w:val="clear" w:color="auto" w:fill="auto"/>
            <w:noWrap/>
            <w:vAlign w:val="bottom"/>
          </w:tcPr>
          <w:p w14:paraId="01056F2D" w14:textId="33D27DBD" w:rsidR="003B1724" w:rsidRPr="0074154F" w:rsidRDefault="003B1724" w:rsidP="0035793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2022</w:t>
            </w:r>
          </w:p>
        </w:tc>
        <w:tc>
          <w:tcPr>
            <w:tcW w:w="1434" w:type="dxa"/>
            <w:tcBorders>
              <w:left w:val="nil"/>
              <w:right w:val="nil"/>
            </w:tcBorders>
            <w:shd w:val="clear" w:color="auto" w:fill="auto"/>
            <w:noWrap/>
            <w:vAlign w:val="bottom"/>
          </w:tcPr>
          <w:p w14:paraId="4886D1B6" w14:textId="39715320" w:rsidR="003B1724" w:rsidRPr="0074154F" w:rsidRDefault="000422B8" w:rsidP="0035793D">
            <w:pPr>
              <w:tabs>
                <w:tab w:val="decimal" w:pos="1276"/>
              </w:tabs>
              <w:spacing w:after="0" w:line="240" w:lineRule="auto"/>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1,830,161</w:t>
            </w:r>
          </w:p>
        </w:tc>
      </w:tr>
      <w:tr w:rsidR="003B1724" w:rsidRPr="0074154F" w14:paraId="44C11D3F" w14:textId="77777777" w:rsidTr="00E535B2">
        <w:trPr>
          <w:trHeight w:val="255"/>
          <w:jc w:val="right"/>
        </w:trPr>
        <w:tc>
          <w:tcPr>
            <w:tcW w:w="7054" w:type="dxa"/>
            <w:tcBorders>
              <w:top w:val="nil"/>
              <w:left w:val="nil"/>
              <w:right w:val="nil"/>
            </w:tcBorders>
            <w:shd w:val="clear" w:color="auto" w:fill="auto"/>
            <w:noWrap/>
            <w:vAlign w:val="bottom"/>
          </w:tcPr>
          <w:p w14:paraId="23604BEC" w14:textId="04CEF9D5" w:rsidR="003B1724" w:rsidRPr="0074154F" w:rsidRDefault="003B1724" w:rsidP="0035793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2023</w:t>
            </w:r>
          </w:p>
        </w:tc>
        <w:tc>
          <w:tcPr>
            <w:tcW w:w="1434" w:type="dxa"/>
            <w:tcBorders>
              <w:left w:val="nil"/>
              <w:bottom w:val="single" w:sz="6" w:space="0" w:color="auto"/>
              <w:right w:val="nil"/>
            </w:tcBorders>
            <w:shd w:val="clear" w:color="auto" w:fill="auto"/>
            <w:noWrap/>
            <w:vAlign w:val="bottom"/>
          </w:tcPr>
          <w:p w14:paraId="404D73E0" w14:textId="0E61FC7C" w:rsidR="003B1724" w:rsidRPr="0074154F" w:rsidRDefault="003B1724" w:rsidP="0035793D">
            <w:pPr>
              <w:tabs>
                <w:tab w:val="decimal" w:pos="1276"/>
              </w:tabs>
              <w:spacing w:after="0" w:line="240" w:lineRule="auto"/>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901,526</w:t>
            </w:r>
          </w:p>
        </w:tc>
      </w:tr>
      <w:tr w:rsidR="003B1724" w:rsidRPr="0074154F" w14:paraId="7635F814" w14:textId="77777777" w:rsidTr="00E535B2">
        <w:trPr>
          <w:trHeight w:val="207"/>
          <w:jc w:val="right"/>
        </w:trPr>
        <w:tc>
          <w:tcPr>
            <w:tcW w:w="7054" w:type="dxa"/>
            <w:tcBorders>
              <w:top w:val="nil"/>
              <w:left w:val="nil"/>
              <w:bottom w:val="nil"/>
              <w:right w:val="nil"/>
            </w:tcBorders>
            <w:shd w:val="clear" w:color="auto" w:fill="auto"/>
            <w:noWrap/>
            <w:vAlign w:val="bottom"/>
          </w:tcPr>
          <w:p w14:paraId="154FF305" w14:textId="77777777" w:rsidR="003B1724" w:rsidRPr="00895D04" w:rsidRDefault="003B1724" w:rsidP="0035793D">
            <w:pPr>
              <w:spacing w:after="0" w:line="240" w:lineRule="auto"/>
              <w:ind w:left="-70"/>
              <w:rPr>
                <w:rFonts w:ascii="Arial" w:eastAsia="Times New Roman" w:hAnsi="Arial" w:cs="Arial"/>
                <w:color w:val="000000"/>
                <w:lang w:val="es-MX" w:eastAsia="es-MX"/>
              </w:rPr>
            </w:pPr>
          </w:p>
        </w:tc>
        <w:tc>
          <w:tcPr>
            <w:tcW w:w="1434" w:type="dxa"/>
            <w:tcBorders>
              <w:top w:val="single" w:sz="6" w:space="0" w:color="auto"/>
              <w:left w:val="nil"/>
              <w:right w:val="nil"/>
            </w:tcBorders>
            <w:shd w:val="clear" w:color="auto" w:fill="auto"/>
            <w:noWrap/>
            <w:vAlign w:val="bottom"/>
          </w:tcPr>
          <w:p w14:paraId="372ACC5A" w14:textId="77777777" w:rsidR="003B1724" w:rsidRPr="0074154F" w:rsidRDefault="003B1724" w:rsidP="0035793D">
            <w:pPr>
              <w:tabs>
                <w:tab w:val="decimal" w:pos="1276"/>
              </w:tabs>
              <w:spacing w:after="0" w:line="240" w:lineRule="auto"/>
              <w:rPr>
                <w:rFonts w:ascii="Arial" w:eastAsia="Times New Roman" w:hAnsi="Arial" w:cs="Arial"/>
                <w:color w:val="000000"/>
                <w:sz w:val="20"/>
                <w:szCs w:val="20"/>
                <w:lang w:eastAsia="es-EC"/>
              </w:rPr>
            </w:pPr>
          </w:p>
        </w:tc>
      </w:tr>
      <w:tr w:rsidR="003B1724" w:rsidRPr="0074154F" w14:paraId="105FF800" w14:textId="77777777" w:rsidTr="00895D04">
        <w:trPr>
          <w:trHeight w:val="427"/>
          <w:jc w:val="right"/>
        </w:trPr>
        <w:tc>
          <w:tcPr>
            <w:tcW w:w="7054" w:type="dxa"/>
            <w:tcBorders>
              <w:top w:val="nil"/>
              <w:left w:val="nil"/>
              <w:bottom w:val="nil"/>
              <w:right w:val="nil"/>
            </w:tcBorders>
            <w:shd w:val="clear" w:color="auto" w:fill="auto"/>
            <w:noWrap/>
            <w:vAlign w:val="bottom"/>
          </w:tcPr>
          <w:p w14:paraId="0F7B12AD" w14:textId="294770D5" w:rsidR="003B1724" w:rsidRPr="0074154F" w:rsidRDefault="008A49FF" w:rsidP="0035793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themeColor="text1"/>
                <w:sz w:val="20"/>
                <w:szCs w:val="20"/>
                <w:lang w:eastAsia="es-EC"/>
              </w:rPr>
              <w:t>T</w:t>
            </w:r>
            <w:r w:rsidR="00706991" w:rsidRPr="0074154F">
              <w:rPr>
                <w:rFonts w:ascii="Arial" w:eastAsia="Times New Roman" w:hAnsi="Arial" w:cs="Arial"/>
                <w:color w:val="000000" w:themeColor="text1"/>
                <w:sz w:val="20"/>
                <w:szCs w:val="20"/>
                <w:lang w:eastAsia="es-EC"/>
              </w:rPr>
              <w:t>otal</w:t>
            </w:r>
          </w:p>
        </w:tc>
        <w:tc>
          <w:tcPr>
            <w:tcW w:w="1434" w:type="dxa"/>
            <w:tcBorders>
              <w:left w:val="nil"/>
              <w:bottom w:val="double" w:sz="4" w:space="0" w:color="auto"/>
              <w:right w:val="nil"/>
            </w:tcBorders>
            <w:shd w:val="clear" w:color="auto" w:fill="auto"/>
            <w:noWrap/>
            <w:vAlign w:val="bottom"/>
          </w:tcPr>
          <w:p w14:paraId="7F88309D" w14:textId="268518F9" w:rsidR="003B1724" w:rsidRPr="0074154F" w:rsidRDefault="000422B8" w:rsidP="0035793D">
            <w:pPr>
              <w:tabs>
                <w:tab w:val="decimal" w:pos="1276"/>
              </w:tabs>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2,731,687</w:t>
            </w:r>
          </w:p>
        </w:tc>
      </w:tr>
    </w:tbl>
    <w:p w14:paraId="70CC83C1" w14:textId="77777777"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35040F6D" w14:textId="7C7D5FAE" w:rsidR="004033CD" w:rsidRPr="0074154F" w:rsidRDefault="003D7F8D" w:rsidP="00372BE9">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Los préstamos con instituc</w:t>
      </w:r>
      <w:r w:rsidR="004F1146" w:rsidRPr="0074154F">
        <w:rPr>
          <w:rFonts w:ascii="Arial" w:hAnsi="Arial" w:cs="Arial"/>
          <w:sz w:val="20"/>
          <w:szCs w:val="20"/>
        </w:rPr>
        <w:t>io</w:t>
      </w:r>
      <w:r w:rsidRPr="0074154F">
        <w:rPr>
          <w:rFonts w:ascii="Arial" w:hAnsi="Arial" w:cs="Arial"/>
          <w:sz w:val="20"/>
          <w:szCs w:val="20"/>
        </w:rPr>
        <w:t>n</w:t>
      </w:r>
      <w:r w:rsidR="004F1146" w:rsidRPr="0074154F">
        <w:rPr>
          <w:rFonts w:ascii="Arial" w:hAnsi="Arial" w:cs="Arial"/>
          <w:sz w:val="20"/>
          <w:szCs w:val="20"/>
        </w:rPr>
        <w:t>es</w:t>
      </w:r>
      <w:r w:rsidRPr="0074154F">
        <w:rPr>
          <w:rFonts w:ascii="Arial" w:hAnsi="Arial" w:cs="Arial"/>
          <w:sz w:val="20"/>
          <w:szCs w:val="20"/>
        </w:rPr>
        <w:t xml:space="preserve"> financiera</w:t>
      </w:r>
      <w:r w:rsidR="004F1146" w:rsidRPr="0074154F">
        <w:rPr>
          <w:rFonts w:ascii="Arial" w:hAnsi="Arial" w:cs="Arial"/>
          <w:sz w:val="20"/>
          <w:szCs w:val="20"/>
        </w:rPr>
        <w:t>s</w:t>
      </w:r>
      <w:r w:rsidRPr="0074154F">
        <w:rPr>
          <w:rFonts w:ascii="Arial" w:hAnsi="Arial" w:cs="Arial"/>
          <w:sz w:val="20"/>
          <w:szCs w:val="20"/>
        </w:rPr>
        <w:t xml:space="preserve"> local</w:t>
      </w:r>
      <w:r w:rsidR="004F1146" w:rsidRPr="0074154F">
        <w:rPr>
          <w:rFonts w:ascii="Arial" w:hAnsi="Arial" w:cs="Arial"/>
          <w:sz w:val="20"/>
          <w:szCs w:val="20"/>
        </w:rPr>
        <w:t>es</w:t>
      </w:r>
      <w:r w:rsidRPr="0074154F">
        <w:rPr>
          <w:rFonts w:ascii="Arial" w:hAnsi="Arial" w:cs="Arial"/>
          <w:sz w:val="20"/>
          <w:szCs w:val="20"/>
        </w:rPr>
        <w:t xml:space="preserve"> detallada precedentemente sirvió para financiar principalmente capital de trabajo y están garantizados </w:t>
      </w:r>
      <w:r w:rsidR="00BD5383" w:rsidRPr="0074154F">
        <w:rPr>
          <w:rFonts w:ascii="Arial" w:hAnsi="Arial" w:cs="Arial"/>
          <w:sz w:val="20"/>
          <w:szCs w:val="20"/>
        </w:rPr>
        <w:t>mediante depósitos a plazos por US$</w:t>
      </w:r>
      <w:r w:rsidR="007D2A76" w:rsidRPr="0074154F">
        <w:rPr>
          <w:rFonts w:ascii="Arial" w:hAnsi="Arial" w:cs="Arial"/>
          <w:sz w:val="20"/>
          <w:szCs w:val="20"/>
        </w:rPr>
        <w:t>2</w:t>
      </w:r>
      <w:r w:rsidR="00C35CC3" w:rsidRPr="0074154F">
        <w:rPr>
          <w:rFonts w:ascii="Arial" w:hAnsi="Arial" w:cs="Arial"/>
          <w:sz w:val="20"/>
          <w:szCs w:val="20"/>
        </w:rPr>
        <w:t xml:space="preserve">.2 millones </w:t>
      </w:r>
      <w:r w:rsidR="008E6D29" w:rsidRPr="0074154F">
        <w:rPr>
          <w:rFonts w:ascii="Arial" w:hAnsi="Arial" w:cs="Arial"/>
          <w:sz w:val="20"/>
          <w:szCs w:val="20"/>
        </w:rPr>
        <w:t>con el Banco de Machala S.A.</w:t>
      </w:r>
      <w:r w:rsidR="00BD5383" w:rsidRPr="0074154F">
        <w:rPr>
          <w:rFonts w:ascii="Arial" w:hAnsi="Arial" w:cs="Arial"/>
          <w:sz w:val="20"/>
          <w:szCs w:val="20"/>
        </w:rPr>
        <w:t xml:space="preserve"> y prendarios por US$</w:t>
      </w:r>
      <w:r w:rsidR="008E6D29" w:rsidRPr="0074154F">
        <w:rPr>
          <w:rFonts w:ascii="Arial" w:hAnsi="Arial" w:cs="Arial"/>
          <w:sz w:val="20"/>
          <w:szCs w:val="20"/>
        </w:rPr>
        <w:t>2</w:t>
      </w:r>
      <w:r w:rsidR="00C35CC3" w:rsidRPr="0074154F">
        <w:rPr>
          <w:rFonts w:ascii="Arial" w:hAnsi="Arial" w:cs="Arial"/>
          <w:sz w:val="20"/>
          <w:szCs w:val="20"/>
        </w:rPr>
        <w:t xml:space="preserve">.5 millones </w:t>
      </w:r>
      <w:r w:rsidR="008E6D29" w:rsidRPr="0074154F">
        <w:rPr>
          <w:rFonts w:ascii="Arial" w:hAnsi="Arial" w:cs="Arial"/>
          <w:sz w:val="20"/>
          <w:szCs w:val="20"/>
        </w:rPr>
        <w:t>con el Banco del Austro S.A.</w:t>
      </w:r>
    </w:p>
    <w:p w14:paraId="1B02A835" w14:textId="06DC325E" w:rsidR="004033CD" w:rsidRPr="0074154F" w:rsidRDefault="004033CD" w:rsidP="00372BE9">
      <w:pPr>
        <w:pStyle w:val="ListParagraph"/>
        <w:tabs>
          <w:tab w:val="left" w:pos="1276"/>
        </w:tabs>
        <w:spacing w:after="0" w:line="240" w:lineRule="auto"/>
        <w:ind w:left="567" w:right="-1"/>
        <w:jc w:val="both"/>
        <w:rPr>
          <w:rFonts w:ascii="Arial" w:hAnsi="Arial" w:cs="Arial"/>
          <w:sz w:val="20"/>
          <w:szCs w:val="20"/>
        </w:rPr>
      </w:pPr>
    </w:p>
    <w:p w14:paraId="4884E636" w14:textId="46992B42" w:rsidR="003D7F8D" w:rsidRPr="0074154F" w:rsidRDefault="003D7F8D" w:rsidP="00372BE9">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Durante el año 2020, se reconocieron en los resultados US$</w:t>
      </w:r>
      <w:r w:rsidR="007A3F79" w:rsidRPr="0074154F">
        <w:rPr>
          <w:rFonts w:ascii="Arial" w:hAnsi="Arial" w:cs="Arial"/>
          <w:sz w:val="20"/>
          <w:szCs w:val="20"/>
        </w:rPr>
        <w:t>368,615 (US$654,626 para el año 2019) como gastos financieros relacionados con préstamos en instituciones financieras locales.</w:t>
      </w:r>
    </w:p>
    <w:p w14:paraId="7D1D6BF3" w14:textId="3D066B94" w:rsidR="00B84791" w:rsidRDefault="00B84791" w:rsidP="00372BE9">
      <w:pPr>
        <w:pStyle w:val="ListParagraph"/>
        <w:tabs>
          <w:tab w:val="left" w:pos="1276"/>
        </w:tabs>
        <w:spacing w:after="0" w:line="240" w:lineRule="auto"/>
        <w:ind w:left="567" w:right="-1"/>
        <w:jc w:val="both"/>
        <w:rPr>
          <w:rFonts w:ascii="Arial" w:hAnsi="Arial" w:cs="Arial"/>
          <w:sz w:val="20"/>
          <w:szCs w:val="20"/>
        </w:rPr>
      </w:pPr>
    </w:p>
    <w:p w14:paraId="3A59F298" w14:textId="27BC854A"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06523A15" w14:textId="1B8AF513"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3CE88B48" w14:textId="40341788"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29779619" w14:textId="6BC600D1"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261A338F" w14:textId="5638C280" w:rsidR="00895D04" w:rsidRDefault="00895D04" w:rsidP="00372BE9">
      <w:pPr>
        <w:pStyle w:val="ListParagraph"/>
        <w:tabs>
          <w:tab w:val="left" w:pos="1276"/>
        </w:tabs>
        <w:spacing w:after="0" w:line="240" w:lineRule="auto"/>
        <w:ind w:left="567" w:right="-1"/>
        <w:jc w:val="both"/>
        <w:rPr>
          <w:rFonts w:ascii="Arial" w:hAnsi="Arial" w:cs="Arial"/>
          <w:sz w:val="20"/>
          <w:szCs w:val="20"/>
        </w:rPr>
      </w:pPr>
    </w:p>
    <w:p w14:paraId="5A8A8243" w14:textId="06153489" w:rsidR="00895D04" w:rsidRPr="00895D04" w:rsidRDefault="00895D04" w:rsidP="00895D04">
      <w:pPr>
        <w:pStyle w:val="ListParagraph"/>
        <w:tabs>
          <w:tab w:val="left" w:pos="1276"/>
        </w:tabs>
        <w:spacing w:after="0" w:line="240" w:lineRule="auto"/>
        <w:ind w:left="567" w:right="-1"/>
        <w:jc w:val="center"/>
        <w:rPr>
          <w:rFonts w:ascii="Arial" w:hAnsi="Arial" w:cs="Arial"/>
          <w:b/>
          <w:bCs/>
          <w:sz w:val="20"/>
          <w:szCs w:val="20"/>
        </w:rPr>
      </w:pPr>
      <w:r w:rsidRPr="00895D04">
        <w:rPr>
          <w:rFonts w:ascii="Arial" w:hAnsi="Arial" w:cs="Arial"/>
          <w:b/>
          <w:bCs/>
          <w:sz w:val="20"/>
          <w:szCs w:val="20"/>
        </w:rPr>
        <w:t>ESPACIO EN BLANCO</w:t>
      </w:r>
    </w:p>
    <w:p w14:paraId="25DE7203" w14:textId="18BD5683" w:rsidR="000825BD" w:rsidRPr="0074154F" w:rsidRDefault="000825BD" w:rsidP="000825BD">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OTROS PASIVOS FINANCIEROS</w:t>
      </w:r>
    </w:p>
    <w:p w14:paraId="61C8943C" w14:textId="77777777" w:rsidR="000825BD" w:rsidRPr="0074154F" w:rsidRDefault="000825BD" w:rsidP="000825BD">
      <w:pPr>
        <w:ind w:left="567"/>
        <w:rPr>
          <w:sz w:val="8"/>
          <w:szCs w:val="8"/>
          <w:lang w:eastAsia="es-EC"/>
        </w:rPr>
      </w:pPr>
    </w:p>
    <w:p w14:paraId="66EBB602" w14:textId="4A2B8AF1" w:rsidR="000825BD" w:rsidRDefault="000825BD" w:rsidP="000825BD">
      <w:pPr>
        <w:ind w:left="567"/>
        <w:rPr>
          <w:rFonts w:ascii="Arial" w:hAnsi="Arial" w:cs="Arial"/>
          <w:sz w:val="20"/>
          <w:szCs w:val="20"/>
          <w:lang w:eastAsia="es-EC"/>
        </w:rPr>
      </w:pPr>
      <w:r w:rsidRPr="0074154F">
        <w:rPr>
          <w:rFonts w:ascii="Arial" w:hAnsi="Arial" w:cs="Arial"/>
          <w:sz w:val="20"/>
          <w:szCs w:val="20"/>
          <w:lang w:eastAsia="es-EC"/>
        </w:rPr>
        <w:t xml:space="preserve">Al 31 de diciembre el detalle comparativo de </w:t>
      </w:r>
      <w:r w:rsidR="0071290D" w:rsidRPr="0074154F">
        <w:rPr>
          <w:rFonts w:ascii="Arial" w:hAnsi="Arial" w:cs="Arial"/>
          <w:color w:val="000000" w:themeColor="text1"/>
          <w:sz w:val="20"/>
          <w:szCs w:val="20"/>
          <w:lang w:eastAsia="es-EC"/>
        </w:rPr>
        <w:t>otros pasivos financieros</w:t>
      </w:r>
      <w:r w:rsidRPr="0074154F">
        <w:rPr>
          <w:rFonts w:ascii="Arial" w:hAnsi="Arial" w:cs="Arial"/>
          <w:b/>
          <w:bCs/>
          <w:color w:val="FF0000"/>
          <w:sz w:val="20"/>
          <w:szCs w:val="20"/>
          <w:lang w:eastAsia="es-EC"/>
        </w:rPr>
        <w:t xml:space="preserve"> </w:t>
      </w:r>
      <w:r w:rsidRPr="0074154F">
        <w:rPr>
          <w:rFonts w:ascii="Arial" w:hAnsi="Arial" w:cs="Arial"/>
          <w:sz w:val="20"/>
          <w:szCs w:val="20"/>
          <w:lang w:eastAsia="es-EC"/>
        </w:rPr>
        <w:t>es como sigue:</w:t>
      </w:r>
    </w:p>
    <w:tbl>
      <w:tblPr>
        <w:tblW w:w="8685" w:type="dxa"/>
        <w:tblInd w:w="500" w:type="dxa"/>
        <w:tblBorders>
          <w:bottom w:val="single" w:sz="8" w:space="0" w:color="auto"/>
        </w:tblBorders>
        <w:tblLayout w:type="fixed"/>
        <w:tblCellMar>
          <w:left w:w="70" w:type="dxa"/>
          <w:right w:w="70" w:type="dxa"/>
        </w:tblCellMar>
        <w:tblLook w:val="04A0" w:firstRow="1" w:lastRow="0" w:firstColumn="1" w:lastColumn="0" w:noHBand="0" w:noVBand="1"/>
      </w:tblPr>
      <w:tblGrid>
        <w:gridCol w:w="5454"/>
        <w:gridCol w:w="1502"/>
        <w:gridCol w:w="227"/>
        <w:gridCol w:w="1502"/>
      </w:tblGrid>
      <w:tr w:rsidR="000825BD" w:rsidRPr="0074154F" w14:paraId="527327DD" w14:textId="77777777" w:rsidTr="00C10E8A">
        <w:trPr>
          <w:trHeight w:val="283"/>
        </w:trPr>
        <w:tc>
          <w:tcPr>
            <w:tcW w:w="5454" w:type="dxa"/>
            <w:shd w:val="clear" w:color="auto" w:fill="auto"/>
            <w:noWrap/>
            <w:vAlign w:val="bottom"/>
            <w:hideMark/>
          </w:tcPr>
          <w:p w14:paraId="7BB2605C" w14:textId="77777777" w:rsidR="000825BD" w:rsidRPr="0074154F" w:rsidRDefault="000825BD" w:rsidP="008F5308">
            <w:pPr>
              <w:spacing w:after="0" w:line="240" w:lineRule="auto"/>
              <w:ind w:left="-70" w:firstLine="277"/>
              <w:rPr>
                <w:rFonts w:ascii="Arial" w:eastAsia="Times New Roman" w:hAnsi="Arial" w:cs="Arial"/>
                <w:b/>
                <w:bCs/>
                <w:color w:val="000000"/>
                <w:sz w:val="20"/>
                <w:szCs w:val="20"/>
                <w:u w:val="single"/>
                <w:lang w:eastAsia="es-EC"/>
              </w:rPr>
            </w:pPr>
          </w:p>
        </w:tc>
        <w:tc>
          <w:tcPr>
            <w:tcW w:w="1502" w:type="dxa"/>
            <w:tcBorders>
              <w:bottom w:val="single" w:sz="8" w:space="0" w:color="auto"/>
            </w:tcBorders>
            <w:shd w:val="clear" w:color="auto" w:fill="auto"/>
            <w:noWrap/>
            <w:vAlign w:val="bottom"/>
            <w:hideMark/>
          </w:tcPr>
          <w:p w14:paraId="0527B05F" w14:textId="348BF50F" w:rsidR="000825BD" w:rsidRPr="0074154F" w:rsidRDefault="00C35CC3" w:rsidP="008F5308">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31/12/2020</w:t>
            </w:r>
          </w:p>
        </w:tc>
        <w:tc>
          <w:tcPr>
            <w:tcW w:w="227" w:type="dxa"/>
            <w:shd w:val="clear" w:color="auto" w:fill="auto"/>
            <w:noWrap/>
            <w:vAlign w:val="bottom"/>
            <w:hideMark/>
          </w:tcPr>
          <w:p w14:paraId="5EA5E53B" w14:textId="77777777" w:rsidR="000825BD" w:rsidRPr="0074154F" w:rsidRDefault="000825BD" w:rsidP="008F5308">
            <w:pPr>
              <w:spacing w:after="0" w:line="240" w:lineRule="auto"/>
              <w:ind w:right="79"/>
              <w:jc w:val="right"/>
              <w:rPr>
                <w:rFonts w:ascii="Arial" w:eastAsia="Times New Roman" w:hAnsi="Arial" w:cs="Arial"/>
                <w:b/>
                <w:bCs/>
                <w:color w:val="000000"/>
                <w:sz w:val="20"/>
                <w:szCs w:val="20"/>
                <w:lang w:eastAsia="es-EC"/>
              </w:rPr>
            </w:pPr>
          </w:p>
        </w:tc>
        <w:tc>
          <w:tcPr>
            <w:tcW w:w="1502" w:type="dxa"/>
            <w:tcBorders>
              <w:bottom w:val="single" w:sz="8" w:space="0" w:color="auto"/>
            </w:tcBorders>
            <w:shd w:val="clear" w:color="auto" w:fill="auto"/>
            <w:noWrap/>
            <w:vAlign w:val="bottom"/>
            <w:hideMark/>
          </w:tcPr>
          <w:p w14:paraId="1D57F588" w14:textId="31FDACDA" w:rsidR="000825BD" w:rsidRPr="0074154F" w:rsidRDefault="00C35CC3" w:rsidP="008F5308">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31/12/2019</w:t>
            </w:r>
          </w:p>
        </w:tc>
      </w:tr>
      <w:tr w:rsidR="000825BD" w:rsidRPr="0074154F" w14:paraId="5773E8C7" w14:textId="77777777" w:rsidTr="00C10E8A">
        <w:trPr>
          <w:trHeight w:val="153"/>
        </w:trPr>
        <w:tc>
          <w:tcPr>
            <w:tcW w:w="5454" w:type="dxa"/>
            <w:shd w:val="clear" w:color="auto" w:fill="auto"/>
            <w:noWrap/>
            <w:vAlign w:val="bottom"/>
            <w:hideMark/>
          </w:tcPr>
          <w:p w14:paraId="26CD31BD" w14:textId="77777777" w:rsidR="000825BD" w:rsidRPr="0074154F" w:rsidRDefault="000825BD" w:rsidP="008F530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tcBorders>
            <w:shd w:val="clear" w:color="auto" w:fill="auto"/>
            <w:noWrap/>
            <w:vAlign w:val="bottom"/>
            <w:hideMark/>
          </w:tcPr>
          <w:p w14:paraId="28F9DB14" w14:textId="77777777" w:rsidR="000825BD" w:rsidRPr="0074154F" w:rsidRDefault="000825BD" w:rsidP="008F5308">
            <w:pPr>
              <w:spacing w:after="0" w:line="240" w:lineRule="auto"/>
              <w:rPr>
                <w:rFonts w:ascii="Arial" w:eastAsia="Times New Roman" w:hAnsi="Arial" w:cs="Arial"/>
                <w:sz w:val="20"/>
                <w:szCs w:val="20"/>
                <w:lang w:eastAsia="es-EC"/>
              </w:rPr>
            </w:pPr>
          </w:p>
        </w:tc>
        <w:tc>
          <w:tcPr>
            <w:tcW w:w="227" w:type="dxa"/>
            <w:shd w:val="clear" w:color="auto" w:fill="auto"/>
            <w:noWrap/>
            <w:vAlign w:val="bottom"/>
            <w:hideMark/>
          </w:tcPr>
          <w:p w14:paraId="145669AE" w14:textId="77777777" w:rsidR="000825BD" w:rsidRPr="0074154F" w:rsidRDefault="000825BD" w:rsidP="008F5308">
            <w:pPr>
              <w:spacing w:after="0" w:line="240" w:lineRule="auto"/>
              <w:rPr>
                <w:rFonts w:ascii="Arial" w:eastAsia="Times New Roman" w:hAnsi="Arial" w:cs="Arial"/>
                <w:sz w:val="20"/>
                <w:szCs w:val="20"/>
                <w:lang w:eastAsia="es-EC"/>
              </w:rPr>
            </w:pPr>
          </w:p>
        </w:tc>
        <w:tc>
          <w:tcPr>
            <w:tcW w:w="1502" w:type="dxa"/>
            <w:tcBorders>
              <w:top w:val="single" w:sz="8" w:space="0" w:color="auto"/>
            </w:tcBorders>
            <w:shd w:val="clear" w:color="auto" w:fill="auto"/>
            <w:noWrap/>
            <w:vAlign w:val="bottom"/>
            <w:hideMark/>
          </w:tcPr>
          <w:p w14:paraId="522102C4" w14:textId="77777777" w:rsidR="000825BD" w:rsidRPr="0074154F" w:rsidRDefault="000825BD" w:rsidP="008F5308">
            <w:pPr>
              <w:spacing w:after="0" w:line="240" w:lineRule="auto"/>
              <w:rPr>
                <w:rFonts w:ascii="Arial" w:eastAsia="Times New Roman" w:hAnsi="Arial" w:cs="Arial"/>
                <w:sz w:val="20"/>
                <w:szCs w:val="20"/>
                <w:lang w:eastAsia="es-EC"/>
              </w:rPr>
            </w:pPr>
          </w:p>
        </w:tc>
      </w:tr>
      <w:tr w:rsidR="00E535B2" w:rsidRPr="0074154F" w14:paraId="37F03C02" w14:textId="77777777" w:rsidTr="00C10E8A">
        <w:trPr>
          <w:trHeight w:val="283"/>
        </w:trPr>
        <w:tc>
          <w:tcPr>
            <w:tcW w:w="5454" w:type="dxa"/>
            <w:shd w:val="clear" w:color="auto" w:fill="auto"/>
            <w:noWrap/>
            <w:vAlign w:val="bottom"/>
          </w:tcPr>
          <w:p w14:paraId="14B5F063" w14:textId="2E5AB237"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Novena (IX) Emisión de obligaciones</w:t>
            </w:r>
          </w:p>
        </w:tc>
        <w:tc>
          <w:tcPr>
            <w:tcW w:w="1502" w:type="dxa"/>
            <w:shd w:val="clear" w:color="auto" w:fill="auto"/>
            <w:noWrap/>
            <w:vAlign w:val="bottom"/>
          </w:tcPr>
          <w:p w14:paraId="22D3D47E" w14:textId="6873A951" w:rsidR="00E535B2" w:rsidRPr="0074154F" w:rsidRDefault="00E535B2" w:rsidP="00E535B2">
            <w:pPr>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8,560,151</w:t>
            </w:r>
          </w:p>
        </w:tc>
        <w:tc>
          <w:tcPr>
            <w:tcW w:w="227" w:type="dxa"/>
            <w:shd w:val="clear" w:color="auto" w:fill="auto"/>
            <w:noWrap/>
            <w:vAlign w:val="bottom"/>
          </w:tcPr>
          <w:p w14:paraId="338BA709"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0F93E621" w14:textId="38337140" w:rsidR="00E535B2" w:rsidRPr="0074154F" w:rsidRDefault="00E535B2" w:rsidP="00E535B2">
            <w:pPr>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w:t>
            </w:r>
          </w:p>
        </w:tc>
      </w:tr>
      <w:tr w:rsidR="00E535B2" w:rsidRPr="0074154F" w14:paraId="5824C8E7" w14:textId="77777777" w:rsidTr="00C10E8A">
        <w:trPr>
          <w:trHeight w:val="283"/>
        </w:trPr>
        <w:tc>
          <w:tcPr>
            <w:tcW w:w="5454" w:type="dxa"/>
            <w:shd w:val="clear" w:color="auto" w:fill="auto"/>
            <w:noWrap/>
            <w:vAlign w:val="bottom"/>
          </w:tcPr>
          <w:p w14:paraId="113943AF" w14:textId="6CEC37A7"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Tercer (III) Papel comercial</w:t>
            </w:r>
          </w:p>
        </w:tc>
        <w:tc>
          <w:tcPr>
            <w:tcW w:w="1502" w:type="dxa"/>
            <w:shd w:val="clear" w:color="auto" w:fill="auto"/>
            <w:noWrap/>
            <w:vAlign w:val="bottom"/>
          </w:tcPr>
          <w:p w14:paraId="5CE65043" w14:textId="3D1FECF7" w:rsidR="00E535B2" w:rsidRPr="0074154F" w:rsidRDefault="00E535B2" w:rsidP="00E535B2">
            <w:pPr>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5,000,000</w:t>
            </w:r>
          </w:p>
        </w:tc>
        <w:tc>
          <w:tcPr>
            <w:tcW w:w="227" w:type="dxa"/>
            <w:shd w:val="clear" w:color="auto" w:fill="auto"/>
            <w:noWrap/>
            <w:vAlign w:val="bottom"/>
          </w:tcPr>
          <w:p w14:paraId="0AA20351"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04660043" w14:textId="0CD29DC5" w:rsidR="00E535B2" w:rsidRPr="0074154F" w:rsidRDefault="00E535B2" w:rsidP="00E535B2">
            <w:pPr>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w:t>
            </w:r>
          </w:p>
        </w:tc>
      </w:tr>
      <w:tr w:rsidR="00E535B2" w:rsidRPr="0074154F" w14:paraId="5CFDCEEE" w14:textId="77777777" w:rsidTr="00C10E8A">
        <w:trPr>
          <w:trHeight w:val="283"/>
        </w:trPr>
        <w:tc>
          <w:tcPr>
            <w:tcW w:w="5454" w:type="dxa"/>
            <w:shd w:val="clear" w:color="auto" w:fill="auto"/>
            <w:noWrap/>
            <w:vAlign w:val="bottom"/>
          </w:tcPr>
          <w:p w14:paraId="08B62443" w14:textId="4604E65C"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Séptima (VII) Emisión de obligaciones</w:t>
            </w:r>
          </w:p>
        </w:tc>
        <w:tc>
          <w:tcPr>
            <w:tcW w:w="1502" w:type="dxa"/>
            <w:shd w:val="clear" w:color="auto" w:fill="auto"/>
            <w:noWrap/>
            <w:vAlign w:val="bottom"/>
          </w:tcPr>
          <w:p w14:paraId="4E99C0E2"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w:t>
            </w:r>
          </w:p>
        </w:tc>
        <w:tc>
          <w:tcPr>
            <w:tcW w:w="227" w:type="dxa"/>
            <w:shd w:val="clear" w:color="auto" w:fill="auto"/>
            <w:noWrap/>
            <w:vAlign w:val="bottom"/>
          </w:tcPr>
          <w:p w14:paraId="7B896DD2"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62471BAE"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1,194,598</w:t>
            </w:r>
          </w:p>
        </w:tc>
      </w:tr>
      <w:tr w:rsidR="00E535B2" w:rsidRPr="0074154F" w14:paraId="2CDC7577" w14:textId="77777777" w:rsidTr="00C10E8A">
        <w:trPr>
          <w:trHeight w:val="283"/>
        </w:trPr>
        <w:tc>
          <w:tcPr>
            <w:tcW w:w="5454" w:type="dxa"/>
            <w:shd w:val="clear" w:color="auto" w:fill="auto"/>
            <w:noWrap/>
            <w:vAlign w:val="bottom"/>
          </w:tcPr>
          <w:p w14:paraId="0FF86FCF" w14:textId="2EF738E1"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Octava (VIII) Emisión de obligaciones</w:t>
            </w:r>
          </w:p>
        </w:tc>
        <w:tc>
          <w:tcPr>
            <w:tcW w:w="1502" w:type="dxa"/>
            <w:shd w:val="clear" w:color="auto" w:fill="auto"/>
            <w:noWrap/>
            <w:vAlign w:val="bottom"/>
          </w:tcPr>
          <w:p w14:paraId="48E60887"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w:t>
            </w:r>
          </w:p>
        </w:tc>
        <w:tc>
          <w:tcPr>
            <w:tcW w:w="227" w:type="dxa"/>
            <w:shd w:val="clear" w:color="auto" w:fill="auto"/>
            <w:noWrap/>
            <w:vAlign w:val="bottom"/>
          </w:tcPr>
          <w:p w14:paraId="3BE202F4"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6898114C"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1,252,502</w:t>
            </w:r>
          </w:p>
        </w:tc>
      </w:tr>
      <w:tr w:rsidR="00E535B2" w:rsidRPr="0074154F" w14:paraId="637960DD" w14:textId="77777777" w:rsidTr="00C10E8A">
        <w:trPr>
          <w:trHeight w:val="283"/>
        </w:trPr>
        <w:tc>
          <w:tcPr>
            <w:tcW w:w="5454" w:type="dxa"/>
            <w:shd w:val="clear" w:color="auto" w:fill="auto"/>
            <w:noWrap/>
            <w:vAlign w:val="bottom"/>
          </w:tcPr>
          <w:p w14:paraId="20931C71" w14:textId="77777777"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p>
        </w:tc>
        <w:tc>
          <w:tcPr>
            <w:tcW w:w="1502" w:type="dxa"/>
            <w:tcBorders>
              <w:bottom w:val="nil"/>
            </w:tcBorders>
            <w:shd w:val="clear" w:color="auto" w:fill="auto"/>
            <w:noWrap/>
            <w:vAlign w:val="bottom"/>
          </w:tcPr>
          <w:p w14:paraId="46B6D618"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c>
          <w:tcPr>
            <w:tcW w:w="227" w:type="dxa"/>
            <w:shd w:val="clear" w:color="auto" w:fill="auto"/>
            <w:noWrap/>
            <w:vAlign w:val="bottom"/>
          </w:tcPr>
          <w:p w14:paraId="6F4035A6"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D5726D5"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r>
      <w:tr w:rsidR="00E535B2" w:rsidRPr="0074154F" w14:paraId="78A6BEB8" w14:textId="77777777" w:rsidTr="00C10E8A">
        <w:trPr>
          <w:trHeight w:val="283"/>
        </w:trPr>
        <w:tc>
          <w:tcPr>
            <w:tcW w:w="5454" w:type="dxa"/>
            <w:shd w:val="clear" w:color="auto" w:fill="auto"/>
            <w:noWrap/>
            <w:vAlign w:val="bottom"/>
          </w:tcPr>
          <w:p w14:paraId="4285F3EC" w14:textId="4CF1D350" w:rsidR="00E535B2" w:rsidRPr="0074154F" w:rsidRDefault="00E535B2" w:rsidP="00E535B2">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Intereses por pagar (costo amortizado)</w:t>
            </w:r>
          </w:p>
        </w:tc>
        <w:tc>
          <w:tcPr>
            <w:tcW w:w="1502" w:type="dxa"/>
            <w:tcBorders>
              <w:bottom w:val="single" w:sz="6" w:space="0" w:color="auto"/>
            </w:tcBorders>
            <w:shd w:val="clear" w:color="auto" w:fill="auto"/>
            <w:noWrap/>
            <w:vAlign w:val="bottom"/>
          </w:tcPr>
          <w:p w14:paraId="27EB8552"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37,630</w:t>
            </w:r>
          </w:p>
        </w:tc>
        <w:tc>
          <w:tcPr>
            <w:tcW w:w="227" w:type="dxa"/>
            <w:shd w:val="clear" w:color="auto" w:fill="auto"/>
            <w:noWrap/>
            <w:vAlign w:val="bottom"/>
          </w:tcPr>
          <w:p w14:paraId="11665370"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single" w:sz="6" w:space="0" w:color="auto"/>
            </w:tcBorders>
            <w:shd w:val="clear" w:color="auto" w:fill="auto"/>
            <w:noWrap/>
            <w:vAlign w:val="bottom"/>
          </w:tcPr>
          <w:p w14:paraId="1D9BAF74"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37,631</w:t>
            </w:r>
          </w:p>
        </w:tc>
      </w:tr>
      <w:tr w:rsidR="00E535B2" w:rsidRPr="0074154F" w14:paraId="1E0180E2" w14:textId="77777777" w:rsidTr="00E535B2">
        <w:trPr>
          <w:trHeight w:val="283"/>
        </w:trPr>
        <w:tc>
          <w:tcPr>
            <w:tcW w:w="5454" w:type="dxa"/>
            <w:tcBorders>
              <w:bottom w:val="nil"/>
            </w:tcBorders>
            <w:shd w:val="clear" w:color="auto" w:fill="auto"/>
            <w:noWrap/>
            <w:vAlign w:val="bottom"/>
          </w:tcPr>
          <w:p w14:paraId="2FEF80EC"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bottom w:val="nil"/>
            </w:tcBorders>
            <w:shd w:val="clear" w:color="auto" w:fill="auto"/>
            <w:noWrap/>
            <w:vAlign w:val="bottom"/>
          </w:tcPr>
          <w:p w14:paraId="12319CC1"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c>
          <w:tcPr>
            <w:tcW w:w="227" w:type="dxa"/>
            <w:tcBorders>
              <w:bottom w:val="nil"/>
            </w:tcBorders>
            <w:shd w:val="clear" w:color="auto" w:fill="auto"/>
            <w:noWrap/>
            <w:vAlign w:val="bottom"/>
          </w:tcPr>
          <w:p w14:paraId="14574260"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729A216E"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r>
      <w:tr w:rsidR="00E535B2" w:rsidRPr="0074154F" w14:paraId="6CA692FD" w14:textId="77777777" w:rsidTr="00E535B2">
        <w:trPr>
          <w:trHeight w:val="283"/>
        </w:trPr>
        <w:tc>
          <w:tcPr>
            <w:tcW w:w="5454" w:type="dxa"/>
            <w:tcBorders>
              <w:bottom w:val="nil"/>
            </w:tcBorders>
            <w:shd w:val="clear" w:color="auto" w:fill="auto"/>
            <w:noWrap/>
            <w:vAlign w:val="bottom"/>
          </w:tcPr>
          <w:p w14:paraId="3ABA24C2"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Total</w:t>
            </w:r>
          </w:p>
        </w:tc>
        <w:tc>
          <w:tcPr>
            <w:tcW w:w="1502" w:type="dxa"/>
            <w:tcBorders>
              <w:bottom w:val="double" w:sz="4" w:space="0" w:color="auto"/>
            </w:tcBorders>
            <w:shd w:val="clear" w:color="auto" w:fill="auto"/>
            <w:noWrap/>
            <w:vAlign w:val="bottom"/>
          </w:tcPr>
          <w:p w14:paraId="12210B55"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13,597,781</w:t>
            </w:r>
          </w:p>
        </w:tc>
        <w:tc>
          <w:tcPr>
            <w:tcW w:w="227" w:type="dxa"/>
            <w:tcBorders>
              <w:bottom w:val="nil"/>
            </w:tcBorders>
            <w:shd w:val="clear" w:color="auto" w:fill="auto"/>
            <w:noWrap/>
            <w:vAlign w:val="bottom"/>
          </w:tcPr>
          <w:p w14:paraId="18BC8217"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double" w:sz="4" w:space="0" w:color="auto"/>
            </w:tcBorders>
            <w:shd w:val="clear" w:color="auto" w:fill="auto"/>
            <w:noWrap/>
            <w:vAlign w:val="bottom"/>
          </w:tcPr>
          <w:p w14:paraId="12D76767"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2,484,731</w:t>
            </w:r>
          </w:p>
        </w:tc>
      </w:tr>
      <w:tr w:rsidR="00E535B2" w:rsidRPr="0074154F" w14:paraId="1C29E40E" w14:textId="77777777" w:rsidTr="00E535B2">
        <w:trPr>
          <w:trHeight w:val="139"/>
        </w:trPr>
        <w:tc>
          <w:tcPr>
            <w:tcW w:w="5454" w:type="dxa"/>
            <w:tcBorders>
              <w:bottom w:val="nil"/>
            </w:tcBorders>
            <w:shd w:val="clear" w:color="auto" w:fill="auto"/>
            <w:noWrap/>
            <w:vAlign w:val="bottom"/>
          </w:tcPr>
          <w:p w14:paraId="4D61D312"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p>
        </w:tc>
        <w:tc>
          <w:tcPr>
            <w:tcW w:w="1502" w:type="dxa"/>
            <w:tcBorders>
              <w:top w:val="double" w:sz="4" w:space="0" w:color="auto"/>
              <w:bottom w:val="nil"/>
            </w:tcBorders>
            <w:shd w:val="clear" w:color="auto" w:fill="auto"/>
            <w:noWrap/>
            <w:vAlign w:val="bottom"/>
          </w:tcPr>
          <w:p w14:paraId="3CEB2764"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2452F69B"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top w:val="double" w:sz="4" w:space="0" w:color="auto"/>
              <w:bottom w:val="nil"/>
            </w:tcBorders>
            <w:shd w:val="clear" w:color="auto" w:fill="auto"/>
            <w:noWrap/>
            <w:vAlign w:val="bottom"/>
          </w:tcPr>
          <w:p w14:paraId="1DCB5288"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r>
      <w:tr w:rsidR="00E535B2" w:rsidRPr="0074154F" w14:paraId="48090C2A" w14:textId="77777777" w:rsidTr="00C35CC3">
        <w:trPr>
          <w:trHeight w:val="283"/>
        </w:trPr>
        <w:tc>
          <w:tcPr>
            <w:tcW w:w="5454" w:type="dxa"/>
            <w:tcBorders>
              <w:top w:val="nil"/>
            </w:tcBorders>
            <w:shd w:val="clear" w:color="auto" w:fill="auto"/>
            <w:noWrap/>
            <w:vAlign w:val="bottom"/>
          </w:tcPr>
          <w:p w14:paraId="683779B3" w14:textId="77777777" w:rsidR="00E535B2" w:rsidRPr="00BC7CE5" w:rsidRDefault="00E535B2" w:rsidP="00E535B2">
            <w:pPr>
              <w:spacing w:after="0" w:line="240" w:lineRule="auto"/>
              <w:ind w:left="-70"/>
              <w:rPr>
                <w:rFonts w:ascii="Arial" w:eastAsia="Times New Roman" w:hAnsi="Arial" w:cs="Arial"/>
                <w:i/>
                <w:iCs/>
                <w:color w:val="000000"/>
                <w:sz w:val="20"/>
                <w:szCs w:val="20"/>
                <w:lang w:eastAsia="es-EC"/>
              </w:rPr>
            </w:pPr>
            <w:r w:rsidRPr="00BC7CE5">
              <w:rPr>
                <w:rFonts w:ascii="Arial" w:eastAsia="Times New Roman" w:hAnsi="Arial" w:cs="Arial"/>
                <w:i/>
                <w:iCs/>
                <w:color w:val="000000"/>
                <w:sz w:val="20"/>
                <w:szCs w:val="20"/>
                <w:u w:val="single"/>
                <w:lang w:eastAsia="es-EC"/>
              </w:rPr>
              <w:t>Clasificación</w:t>
            </w:r>
            <w:r w:rsidRPr="00BC7CE5">
              <w:rPr>
                <w:rFonts w:ascii="Arial" w:eastAsia="Times New Roman" w:hAnsi="Arial" w:cs="Arial"/>
                <w:i/>
                <w:iCs/>
                <w:color w:val="000000"/>
                <w:sz w:val="20"/>
                <w:szCs w:val="20"/>
                <w:lang w:eastAsia="es-EC"/>
              </w:rPr>
              <w:t>:</w:t>
            </w:r>
          </w:p>
        </w:tc>
        <w:tc>
          <w:tcPr>
            <w:tcW w:w="1502" w:type="dxa"/>
            <w:tcBorders>
              <w:top w:val="nil"/>
              <w:bottom w:val="nil"/>
            </w:tcBorders>
            <w:shd w:val="clear" w:color="auto" w:fill="auto"/>
            <w:noWrap/>
            <w:vAlign w:val="bottom"/>
          </w:tcPr>
          <w:p w14:paraId="3344B63F" w14:textId="32EF9A82" w:rsidR="00E535B2" w:rsidRPr="0074154F" w:rsidRDefault="00E535B2" w:rsidP="00E535B2">
            <w:pPr>
              <w:tabs>
                <w:tab w:val="decimal" w:pos="1276"/>
              </w:tabs>
              <w:spacing w:after="0" w:line="240" w:lineRule="auto"/>
              <w:rPr>
                <w:rFonts w:ascii="Arial" w:eastAsia="Times New Roman" w:hAnsi="Arial" w:cs="Arial"/>
                <w:b/>
                <w:bCs/>
                <w:sz w:val="20"/>
                <w:szCs w:val="20"/>
                <w:lang w:eastAsia="es-EC"/>
              </w:rPr>
            </w:pPr>
          </w:p>
        </w:tc>
        <w:tc>
          <w:tcPr>
            <w:tcW w:w="227" w:type="dxa"/>
            <w:tcBorders>
              <w:top w:val="nil"/>
              <w:bottom w:val="nil"/>
            </w:tcBorders>
            <w:shd w:val="clear" w:color="auto" w:fill="auto"/>
            <w:noWrap/>
            <w:vAlign w:val="bottom"/>
          </w:tcPr>
          <w:p w14:paraId="6E107024"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top w:val="nil"/>
              <w:bottom w:val="nil"/>
            </w:tcBorders>
            <w:shd w:val="clear" w:color="auto" w:fill="auto"/>
            <w:noWrap/>
            <w:vAlign w:val="bottom"/>
          </w:tcPr>
          <w:p w14:paraId="07AB0C71" w14:textId="6D641111" w:rsidR="00E535B2" w:rsidRPr="0074154F" w:rsidRDefault="00E535B2" w:rsidP="00E535B2">
            <w:pPr>
              <w:tabs>
                <w:tab w:val="decimal" w:pos="1276"/>
              </w:tabs>
              <w:spacing w:after="0" w:line="240" w:lineRule="auto"/>
              <w:rPr>
                <w:rFonts w:ascii="Arial" w:eastAsia="Times New Roman" w:hAnsi="Arial" w:cs="Arial"/>
                <w:b/>
                <w:bCs/>
                <w:sz w:val="20"/>
                <w:szCs w:val="20"/>
                <w:lang w:eastAsia="es-EC"/>
              </w:rPr>
            </w:pPr>
          </w:p>
        </w:tc>
      </w:tr>
      <w:tr w:rsidR="00E535B2" w:rsidRPr="0074154F" w14:paraId="605C8BA8" w14:textId="77777777" w:rsidTr="0020006C">
        <w:trPr>
          <w:trHeight w:val="283"/>
        </w:trPr>
        <w:tc>
          <w:tcPr>
            <w:tcW w:w="5454" w:type="dxa"/>
            <w:shd w:val="clear" w:color="auto" w:fill="auto"/>
            <w:noWrap/>
            <w:vAlign w:val="bottom"/>
          </w:tcPr>
          <w:p w14:paraId="30F20353"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Corriente</w:t>
            </w:r>
          </w:p>
        </w:tc>
        <w:tc>
          <w:tcPr>
            <w:tcW w:w="1502" w:type="dxa"/>
            <w:tcBorders>
              <w:bottom w:val="nil"/>
            </w:tcBorders>
            <w:shd w:val="clear" w:color="auto" w:fill="auto"/>
            <w:noWrap/>
            <w:vAlign w:val="bottom"/>
          </w:tcPr>
          <w:p w14:paraId="4F76535B"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6,939,886</w:t>
            </w:r>
          </w:p>
        </w:tc>
        <w:tc>
          <w:tcPr>
            <w:tcW w:w="227" w:type="dxa"/>
            <w:shd w:val="clear" w:color="auto" w:fill="auto"/>
            <w:noWrap/>
            <w:vAlign w:val="bottom"/>
          </w:tcPr>
          <w:p w14:paraId="0968997C"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CD4F235"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2,484,731</w:t>
            </w:r>
          </w:p>
        </w:tc>
      </w:tr>
      <w:tr w:rsidR="00E535B2" w:rsidRPr="0074154F" w14:paraId="7196B4F5" w14:textId="77777777" w:rsidTr="0020006C">
        <w:trPr>
          <w:trHeight w:val="283"/>
        </w:trPr>
        <w:tc>
          <w:tcPr>
            <w:tcW w:w="5454" w:type="dxa"/>
            <w:shd w:val="clear" w:color="auto" w:fill="auto"/>
            <w:noWrap/>
            <w:vAlign w:val="bottom"/>
          </w:tcPr>
          <w:p w14:paraId="596692E8"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No corriente</w:t>
            </w:r>
          </w:p>
        </w:tc>
        <w:tc>
          <w:tcPr>
            <w:tcW w:w="1502" w:type="dxa"/>
            <w:tcBorders>
              <w:bottom w:val="single" w:sz="4" w:space="0" w:color="auto"/>
            </w:tcBorders>
            <w:shd w:val="clear" w:color="auto" w:fill="auto"/>
            <w:noWrap/>
            <w:vAlign w:val="bottom"/>
          </w:tcPr>
          <w:p w14:paraId="4F1EB72E"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6,657,895</w:t>
            </w:r>
          </w:p>
        </w:tc>
        <w:tc>
          <w:tcPr>
            <w:tcW w:w="227" w:type="dxa"/>
            <w:shd w:val="clear" w:color="auto" w:fill="auto"/>
            <w:noWrap/>
            <w:vAlign w:val="bottom"/>
          </w:tcPr>
          <w:p w14:paraId="686644F0"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single" w:sz="4" w:space="0" w:color="auto"/>
            </w:tcBorders>
            <w:shd w:val="clear" w:color="auto" w:fill="auto"/>
            <w:noWrap/>
            <w:vAlign w:val="bottom"/>
          </w:tcPr>
          <w:p w14:paraId="366F943D"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w:t>
            </w:r>
          </w:p>
        </w:tc>
      </w:tr>
      <w:tr w:rsidR="00E535B2" w:rsidRPr="0074154F" w14:paraId="62E4155B" w14:textId="77777777" w:rsidTr="0020006C">
        <w:trPr>
          <w:trHeight w:val="127"/>
        </w:trPr>
        <w:tc>
          <w:tcPr>
            <w:tcW w:w="5454" w:type="dxa"/>
            <w:shd w:val="clear" w:color="auto" w:fill="auto"/>
            <w:noWrap/>
            <w:vAlign w:val="bottom"/>
          </w:tcPr>
          <w:p w14:paraId="3DA9222D"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p>
        </w:tc>
        <w:tc>
          <w:tcPr>
            <w:tcW w:w="1502" w:type="dxa"/>
            <w:tcBorders>
              <w:top w:val="single" w:sz="4" w:space="0" w:color="auto"/>
              <w:bottom w:val="nil"/>
            </w:tcBorders>
            <w:shd w:val="clear" w:color="auto" w:fill="auto"/>
            <w:noWrap/>
            <w:vAlign w:val="bottom"/>
          </w:tcPr>
          <w:p w14:paraId="1C90E5E7"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p>
        </w:tc>
        <w:tc>
          <w:tcPr>
            <w:tcW w:w="227" w:type="dxa"/>
            <w:shd w:val="clear" w:color="auto" w:fill="auto"/>
            <w:noWrap/>
            <w:vAlign w:val="bottom"/>
          </w:tcPr>
          <w:p w14:paraId="7DD08251"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top w:val="single" w:sz="4" w:space="0" w:color="auto"/>
              <w:bottom w:val="nil"/>
            </w:tcBorders>
            <w:shd w:val="clear" w:color="auto" w:fill="auto"/>
            <w:noWrap/>
            <w:vAlign w:val="bottom"/>
          </w:tcPr>
          <w:p w14:paraId="43244E7E"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r>
      <w:tr w:rsidR="00E535B2" w:rsidRPr="0074154F" w14:paraId="611EA0BF" w14:textId="77777777" w:rsidTr="003F585E">
        <w:trPr>
          <w:trHeight w:val="322"/>
        </w:trPr>
        <w:tc>
          <w:tcPr>
            <w:tcW w:w="5454" w:type="dxa"/>
            <w:tcBorders>
              <w:bottom w:val="nil"/>
            </w:tcBorders>
            <w:shd w:val="clear" w:color="auto" w:fill="auto"/>
            <w:noWrap/>
            <w:vAlign w:val="bottom"/>
          </w:tcPr>
          <w:p w14:paraId="63143F3D"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themeColor="text1"/>
                <w:sz w:val="20"/>
                <w:szCs w:val="20"/>
                <w:lang w:eastAsia="es-EC"/>
              </w:rPr>
              <w:t>Total</w:t>
            </w:r>
          </w:p>
        </w:tc>
        <w:tc>
          <w:tcPr>
            <w:tcW w:w="1502" w:type="dxa"/>
            <w:tcBorders>
              <w:bottom w:val="double" w:sz="4" w:space="0" w:color="auto"/>
            </w:tcBorders>
            <w:shd w:val="clear" w:color="auto" w:fill="auto"/>
            <w:noWrap/>
            <w:vAlign w:val="bottom"/>
          </w:tcPr>
          <w:p w14:paraId="1ACAF8AE"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13,597,781</w:t>
            </w:r>
          </w:p>
        </w:tc>
        <w:tc>
          <w:tcPr>
            <w:tcW w:w="227" w:type="dxa"/>
            <w:tcBorders>
              <w:bottom w:val="nil"/>
            </w:tcBorders>
            <w:shd w:val="clear" w:color="auto" w:fill="auto"/>
            <w:noWrap/>
            <w:vAlign w:val="bottom"/>
          </w:tcPr>
          <w:p w14:paraId="77B2E5CD"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bottom w:val="double" w:sz="4" w:space="0" w:color="auto"/>
            </w:tcBorders>
            <w:shd w:val="clear" w:color="auto" w:fill="auto"/>
            <w:noWrap/>
            <w:vAlign w:val="bottom"/>
          </w:tcPr>
          <w:p w14:paraId="2526EB53"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2,484,731</w:t>
            </w:r>
          </w:p>
        </w:tc>
      </w:tr>
      <w:tr w:rsidR="00E535B2" w:rsidRPr="0074154F" w14:paraId="77D29A7B" w14:textId="77777777" w:rsidTr="003F585E">
        <w:trPr>
          <w:trHeight w:val="322"/>
        </w:trPr>
        <w:tc>
          <w:tcPr>
            <w:tcW w:w="5454" w:type="dxa"/>
            <w:tcBorders>
              <w:bottom w:val="nil"/>
            </w:tcBorders>
            <w:shd w:val="clear" w:color="auto" w:fill="auto"/>
            <w:noWrap/>
            <w:vAlign w:val="bottom"/>
          </w:tcPr>
          <w:p w14:paraId="6F09B82B" w14:textId="77777777" w:rsidR="00E535B2" w:rsidRPr="0074154F" w:rsidRDefault="00E535B2" w:rsidP="00E535B2">
            <w:pPr>
              <w:spacing w:after="0" w:line="240" w:lineRule="auto"/>
              <w:ind w:left="-70"/>
              <w:rPr>
                <w:rFonts w:ascii="Arial" w:eastAsia="Times New Roman" w:hAnsi="Arial" w:cs="Arial"/>
                <w:color w:val="000000"/>
                <w:sz w:val="20"/>
                <w:szCs w:val="20"/>
                <w:lang w:eastAsia="es-EC"/>
              </w:rPr>
            </w:pPr>
          </w:p>
        </w:tc>
        <w:tc>
          <w:tcPr>
            <w:tcW w:w="1502" w:type="dxa"/>
            <w:tcBorders>
              <w:top w:val="double" w:sz="4" w:space="0" w:color="auto"/>
              <w:bottom w:val="nil"/>
            </w:tcBorders>
            <w:shd w:val="clear" w:color="auto" w:fill="auto"/>
            <w:noWrap/>
          </w:tcPr>
          <w:p w14:paraId="62EB4254" w14:textId="77777777" w:rsidR="00E535B2" w:rsidRPr="0074154F" w:rsidRDefault="00E535B2" w:rsidP="00E535B2">
            <w:pPr>
              <w:tabs>
                <w:tab w:val="decimal" w:pos="1276"/>
              </w:tabs>
              <w:spacing w:after="0" w:line="240" w:lineRule="auto"/>
              <w:jc w:val="right"/>
              <w:rPr>
                <w:rFonts w:ascii="Arial" w:eastAsia="Times New Roman" w:hAnsi="Arial" w:cs="Arial"/>
                <w:sz w:val="20"/>
                <w:szCs w:val="20"/>
                <w:lang w:eastAsia="es-EC"/>
              </w:rPr>
            </w:pPr>
          </w:p>
        </w:tc>
        <w:tc>
          <w:tcPr>
            <w:tcW w:w="227" w:type="dxa"/>
            <w:tcBorders>
              <w:bottom w:val="nil"/>
            </w:tcBorders>
            <w:shd w:val="clear" w:color="auto" w:fill="auto"/>
            <w:noWrap/>
          </w:tcPr>
          <w:p w14:paraId="765C8254" w14:textId="77777777" w:rsidR="00E535B2" w:rsidRPr="0074154F" w:rsidRDefault="00E535B2" w:rsidP="00E535B2">
            <w:pPr>
              <w:spacing w:after="0" w:line="240" w:lineRule="auto"/>
              <w:rPr>
                <w:rFonts w:ascii="Arial" w:eastAsia="Times New Roman" w:hAnsi="Arial" w:cs="Arial"/>
                <w:sz w:val="20"/>
                <w:szCs w:val="20"/>
                <w:lang w:eastAsia="es-EC"/>
              </w:rPr>
            </w:pPr>
          </w:p>
        </w:tc>
        <w:tc>
          <w:tcPr>
            <w:tcW w:w="1502" w:type="dxa"/>
            <w:tcBorders>
              <w:top w:val="double" w:sz="4" w:space="0" w:color="auto"/>
              <w:bottom w:val="nil"/>
            </w:tcBorders>
            <w:shd w:val="clear" w:color="auto" w:fill="auto"/>
            <w:noWrap/>
          </w:tcPr>
          <w:p w14:paraId="5600CD58" w14:textId="77777777" w:rsidR="00E535B2" w:rsidRPr="0074154F" w:rsidRDefault="00E535B2" w:rsidP="00E535B2">
            <w:pPr>
              <w:tabs>
                <w:tab w:val="decimal" w:pos="1276"/>
              </w:tabs>
              <w:spacing w:after="0" w:line="240" w:lineRule="auto"/>
              <w:rPr>
                <w:rFonts w:ascii="Arial" w:eastAsia="Times New Roman" w:hAnsi="Arial" w:cs="Arial"/>
                <w:sz w:val="20"/>
                <w:szCs w:val="20"/>
                <w:lang w:eastAsia="es-EC"/>
              </w:rPr>
            </w:pPr>
          </w:p>
        </w:tc>
      </w:tr>
    </w:tbl>
    <w:p w14:paraId="1672F184" w14:textId="0CDBABF1" w:rsidR="00C35CC3" w:rsidRPr="0074154F" w:rsidRDefault="00C35CC3" w:rsidP="00C35CC3">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Al 31 de diciembre del 2020:</w:t>
      </w:r>
    </w:p>
    <w:p w14:paraId="625FF233" w14:textId="77777777" w:rsidR="00C35CC3" w:rsidRPr="0074154F" w:rsidRDefault="00C35CC3" w:rsidP="00C35CC3">
      <w:pPr>
        <w:pStyle w:val="ListParagraph"/>
        <w:tabs>
          <w:tab w:val="left" w:pos="1276"/>
        </w:tabs>
        <w:spacing w:after="0" w:line="240" w:lineRule="auto"/>
        <w:ind w:left="567" w:right="-1"/>
        <w:jc w:val="both"/>
        <w:rPr>
          <w:rFonts w:ascii="Arial" w:hAnsi="Arial" w:cs="Arial"/>
          <w:sz w:val="20"/>
          <w:szCs w:val="20"/>
        </w:rPr>
      </w:pPr>
    </w:p>
    <w:p w14:paraId="79F3D454" w14:textId="63E4A943" w:rsidR="000825BD" w:rsidRPr="0074154F" w:rsidRDefault="000825BD" w:rsidP="00C35CC3">
      <w:pPr>
        <w:pStyle w:val="ListParagraph"/>
        <w:numPr>
          <w:ilvl w:val="0"/>
          <w:numId w:val="33"/>
        </w:numPr>
        <w:ind w:left="851" w:hanging="284"/>
        <w:jc w:val="both"/>
        <w:rPr>
          <w:rFonts w:ascii="Arial" w:hAnsi="Arial" w:cs="Arial"/>
          <w:sz w:val="20"/>
          <w:szCs w:val="20"/>
        </w:rPr>
      </w:pPr>
      <w:r w:rsidRPr="0074154F">
        <w:rPr>
          <w:rFonts w:ascii="Arial" w:hAnsi="Arial" w:cs="Arial"/>
          <w:sz w:val="20"/>
          <w:szCs w:val="20"/>
        </w:rPr>
        <w:t>Tercer papel comercial, con garantía general de US$5</w:t>
      </w:r>
      <w:r w:rsidR="006D5428" w:rsidRPr="0074154F">
        <w:rPr>
          <w:rFonts w:ascii="Arial" w:hAnsi="Arial" w:cs="Arial"/>
          <w:sz w:val="20"/>
          <w:szCs w:val="20"/>
        </w:rPr>
        <w:t xml:space="preserve"> millones</w:t>
      </w:r>
      <w:r w:rsidR="008A49FF" w:rsidRPr="0074154F">
        <w:rPr>
          <w:rFonts w:ascii="Arial" w:hAnsi="Arial" w:cs="Arial"/>
          <w:sz w:val="20"/>
          <w:szCs w:val="20"/>
        </w:rPr>
        <w:t xml:space="preserve"> </w:t>
      </w:r>
      <w:r w:rsidRPr="0074154F">
        <w:rPr>
          <w:rFonts w:ascii="Arial" w:hAnsi="Arial" w:cs="Arial"/>
          <w:sz w:val="20"/>
          <w:szCs w:val="20"/>
        </w:rPr>
        <w:t xml:space="preserve">con un plazo de hasta </w:t>
      </w:r>
      <w:r w:rsidR="00C35CC3" w:rsidRPr="0074154F">
        <w:rPr>
          <w:rFonts w:ascii="Arial" w:hAnsi="Arial" w:cs="Arial"/>
          <w:sz w:val="20"/>
          <w:szCs w:val="20"/>
        </w:rPr>
        <w:t xml:space="preserve">           </w:t>
      </w:r>
      <w:r w:rsidRPr="0074154F">
        <w:rPr>
          <w:rFonts w:ascii="Arial" w:hAnsi="Arial" w:cs="Arial"/>
          <w:sz w:val="20"/>
          <w:szCs w:val="20"/>
        </w:rPr>
        <w:t>720 días con destino a capital de trabajo</w:t>
      </w:r>
      <w:r w:rsidR="00A45E67" w:rsidRPr="0074154F">
        <w:rPr>
          <w:rFonts w:ascii="Arial" w:hAnsi="Arial" w:cs="Arial"/>
          <w:sz w:val="20"/>
          <w:szCs w:val="20"/>
        </w:rPr>
        <w:t xml:space="preserve"> e intereses</w:t>
      </w:r>
      <w:r w:rsidRPr="0074154F">
        <w:rPr>
          <w:rFonts w:ascii="Arial" w:hAnsi="Arial" w:cs="Arial"/>
          <w:sz w:val="20"/>
          <w:szCs w:val="20"/>
        </w:rPr>
        <w:t xml:space="preserve">, mediante resolución </w:t>
      </w:r>
      <w:r w:rsidR="00A45E67" w:rsidRPr="0074154F">
        <w:rPr>
          <w:rFonts w:ascii="Arial" w:hAnsi="Arial" w:cs="Arial"/>
          <w:sz w:val="20"/>
          <w:szCs w:val="20"/>
        </w:rPr>
        <w:t xml:space="preserve">                              </w:t>
      </w:r>
      <w:r w:rsidRPr="0074154F">
        <w:rPr>
          <w:rFonts w:ascii="Arial" w:hAnsi="Arial" w:cs="Arial"/>
          <w:sz w:val="20"/>
          <w:szCs w:val="20"/>
        </w:rPr>
        <w:t xml:space="preserve">SCVS-INMV-DNAR-2020-00002979 la intendencia de Mercado de Valores aprobó el prospecto de oferta pública. </w:t>
      </w:r>
    </w:p>
    <w:p w14:paraId="1A258EE2" w14:textId="77777777" w:rsidR="000825BD" w:rsidRPr="0074154F" w:rsidRDefault="000825BD" w:rsidP="000825BD">
      <w:pPr>
        <w:pStyle w:val="ListParagraph"/>
        <w:ind w:left="851"/>
        <w:jc w:val="both"/>
        <w:rPr>
          <w:rFonts w:ascii="Arial" w:hAnsi="Arial" w:cs="Arial"/>
          <w:sz w:val="18"/>
          <w:szCs w:val="18"/>
        </w:rPr>
      </w:pPr>
    </w:p>
    <w:p w14:paraId="57F17666" w14:textId="77777777" w:rsidR="003D5101" w:rsidRDefault="000825BD" w:rsidP="00C35CC3">
      <w:pPr>
        <w:pStyle w:val="ListParagraph"/>
        <w:numPr>
          <w:ilvl w:val="0"/>
          <w:numId w:val="33"/>
        </w:numPr>
        <w:ind w:left="851" w:hanging="284"/>
        <w:jc w:val="both"/>
        <w:rPr>
          <w:rFonts w:ascii="Arial" w:hAnsi="Arial" w:cs="Arial"/>
          <w:sz w:val="20"/>
          <w:szCs w:val="20"/>
        </w:rPr>
      </w:pPr>
      <w:r w:rsidRPr="0074154F">
        <w:rPr>
          <w:rFonts w:ascii="Arial" w:hAnsi="Arial" w:cs="Arial"/>
          <w:sz w:val="20"/>
          <w:szCs w:val="20"/>
        </w:rPr>
        <w:t>Novena emisión de obligaciones, con garantía general por un monto de US$22</w:t>
      </w:r>
      <w:r w:rsidR="006D5428" w:rsidRPr="0074154F">
        <w:rPr>
          <w:rFonts w:ascii="Arial" w:hAnsi="Arial" w:cs="Arial"/>
          <w:sz w:val="20"/>
          <w:szCs w:val="20"/>
        </w:rPr>
        <w:t xml:space="preserve"> millones</w:t>
      </w:r>
      <w:r w:rsidR="008A49FF" w:rsidRPr="0074154F">
        <w:rPr>
          <w:rFonts w:ascii="Arial" w:hAnsi="Arial" w:cs="Arial"/>
          <w:sz w:val="20"/>
          <w:szCs w:val="20"/>
        </w:rPr>
        <w:t xml:space="preserve"> </w:t>
      </w:r>
      <w:r w:rsidRPr="0074154F">
        <w:rPr>
          <w:rFonts w:ascii="Arial" w:hAnsi="Arial" w:cs="Arial"/>
          <w:sz w:val="20"/>
          <w:szCs w:val="20"/>
        </w:rPr>
        <w:t xml:space="preserve">a una tasa fija anual del 8% con un plazo de </w:t>
      </w:r>
      <w:r w:rsidR="006D5428" w:rsidRPr="0074154F">
        <w:rPr>
          <w:rFonts w:ascii="Arial" w:hAnsi="Arial" w:cs="Arial"/>
          <w:sz w:val="20"/>
          <w:szCs w:val="20"/>
        </w:rPr>
        <w:t xml:space="preserve">hasta </w:t>
      </w:r>
      <w:r w:rsidRPr="0074154F">
        <w:rPr>
          <w:rFonts w:ascii="Arial" w:hAnsi="Arial" w:cs="Arial"/>
          <w:sz w:val="20"/>
          <w:szCs w:val="20"/>
        </w:rPr>
        <w:t>1</w:t>
      </w:r>
      <w:r w:rsidR="006D5428" w:rsidRPr="0074154F">
        <w:rPr>
          <w:rFonts w:ascii="Arial" w:hAnsi="Arial" w:cs="Arial"/>
          <w:sz w:val="20"/>
          <w:szCs w:val="20"/>
        </w:rPr>
        <w:t>,</w:t>
      </w:r>
      <w:r w:rsidRPr="0074154F">
        <w:rPr>
          <w:rFonts w:ascii="Arial" w:hAnsi="Arial" w:cs="Arial"/>
          <w:sz w:val="20"/>
          <w:szCs w:val="20"/>
        </w:rPr>
        <w:t xml:space="preserve">800 días, pagando capital e intereses trimestralmente. </w:t>
      </w:r>
    </w:p>
    <w:p w14:paraId="65580610" w14:textId="77777777" w:rsidR="003D5101" w:rsidRPr="003D5101" w:rsidRDefault="003D5101" w:rsidP="003D5101">
      <w:pPr>
        <w:pStyle w:val="ListParagraph"/>
        <w:rPr>
          <w:rFonts w:ascii="Arial" w:hAnsi="Arial" w:cs="Arial"/>
          <w:sz w:val="20"/>
          <w:szCs w:val="20"/>
        </w:rPr>
      </w:pPr>
    </w:p>
    <w:p w14:paraId="0CBE6D1D" w14:textId="0BC9CE06" w:rsidR="00F84D49" w:rsidRPr="0074154F" w:rsidRDefault="000825BD" w:rsidP="003D5101">
      <w:pPr>
        <w:pStyle w:val="ListParagraph"/>
        <w:ind w:left="851"/>
        <w:jc w:val="both"/>
        <w:rPr>
          <w:rFonts w:ascii="Arial" w:hAnsi="Arial" w:cs="Arial"/>
          <w:sz w:val="20"/>
          <w:szCs w:val="20"/>
        </w:rPr>
      </w:pPr>
      <w:r w:rsidRPr="0074154F">
        <w:rPr>
          <w:rFonts w:ascii="Arial" w:hAnsi="Arial" w:cs="Arial"/>
          <w:sz w:val="20"/>
          <w:szCs w:val="20"/>
        </w:rPr>
        <w:t>En marzo 2020 mediante resolución SCVS-INV-DNAR-2020-00002978, la intendencia de Mercado de Valores aprobó el prospecto de oferta pública, e inscribió los títulos emitidos bajo el No. 2007.02.01.00306.</w:t>
      </w:r>
    </w:p>
    <w:p w14:paraId="3C587CA4" w14:textId="6BCB76A8" w:rsidR="003322E2" w:rsidRPr="0074154F" w:rsidRDefault="003322E2" w:rsidP="003322E2">
      <w:pPr>
        <w:pStyle w:val="ListParagraph"/>
        <w:rPr>
          <w:rFonts w:ascii="Arial" w:hAnsi="Arial" w:cs="Arial"/>
          <w:sz w:val="20"/>
          <w:szCs w:val="20"/>
        </w:rPr>
      </w:pPr>
    </w:p>
    <w:p w14:paraId="6346F6CD" w14:textId="64D74B3A" w:rsidR="00C35CC3" w:rsidRPr="0074154F" w:rsidRDefault="00C35CC3" w:rsidP="00C35CC3">
      <w:pPr>
        <w:pStyle w:val="ListParagraph"/>
        <w:tabs>
          <w:tab w:val="left" w:pos="1276"/>
        </w:tabs>
        <w:spacing w:after="0" w:line="240" w:lineRule="auto"/>
        <w:ind w:left="567" w:right="-1"/>
        <w:jc w:val="both"/>
        <w:rPr>
          <w:rFonts w:ascii="Arial" w:hAnsi="Arial" w:cs="Arial"/>
          <w:sz w:val="20"/>
          <w:szCs w:val="20"/>
        </w:rPr>
      </w:pPr>
      <w:r w:rsidRPr="0074154F">
        <w:rPr>
          <w:rFonts w:ascii="Arial" w:hAnsi="Arial" w:cs="Arial"/>
          <w:sz w:val="20"/>
          <w:szCs w:val="20"/>
        </w:rPr>
        <w:t>Al 31 de diciembre del 2019:</w:t>
      </w:r>
    </w:p>
    <w:p w14:paraId="41F64CBC" w14:textId="77777777" w:rsidR="00C35CC3" w:rsidRPr="0074154F" w:rsidRDefault="00C35CC3" w:rsidP="007C0B3D">
      <w:pPr>
        <w:pStyle w:val="ListParagraph"/>
        <w:rPr>
          <w:rFonts w:ascii="Arial" w:hAnsi="Arial" w:cs="Arial"/>
          <w:sz w:val="20"/>
          <w:szCs w:val="20"/>
        </w:rPr>
      </w:pPr>
    </w:p>
    <w:p w14:paraId="5017DDD9" w14:textId="2BC0C01E" w:rsidR="007C0B3D" w:rsidRPr="0074154F" w:rsidRDefault="007C0B3D" w:rsidP="00C35CC3">
      <w:pPr>
        <w:pStyle w:val="ListParagraph"/>
        <w:numPr>
          <w:ilvl w:val="0"/>
          <w:numId w:val="33"/>
        </w:numPr>
        <w:ind w:left="851" w:hanging="284"/>
        <w:jc w:val="both"/>
        <w:rPr>
          <w:rFonts w:ascii="Arial" w:hAnsi="Arial" w:cs="Arial"/>
          <w:sz w:val="20"/>
          <w:szCs w:val="20"/>
        </w:rPr>
      </w:pPr>
      <w:r w:rsidRPr="0074154F">
        <w:rPr>
          <w:rFonts w:ascii="Arial" w:hAnsi="Arial" w:cs="Arial"/>
          <w:sz w:val="20"/>
          <w:szCs w:val="20"/>
        </w:rPr>
        <w:t xml:space="preserve">Séptima emisión de obligaciones con garantías general por un monto de hasta </w:t>
      </w:r>
      <w:r w:rsidR="00C35CC3" w:rsidRPr="0074154F">
        <w:rPr>
          <w:rFonts w:ascii="Arial" w:hAnsi="Arial" w:cs="Arial"/>
          <w:sz w:val="20"/>
          <w:szCs w:val="20"/>
        </w:rPr>
        <w:t xml:space="preserve">                   </w:t>
      </w:r>
      <w:r w:rsidRPr="0074154F">
        <w:rPr>
          <w:rFonts w:ascii="Arial" w:hAnsi="Arial" w:cs="Arial"/>
          <w:sz w:val="20"/>
          <w:szCs w:val="20"/>
        </w:rPr>
        <w:t xml:space="preserve">US$12 millones en una sola serie a una tasa fija anual del 8% con un plazo de 1,800 días, pagando capital e interés trimestralmente. En abril 2015, mediante resolución No. SCVS-INMV-DNAR-15-0000995, la Intendencia de Mercado de Valores aprobó el prospecto de oferta pública, e inscribió los títulos emitidos bajo No. 2016-G-02-001528.   </w:t>
      </w:r>
    </w:p>
    <w:p w14:paraId="4D027B8B" w14:textId="734A6F17" w:rsidR="00A45E67" w:rsidRPr="0074154F" w:rsidRDefault="00A45E67" w:rsidP="007C0B3D">
      <w:pPr>
        <w:pStyle w:val="ListParagraph"/>
        <w:rPr>
          <w:rFonts w:ascii="Arial" w:hAnsi="Arial" w:cs="Arial"/>
          <w:sz w:val="20"/>
          <w:szCs w:val="20"/>
        </w:rPr>
      </w:pPr>
    </w:p>
    <w:p w14:paraId="75B539E8" w14:textId="745DE9BC" w:rsidR="007C0B3D" w:rsidRPr="0074154F" w:rsidRDefault="007C0B3D" w:rsidP="002C1620">
      <w:pPr>
        <w:pStyle w:val="ListParagraph"/>
        <w:numPr>
          <w:ilvl w:val="0"/>
          <w:numId w:val="33"/>
        </w:numPr>
        <w:ind w:left="851" w:hanging="284"/>
        <w:jc w:val="both"/>
        <w:rPr>
          <w:rFonts w:ascii="Arial" w:hAnsi="Arial" w:cs="Arial"/>
          <w:sz w:val="20"/>
          <w:szCs w:val="20"/>
        </w:rPr>
      </w:pPr>
      <w:r w:rsidRPr="0074154F">
        <w:rPr>
          <w:rFonts w:ascii="Arial" w:hAnsi="Arial" w:cs="Arial"/>
          <w:sz w:val="20"/>
          <w:szCs w:val="20"/>
        </w:rPr>
        <w:t>Octava emisión de obligaciones con garantía general por un monto de hasta US$5 millones en dos series a una tasa fija anual del 8% con un plazo de 1,440 pagando capital e interés trimestralmente.</w:t>
      </w:r>
      <w:r w:rsidR="00EE181F" w:rsidRPr="0074154F">
        <w:rPr>
          <w:rFonts w:ascii="Arial" w:hAnsi="Arial" w:cs="Arial"/>
          <w:sz w:val="20"/>
          <w:szCs w:val="20"/>
        </w:rPr>
        <w:t xml:space="preserve"> </w:t>
      </w:r>
      <w:r w:rsidRPr="0074154F">
        <w:rPr>
          <w:rFonts w:ascii="Arial" w:hAnsi="Arial" w:cs="Arial"/>
          <w:sz w:val="20"/>
          <w:szCs w:val="20"/>
        </w:rPr>
        <w:t>En septiembre 2016, mediante resolución No. SCVS -INMV-DNAR-16-0005192, la Intendencia de Mercado de Valores aprobó el prospecto de oferta pública, e inscribió los títulos emitidos bajo el No. 2016-G-02-1899.</w:t>
      </w:r>
    </w:p>
    <w:p w14:paraId="16F7098F" w14:textId="1E366275" w:rsidR="003D5101" w:rsidRDefault="003D5101" w:rsidP="003D5101">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276BDC20" w14:textId="77777777" w:rsidR="003D5101" w:rsidRPr="003D5101" w:rsidRDefault="003D5101" w:rsidP="003D5101">
      <w:pPr>
        <w:rPr>
          <w:lang w:eastAsia="es-EC"/>
        </w:rPr>
      </w:pPr>
    </w:p>
    <w:p w14:paraId="3D80D90A" w14:textId="3854596A" w:rsidR="005A5DA3" w:rsidRPr="0074154F" w:rsidRDefault="00ED1291" w:rsidP="00372BE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OBLIGACIONES ACUMULADAS</w:t>
      </w:r>
    </w:p>
    <w:p w14:paraId="131326B8" w14:textId="3222D342" w:rsidR="005A5DA3" w:rsidRPr="0074154F" w:rsidRDefault="005A5DA3" w:rsidP="00372BE9">
      <w:pPr>
        <w:spacing w:after="0" w:line="240" w:lineRule="auto"/>
        <w:ind w:left="567"/>
        <w:jc w:val="both"/>
        <w:rPr>
          <w:rFonts w:ascii="Arial" w:hAnsi="Arial" w:cs="Arial"/>
          <w:sz w:val="20"/>
          <w:szCs w:val="20"/>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6A2520" w:rsidRPr="0074154F" w14:paraId="2135816E" w14:textId="77777777" w:rsidTr="00471822">
        <w:trPr>
          <w:trHeight w:val="255"/>
          <w:jc w:val="right"/>
        </w:trPr>
        <w:tc>
          <w:tcPr>
            <w:tcW w:w="5272" w:type="dxa"/>
            <w:tcBorders>
              <w:top w:val="nil"/>
              <w:left w:val="nil"/>
              <w:bottom w:val="nil"/>
              <w:right w:val="nil"/>
            </w:tcBorders>
            <w:shd w:val="clear" w:color="auto" w:fill="auto"/>
            <w:noWrap/>
            <w:vAlign w:val="bottom"/>
            <w:hideMark/>
          </w:tcPr>
          <w:p w14:paraId="39CA0D13" w14:textId="77777777" w:rsidR="00E01B2C" w:rsidRPr="0074154F" w:rsidRDefault="00E01B2C" w:rsidP="00372BE9">
            <w:pPr>
              <w:spacing w:after="0" w:line="240" w:lineRule="auto"/>
              <w:ind w:left="-70"/>
              <w:rPr>
                <w:rFonts w:ascii="Arial" w:eastAsia="Times New Roman" w:hAnsi="Arial" w:cs="Arial"/>
                <w:color w:val="000000" w:themeColor="text1"/>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17646407" w14:textId="4FB92DAA"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31/12/20</w:t>
            </w:r>
            <w:r w:rsidR="00356450" w:rsidRPr="0074154F">
              <w:rPr>
                <w:rFonts w:ascii="Arial" w:eastAsia="Times New Roman" w:hAnsi="Arial" w:cs="Arial"/>
                <w:b/>
                <w:bCs/>
                <w:color w:val="000000" w:themeColor="text1"/>
                <w:sz w:val="20"/>
                <w:szCs w:val="20"/>
                <w:lang w:eastAsia="es-EC"/>
              </w:rPr>
              <w:t>20</w:t>
            </w:r>
          </w:p>
        </w:tc>
        <w:tc>
          <w:tcPr>
            <w:tcW w:w="227" w:type="dxa"/>
            <w:tcBorders>
              <w:top w:val="nil"/>
              <w:left w:val="nil"/>
              <w:bottom w:val="nil"/>
              <w:right w:val="nil"/>
            </w:tcBorders>
            <w:shd w:val="clear" w:color="auto" w:fill="auto"/>
            <w:noWrap/>
            <w:vAlign w:val="bottom"/>
            <w:hideMark/>
          </w:tcPr>
          <w:p w14:paraId="015E1705" w14:textId="77777777"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11A5D052" w14:textId="46E65254"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31/12/201</w:t>
            </w:r>
            <w:r w:rsidR="00356450" w:rsidRPr="0074154F">
              <w:rPr>
                <w:rFonts w:ascii="Arial" w:eastAsia="Times New Roman" w:hAnsi="Arial" w:cs="Arial"/>
                <w:b/>
                <w:bCs/>
                <w:color w:val="000000" w:themeColor="text1"/>
                <w:sz w:val="20"/>
                <w:szCs w:val="20"/>
                <w:lang w:eastAsia="es-EC"/>
              </w:rPr>
              <w:t>9</w:t>
            </w:r>
          </w:p>
        </w:tc>
      </w:tr>
      <w:tr w:rsidR="006A2520" w:rsidRPr="0074154F" w14:paraId="73AB999E" w14:textId="77777777" w:rsidTr="00471822">
        <w:trPr>
          <w:trHeight w:val="255"/>
          <w:jc w:val="right"/>
        </w:trPr>
        <w:tc>
          <w:tcPr>
            <w:tcW w:w="5272" w:type="dxa"/>
            <w:tcBorders>
              <w:top w:val="nil"/>
              <w:left w:val="nil"/>
              <w:bottom w:val="nil"/>
              <w:right w:val="nil"/>
            </w:tcBorders>
            <w:shd w:val="clear" w:color="auto" w:fill="auto"/>
            <w:noWrap/>
            <w:vAlign w:val="bottom"/>
          </w:tcPr>
          <w:p w14:paraId="1E2B8CB1" w14:textId="2D807392" w:rsidR="00E01B2C" w:rsidRPr="0074154F" w:rsidRDefault="00E01B2C" w:rsidP="00372BE9">
            <w:pPr>
              <w:spacing w:after="0" w:line="240" w:lineRule="auto"/>
              <w:ind w:left="-70"/>
              <w:rPr>
                <w:rFonts w:ascii="Arial" w:eastAsia="Times New Roman" w:hAnsi="Arial" w:cs="Arial"/>
                <w:color w:val="000000" w:themeColor="text1"/>
                <w:sz w:val="20"/>
                <w:szCs w:val="20"/>
                <w:u w:val="single"/>
                <w:lang w:eastAsia="es-EC"/>
              </w:rPr>
            </w:pPr>
          </w:p>
        </w:tc>
        <w:tc>
          <w:tcPr>
            <w:tcW w:w="1502" w:type="dxa"/>
            <w:tcBorders>
              <w:top w:val="single" w:sz="8" w:space="0" w:color="auto"/>
              <w:left w:val="nil"/>
              <w:right w:val="nil"/>
            </w:tcBorders>
            <w:shd w:val="clear" w:color="auto" w:fill="auto"/>
            <w:noWrap/>
            <w:vAlign w:val="bottom"/>
          </w:tcPr>
          <w:p w14:paraId="07C11C1D" w14:textId="6DD207C1"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c>
          <w:tcPr>
            <w:tcW w:w="227" w:type="dxa"/>
            <w:tcBorders>
              <w:top w:val="nil"/>
              <w:left w:val="nil"/>
              <w:right w:val="nil"/>
            </w:tcBorders>
            <w:shd w:val="clear" w:color="auto" w:fill="auto"/>
            <w:noWrap/>
            <w:vAlign w:val="bottom"/>
          </w:tcPr>
          <w:p w14:paraId="16602A0A" w14:textId="77777777"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c>
          <w:tcPr>
            <w:tcW w:w="1502" w:type="dxa"/>
            <w:tcBorders>
              <w:top w:val="single" w:sz="8" w:space="0" w:color="auto"/>
              <w:left w:val="nil"/>
              <w:right w:val="nil"/>
            </w:tcBorders>
            <w:shd w:val="clear" w:color="auto" w:fill="auto"/>
            <w:noWrap/>
            <w:vAlign w:val="bottom"/>
          </w:tcPr>
          <w:p w14:paraId="023984E3" w14:textId="168E57FB"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r>
      <w:tr w:rsidR="006A2520" w:rsidRPr="0074154F" w14:paraId="510C8E9A" w14:textId="77777777" w:rsidTr="00471822">
        <w:trPr>
          <w:trHeight w:val="255"/>
          <w:jc w:val="right"/>
        </w:trPr>
        <w:tc>
          <w:tcPr>
            <w:tcW w:w="5272" w:type="dxa"/>
            <w:tcBorders>
              <w:top w:val="nil"/>
              <w:left w:val="nil"/>
              <w:right w:val="nil"/>
            </w:tcBorders>
            <w:shd w:val="clear" w:color="auto" w:fill="auto"/>
            <w:noWrap/>
            <w:vAlign w:val="bottom"/>
          </w:tcPr>
          <w:p w14:paraId="41724A22" w14:textId="056B0756" w:rsidR="00356450" w:rsidRPr="0074154F" w:rsidRDefault="00356450" w:rsidP="00372BE9">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Beneficios sociales</w:t>
            </w:r>
          </w:p>
        </w:tc>
        <w:tc>
          <w:tcPr>
            <w:tcW w:w="1502" w:type="dxa"/>
            <w:tcBorders>
              <w:left w:val="nil"/>
              <w:right w:val="nil"/>
            </w:tcBorders>
            <w:shd w:val="clear" w:color="auto" w:fill="auto"/>
            <w:noWrap/>
            <w:vAlign w:val="bottom"/>
          </w:tcPr>
          <w:p w14:paraId="5892CA99" w14:textId="242B4422" w:rsidR="00356450" w:rsidRPr="0074154F" w:rsidRDefault="005C7A38"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9,771,319</w:t>
            </w:r>
          </w:p>
        </w:tc>
        <w:tc>
          <w:tcPr>
            <w:tcW w:w="227" w:type="dxa"/>
            <w:tcBorders>
              <w:left w:val="nil"/>
              <w:right w:val="nil"/>
            </w:tcBorders>
            <w:shd w:val="clear" w:color="auto" w:fill="auto"/>
            <w:noWrap/>
            <w:vAlign w:val="bottom"/>
          </w:tcPr>
          <w:p w14:paraId="12733E08" w14:textId="77777777" w:rsidR="00356450" w:rsidRPr="0074154F" w:rsidRDefault="00356450" w:rsidP="00372BE9">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6A1F6257" w14:textId="3B46A44E" w:rsidR="00356450" w:rsidRPr="0074154F" w:rsidRDefault="00D47CA8"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5,211,073</w:t>
            </w:r>
          </w:p>
        </w:tc>
      </w:tr>
      <w:tr w:rsidR="00810CCA" w:rsidRPr="0074154F" w14:paraId="27B5DA4E" w14:textId="77777777" w:rsidTr="00471822">
        <w:trPr>
          <w:trHeight w:val="255"/>
          <w:jc w:val="right"/>
        </w:trPr>
        <w:tc>
          <w:tcPr>
            <w:tcW w:w="5272" w:type="dxa"/>
            <w:tcBorders>
              <w:top w:val="nil"/>
              <w:left w:val="nil"/>
              <w:right w:val="nil"/>
            </w:tcBorders>
            <w:shd w:val="clear" w:color="auto" w:fill="auto"/>
            <w:noWrap/>
            <w:vAlign w:val="bottom"/>
          </w:tcPr>
          <w:p w14:paraId="22429842" w14:textId="66375C4A" w:rsidR="00810CCA" w:rsidRPr="0074154F" w:rsidRDefault="00810CCA" w:rsidP="00810CCA">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Participación de trabajadores</w:t>
            </w:r>
          </w:p>
        </w:tc>
        <w:tc>
          <w:tcPr>
            <w:tcW w:w="1502" w:type="dxa"/>
            <w:tcBorders>
              <w:left w:val="nil"/>
              <w:right w:val="nil"/>
            </w:tcBorders>
            <w:shd w:val="clear" w:color="auto" w:fill="auto"/>
            <w:noWrap/>
            <w:vAlign w:val="bottom"/>
          </w:tcPr>
          <w:p w14:paraId="6FD7D5E5" w14:textId="0E1DAC68" w:rsidR="00810CCA" w:rsidRPr="0074154F" w:rsidRDefault="005C7A38" w:rsidP="00810CCA">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4,924,720</w:t>
            </w:r>
          </w:p>
        </w:tc>
        <w:tc>
          <w:tcPr>
            <w:tcW w:w="227" w:type="dxa"/>
            <w:tcBorders>
              <w:left w:val="nil"/>
              <w:right w:val="nil"/>
            </w:tcBorders>
            <w:shd w:val="clear" w:color="auto" w:fill="auto"/>
            <w:noWrap/>
            <w:vAlign w:val="bottom"/>
          </w:tcPr>
          <w:p w14:paraId="46359BB1" w14:textId="77777777" w:rsidR="00810CCA" w:rsidRPr="0074154F" w:rsidRDefault="00810CCA" w:rsidP="00810CCA">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11A2A58D" w14:textId="64AC812E" w:rsidR="00810CCA" w:rsidRPr="0074154F" w:rsidRDefault="00D47CA8" w:rsidP="00810CCA">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3,976,474</w:t>
            </w:r>
          </w:p>
        </w:tc>
      </w:tr>
      <w:tr w:rsidR="00810CCA" w:rsidRPr="0074154F" w14:paraId="2B0CFD92" w14:textId="77777777" w:rsidTr="00471822">
        <w:trPr>
          <w:trHeight w:val="255"/>
          <w:jc w:val="right"/>
        </w:trPr>
        <w:tc>
          <w:tcPr>
            <w:tcW w:w="5272" w:type="dxa"/>
            <w:tcBorders>
              <w:top w:val="nil"/>
              <w:left w:val="nil"/>
              <w:right w:val="nil"/>
            </w:tcBorders>
            <w:shd w:val="clear" w:color="auto" w:fill="auto"/>
            <w:noWrap/>
            <w:vAlign w:val="bottom"/>
          </w:tcPr>
          <w:p w14:paraId="0E15B638" w14:textId="22088438" w:rsidR="00810CCA" w:rsidRPr="0074154F" w:rsidRDefault="00810CCA" w:rsidP="00810CCA">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Aportes al IESS </w:t>
            </w:r>
          </w:p>
        </w:tc>
        <w:tc>
          <w:tcPr>
            <w:tcW w:w="1502" w:type="dxa"/>
            <w:tcBorders>
              <w:left w:val="nil"/>
              <w:right w:val="nil"/>
            </w:tcBorders>
            <w:shd w:val="clear" w:color="auto" w:fill="auto"/>
            <w:noWrap/>
            <w:vAlign w:val="bottom"/>
          </w:tcPr>
          <w:p w14:paraId="71FC4960" w14:textId="53211739" w:rsidR="00810CCA" w:rsidRPr="0074154F" w:rsidRDefault="0041590E" w:rsidP="00810CCA">
            <w:pPr>
              <w:tabs>
                <w:tab w:val="decimal" w:pos="1276"/>
              </w:tabs>
              <w:spacing w:after="0" w:line="240" w:lineRule="auto"/>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6</w:t>
            </w:r>
            <w:r w:rsidR="005C7A38">
              <w:rPr>
                <w:rFonts w:ascii="Arial" w:eastAsia="Times New Roman" w:hAnsi="Arial" w:cs="Arial"/>
                <w:color w:val="000000" w:themeColor="text1"/>
                <w:sz w:val="20"/>
                <w:szCs w:val="20"/>
                <w:lang w:val="es-MX" w:eastAsia="es-MX"/>
              </w:rPr>
              <w:t>72,742</w:t>
            </w:r>
          </w:p>
        </w:tc>
        <w:tc>
          <w:tcPr>
            <w:tcW w:w="227" w:type="dxa"/>
            <w:tcBorders>
              <w:left w:val="nil"/>
              <w:right w:val="nil"/>
            </w:tcBorders>
            <w:shd w:val="clear" w:color="auto" w:fill="auto"/>
            <w:noWrap/>
            <w:vAlign w:val="bottom"/>
          </w:tcPr>
          <w:p w14:paraId="7697C934" w14:textId="77777777" w:rsidR="00810CCA" w:rsidRPr="0074154F" w:rsidRDefault="00810CCA" w:rsidP="00810CCA">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380ECE4C" w14:textId="2E44B20A" w:rsidR="00810CCA" w:rsidRPr="0074154F" w:rsidRDefault="004D3C08" w:rsidP="00810CCA">
            <w:pPr>
              <w:tabs>
                <w:tab w:val="decimal" w:pos="1276"/>
              </w:tabs>
              <w:spacing w:after="0" w:line="240" w:lineRule="auto"/>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5</w:t>
            </w:r>
            <w:r w:rsidR="0081757C">
              <w:rPr>
                <w:rFonts w:ascii="Arial" w:eastAsia="Times New Roman" w:hAnsi="Arial" w:cs="Arial"/>
                <w:color w:val="000000" w:themeColor="text1"/>
                <w:sz w:val="20"/>
                <w:szCs w:val="20"/>
                <w:lang w:val="es-MX" w:eastAsia="es-MX"/>
              </w:rPr>
              <w:t>65,970</w:t>
            </w:r>
          </w:p>
        </w:tc>
      </w:tr>
      <w:tr w:rsidR="00810CCA" w:rsidRPr="0074154F" w14:paraId="22AC4A72" w14:textId="77777777" w:rsidTr="0024421F">
        <w:trPr>
          <w:trHeight w:val="255"/>
          <w:jc w:val="right"/>
        </w:trPr>
        <w:tc>
          <w:tcPr>
            <w:tcW w:w="5272" w:type="dxa"/>
            <w:tcBorders>
              <w:top w:val="nil"/>
              <w:left w:val="nil"/>
              <w:bottom w:val="nil"/>
              <w:right w:val="nil"/>
            </w:tcBorders>
            <w:shd w:val="clear" w:color="auto" w:fill="auto"/>
            <w:noWrap/>
            <w:vAlign w:val="bottom"/>
          </w:tcPr>
          <w:p w14:paraId="3A92168E" w14:textId="77777777" w:rsidR="00810CCA" w:rsidRPr="0074154F" w:rsidRDefault="00810CCA" w:rsidP="00810CCA">
            <w:pPr>
              <w:spacing w:after="0" w:line="240" w:lineRule="auto"/>
              <w:ind w:left="-70"/>
              <w:rPr>
                <w:rFonts w:ascii="Arial" w:eastAsia="Times New Roman" w:hAnsi="Arial" w:cs="Arial"/>
                <w:color w:val="000000" w:themeColor="text1"/>
                <w:sz w:val="20"/>
                <w:szCs w:val="20"/>
                <w:lang w:val="es-MX" w:eastAsia="es-MX"/>
              </w:rPr>
            </w:pPr>
          </w:p>
        </w:tc>
        <w:tc>
          <w:tcPr>
            <w:tcW w:w="1502" w:type="dxa"/>
            <w:tcBorders>
              <w:top w:val="single" w:sz="4" w:space="0" w:color="auto"/>
              <w:left w:val="nil"/>
              <w:right w:val="nil"/>
            </w:tcBorders>
            <w:shd w:val="clear" w:color="auto" w:fill="auto"/>
            <w:noWrap/>
            <w:vAlign w:val="bottom"/>
          </w:tcPr>
          <w:p w14:paraId="11781D1B" w14:textId="5E4EDD1E" w:rsidR="00810CCA" w:rsidRPr="0074154F" w:rsidRDefault="00810CCA" w:rsidP="00810CCA">
            <w:pPr>
              <w:tabs>
                <w:tab w:val="decimal" w:pos="1276"/>
              </w:tabs>
              <w:spacing w:after="0" w:line="240" w:lineRule="auto"/>
              <w:rPr>
                <w:rFonts w:ascii="Arial" w:eastAsia="Times New Roman" w:hAnsi="Arial" w:cs="Arial"/>
                <w:color w:val="000000" w:themeColor="text1"/>
                <w:sz w:val="20"/>
                <w:szCs w:val="20"/>
                <w:lang w:eastAsia="es-EC"/>
              </w:rPr>
            </w:pPr>
          </w:p>
        </w:tc>
        <w:tc>
          <w:tcPr>
            <w:tcW w:w="227" w:type="dxa"/>
            <w:tcBorders>
              <w:top w:val="nil"/>
              <w:left w:val="nil"/>
              <w:right w:val="nil"/>
            </w:tcBorders>
            <w:shd w:val="clear" w:color="auto" w:fill="auto"/>
            <w:noWrap/>
            <w:vAlign w:val="bottom"/>
          </w:tcPr>
          <w:p w14:paraId="48014E47" w14:textId="77777777" w:rsidR="00810CCA" w:rsidRPr="0074154F" w:rsidRDefault="00810CCA" w:rsidP="00810CCA">
            <w:pPr>
              <w:spacing w:after="0" w:line="240" w:lineRule="auto"/>
              <w:rPr>
                <w:rFonts w:ascii="Arial" w:eastAsia="Times New Roman" w:hAnsi="Arial" w:cs="Arial"/>
                <w:color w:val="000000" w:themeColor="text1"/>
                <w:sz w:val="20"/>
                <w:szCs w:val="20"/>
                <w:lang w:eastAsia="es-EC"/>
              </w:rPr>
            </w:pPr>
          </w:p>
        </w:tc>
        <w:tc>
          <w:tcPr>
            <w:tcW w:w="1502" w:type="dxa"/>
            <w:tcBorders>
              <w:top w:val="single" w:sz="4" w:space="0" w:color="auto"/>
              <w:left w:val="nil"/>
              <w:right w:val="nil"/>
            </w:tcBorders>
            <w:shd w:val="clear" w:color="auto" w:fill="auto"/>
            <w:noWrap/>
            <w:vAlign w:val="bottom"/>
          </w:tcPr>
          <w:p w14:paraId="7524DFD8" w14:textId="7944C538" w:rsidR="00810CCA" w:rsidRPr="0074154F" w:rsidRDefault="00810CCA" w:rsidP="00810CCA">
            <w:pPr>
              <w:tabs>
                <w:tab w:val="decimal" w:pos="1276"/>
              </w:tabs>
              <w:spacing w:after="0" w:line="240" w:lineRule="auto"/>
              <w:rPr>
                <w:rFonts w:ascii="Arial" w:eastAsia="Times New Roman" w:hAnsi="Arial" w:cs="Arial"/>
                <w:color w:val="000000" w:themeColor="text1"/>
                <w:sz w:val="20"/>
                <w:szCs w:val="20"/>
                <w:lang w:eastAsia="es-EC"/>
              </w:rPr>
            </w:pPr>
          </w:p>
        </w:tc>
      </w:tr>
      <w:tr w:rsidR="00810CCA" w:rsidRPr="0074154F" w14:paraId="00EB0540" w14:textId="77777777" w:rsidTr="0024421F">
        <w:trPr>
          <w:trHeight w:val="255"/>
          <w:jc w:val="right"/>
        </w:trPr>
        <w:tc>
          <w:tcPr>
            <w:tcW w:w="5272" w:type="dxa"/>
            <w:tcBorders>
              <w:top w:val="nil"/>
              <w:left w:val="nil"/>
              <w:bottom w:val="nil"/>
              <w:right w:val="nil"/>
            </w:tcBorders>
            <w:shd w:val="clear" w:color="auto" w:fill="auto"/>
            <w:noWrap/>
            <w:vAlign w:val="bottom"/>
          </w:tcPr>
          <w:p w14:paraId="383AD2EF" w14:textId="50BB3638" w:rsidR="00810CCA" w:rsidRPr="0074154F" w:rsidRDefault="00810CCA" w:rsidP="00810CCA">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MX"/>
              </w:rPr>
              <w:t>Total</w:t>
            </w:r>
          </w:p>
        </w:tc>
        <w:tc>
          <w:tcPr>
            <w:tcW w:w="1502" w:type="dxa"/>
            <w:tcBorders>
              <w:left w:val="nil"/>
              <w:bottom w:val="double" w:sz="4" w:space="0" w:color="auto"/>
              <w:right w:val="nil"/>
            </w:tcBorders>
            <w:shd w:val="clear" w:color="auto" w:fill="auto"/>
            <w:noWrap/>
            <w:vAlign w:val="bottom"/>
          </w:tcPr>
          <w:p w14:paraId="43BAFB68" w14:textId="4080C61B" w:rsidR="00810CCA" w:rsidRPr="0074154F" w:rsidRDefault="00810CCA" w:rsidP="00810CCA">
            <w:pPr>
              <w:tabs>
                <w:tab w:val="decimal" w:pos="1276"/>
              </w:tabs>
              <w:spacing w:after="0" w:line="240" w:lineRule="auto"/>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1</w:t>
            </w:r>
            <w:r w:rsidR="005C7A38">
              <w:rPr>
                <w:rFonts w:ascii="Arial" w:eastAsia="Times New Roman" w:hAnsi="Arial" w:cs="Arial"/>
                <w:color w:val="000000" w:themeColor="text1"/>
                <w:sz w:val="20"/>
                <w:szCs w:val="20"/>
                <w:lang w:eastAsia="es-EC"/>
              </w:rPr>
              <w:t>5</w:t>
            </w:r>
            <w:r w:rsidRPr="0074154F">
              <w:rPr>
                <w:rFonts w:ascii="Arial" w:eastAsia="Times New Roman" w:hAnsi="Arial" w:cs="Arial"/>
                <w:color w:val="000000" w:themeColor="text1"/>
                <w:sz w:val="20"/>
                <w:szCs w:val="20"/>
                <w:lang w:eastAsia="es-EC"/>
              </w:rPr>
              <w:t>,</w:t>
            </w:r>
            <w:r w:rsidR="005C7A38">
              <w:rPr>
                <w:rFonts w:ascii="Arial" w:eastAsia="Times New Roman" w:hAnsi="Arial" w:cs="Arial"/>
                <w:color w:val="000000" w:themeColor="text1"/>
                <w:sz w:val="20"/>
                <w:szCs w:val="20"/>
                <w:lang w:eastAsia="es-EC"/>
              </w:rPr>
              <w:t>368</w:t>
            </w:r>
            <w:r w:rsidR="005D63C7" w:rsidRPr="0074154F">
              <w:rPr>
                <w:rFonts w:ascii="Arial" w:eastAsia="Times New Roman" w:hAnsi="Arial" w:cs="Arial"/>
                <w:color w:val="000000" w:themeColor="text1"/>
                <w:sz w:val="20"/>
                <w:szCs w:val="20"/>
                <w:lang w:eastAsia="es-EC"/>
              </w:rPr>
              <w:t>,</w:t>
            </w:r>
            <w:r w:rsidR="005C7A38">
              <w:rPr>
                <w:rFonts w:ascii="Arial" w:eastAsia="Times New Roman" w:hAnsi="Arial" w:cs="Arial"/>
                <w:color w:val="000000" w:themeColor="text1"/>
                <w:sz w:val="20"/>
                <w:szCs w:val="20"/>
                <w:lang w:eastAsia="es-EC"/>
              </w:rPr>
              <w:t>781</w:t>
            </w:r>
          </w:p>
        </w:tc>
        <w:tc>
          <w:tcPr>
            <w:tcW w:w="227" w:type="dxa"/>
            <w:tcBorders>
              <w:left w:val="nil"/>
              <w:right w:val="nil"/>
            </w:tcBorders>
            <w:shd w:val="clear" w:color="auto" w:fill="auto"/>
            <w:noWrap/>
            <w:vAlign w:val="bottom"/>
          </w:tcPr>
          <w:p w14:paraId="774BA3CA" w14:textId="77777777" w:rsidR="00810CCA" w:rsidRPr="0074154F" w:rsidRDefault="00810CCA" w:rsidP="00810CCA">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double" w:sz="4" w:space="0" w:color="auto"/>
              <w:right w:val="nil"/>
            </w:tcBorders>
            <w:shd w:val="clear" w:color="auto" w:fill="auto"/>
            <w:noWrap/>
            <w:vAlign w:val="bottom"/>
          </w:tcPr>
          <w:p w14:paraId="2BD76283" w14:textId="0DA9F21B" w:rsidR="00810CCA" w:rsidRPr="0074154F" w:rsidRDefault="0005797C" w:rsidP="00810CCA">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9,753,517</w:t>
            </w:r>
          </w:p>
        </w:tc>
      </w:tr>
      <w:tr w:rsidR="0024421F" w:rsidRPr="0074154F" w14:paraId="518CDDFB" w14:textId="77777777" w:rsidTr="0024421F">
        <w:trPr>
          <w:trHeight w:val="255"/>
          <w:jc w:val="right"/>
        </w:trPr>
        <w:tc>
          <w:tcPr>
            <w:tcW w:w="5272" w:type="dxa"/>
            <w:tcBorders>
              <w:top w:val="nil"/>
              <w:left w:val="nil"/>
              <w:bottom w:val="nil"/>
              <w:right w:val="nil"/>
            </w:tcBorders>
            <w:shd w:val="clear" w:color="auto" w:fill="auto"/>
            <w:noWrap/>
            <w:vAlign w:val="bottom"/>
          </w:tcPr>
          <w:p w14:paraId="19D8D3B8" w14:textId="77777777" w:rsidR="0024421F" w:rsidRPr="0074154F" w:rsidRDefault="0024421F" w:rsidP="00810CCA">
            <w:pPr>
              <w:spacing w:after="0" w:line="240" w:lineRule="auto"/>
              <w:ind w:left="-70"/>
              <w:rPr>
                <w:rFonts w:ascii="Arial" w:eastAsia="Times New Roman" w:hAnsi="Arial" w:cs="Arial"/>
                <w:color w:val="000000" w:themeColor="text1"/>
                <w:sz w:val="20"/>
                <w:szCs w:val="20"/>
                <w:lang w:eastAsia="es-MX"/>
              </w:rPr>
            </w:pPr>
          </w:p>
        </w:tc>
        <w:tc>
          <w:tcPr>
            <w:tcW w:w="1502" w:type="dxa"/>
            <w:tcBorders>
              <w:top w:val="double" w:sz="4" w:space="0" w:color="auto"/>
              <w:left w:val="nil"/>
              <w:right w:val="nil"/>
            </w:tcBorders>
            <w:shd w:val="clear" w:color="auto" w:fill="auto"/>
            <w:noWrap/>
            <w:vAlign w:val="bottom"/>
          </w:tcPr>
          <w:p w14:paraId="2E3EE754" w14:textId="77777777" w:rsidR="0024421F" w:rsidRPr="0074154F" w:rsidRDefault="0024421F" w:rsidP="00810CCA">
            <w:pPr>
              <w:tabs>
                <w:tab w:val="decimal" w:pos="1276"/>
              </w:tabs>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shd w:val="clear" w:color="auto" w:fill="auto"/>
            <w:noWrap/>
            <w:vAlign w:val="bottom"/>
          </w:tcPr>
          <w:p w14:paraId="3E3D3ECF" w14:textId="77777777" w:rsidR="0024421F" w:rsidRPr="0074154F" w:rsidRDefault="0024421F" w:rsidP="00810CCA">
            <w:pPr>
              <w:spacing w:after="0" w:line="240" w:lineRule="auto"/>
              <w:rPr>
                <w:rFonts w:ascii="Arial" w:eastAsia="Times New Roman" w:hAnsi="Arial" w:cs="Arial"/>
                <w:color w:val="000000" w:themeColor="text1"/>
                <w:sz w:val="20"/>
                <w:szCs w:val="20"/>
                <w:lang w:eastAsia="es-EC"/>
              </w:rPr>
            </w:pPr>
          </w:p>
        </w:tc>
        <w:tc>
          <w:tcPr>
            <w:tcW w:w="1502" w:type="dxa"/>
            <w:tcBorders>
              <w:top w:val="double" w:sz="4" w:space="0" w:color="auto"/>
              <w:left w:val="nil"/>
              <w:right w:val="nil"/>
            </w:tcBorders>
            <w:shd w:val="clear" w:color="auto" w:fill="auto"/>
            <w:noWrap/>
            <w:vAlign w:val="bottom"/>
          </w:tcPr>
          <w:p w14:paraId="4E9F5501" w14:textId="77777777" w:rsidR="0024421F" w:rsidRPr="0074154F" w:rsidRDefault="0024421F" w:rsidP="00810CCA">
            <w:pPr>
              <w:tabs>
                <w:tab w:val="decimal" w:pos="1276"/>
              </w:tabs>
              <w:spacing w:after="0" w:line="240" w:lineRule="auto"/>
              <w:rPr>
                <w:rFonts w:ascii="Arial" w:eastAsia="Times New Roman" w:hAnsi="Arial" w:cs="Arial"/>
                <w:color w:val="000000" w:themeColor="text1"/>
                <w:sz w:val="20"/>
                <w:szCs w:val="20"/>
                <w:lang w:eastAsia="es-EC"/>
              </w:rPr>
            </w:pPr>
          </w:p>
        </w:tc>
      </w:tr>
    </w:tbl>
    <w:p w14:paraId="7D318A4B" w14:textId="329FCF34" w:rsidR="0005680E" w:rsidRPr="0074154F" w:rsidRDefault="0005680E" w:rsidP="00372BE9">
      <w:pPr>
        <w:pStyle w:val="ListParagraph"/>
        <w:spacing w:after="0" w:line="240" w:lineRule="auto"/>
        <w:ind w:left="567"/>
        <w:jc w:val="both"/>
        <w:rPr>
          <w:rFonts w:ascii="Arial" w:hAnsi="Arial" w:cs="Arial"/>
          <w:sz w:val="20"/>
          <w:szCs w:val="20"/>
        </w:rPr>
      </w:pPr>
      <w:r w:rsidRPr="0074154F">
        <w:rPr>
          <w:rFonts w:ascii="Arial" w:hAnsi="Arial" w:cs="Arial"/>
          <w:sz w:val="20"/>
          <w:szCs w:val="20"/>
        </w:rPr>
        <w:t>Al 31 de diciembre del 20</w:t>
      </w:r>
      <w:r w:rsidR="00241C58" w:rsidRPr="0074154F">
        <w:rPr>
          <w:rFonts w:ascii="Arial" w:hAnsi="Arial" w:cs="Arial"/>
          <w:sz w:val="20"/>
          <w:szCs w:val="20"/>
        </w:rPr>
        <w:t>20</w:t>
      </w:r>
      <w:r w:rsidRPr="0074154F">
        <w:rPr>
          <w:rFonts w:ascii="Arial" w:hAnsi="Arial" w:cs="Arial"/>
          <w:sz w:val="20"/>
          <w:szCs w:val="20"/>
        </w:rPr>
        <w:t>:</w:t>
      </w:r>
    </w:p>
    <w:p w14:paraId="08D9753C" w14:textId="63C04A5F" w:rsidR="0005680E" w:rsidRPr="0074154F" w:rsidRDefault="0005680E" w:rsidP="00372BE9">
      <w:pPr>
        <w:widowControl w:val="0"/>
        <w:spacing w:after="0" w:line="240" w:lineRule="auto"/>
        <w:ind w:left="567"/>
        <w:jc w:val="both"/>
        <w:rPr>
          <w:rFonts w:ascii="Arial" w:hAnsi="Arial" w:cs="Arial"/>
          <w:sz w:val="20"/>
          <w:szCs w:val="20"/>
        </w:rPr>
      </w:pPr>
    </w:p>
    <w:p w14:paraId="59BBA3D8" w14:textId="37FEA3F8" w:rsidR="0005680E" w:rsidRPr="0074154F" w:rsidRDefault="0005680E" w:rsidP="00372BE9">
      <w:pPr>
        <w:pStyle w:val="ListParagraph"/>
        <w:numPr>
          <w:ilvl w:val="0"/>
          <w:numId w:val="2"/>
        </w:numPr>
        <w:spacing w:after="0" w:line="240" w:lineRule="auto"/>
        <w:ind w:left="993" w:hanging="426"/>
        <w:jc w:val="both"/>
        <w:rPr>
          <w:rFonts w:ascii="Arial" w:hAnsi="Arial" w:cs="Arial"/>
          <w:sz w:val="20"/>
          <w:szCs w:val="20"/>
        </w:rPr>
      </w:pPr>
      <w:r w:rsidRPr="0074154F">
        <w:rPr>
          <w:rFonts w:ascii="Arial" w:hAnsi="Arial" w:cs="Arial"/>
          <w:sz w:val="20"/>
          <w:szCs w:val="20"/>
        </w:rPr>
        <w:t>Beneficios sociales</w:t>
      </w:r>
      <w:r w:rsidR="00F53E40" w:rsidRPr="0074154F">
        <w:rPr>
          <w:rFonts w:ascii="Arial" w:hAnsi="Arial" w:cs="Arial"/>
          <w:sz w:val="20"/>
          <w:szCs w:val="20"/>
        </w:rPr>
        <w:t>, i</w:t>
      </w:r>
      <w:r w:rsidRPr="0074154F">
        <w:rPr>
          <w:rFonts w:ascii="Arial" w:hAnsi="Arial" w:cs="Arial"/>
          <w:sz w:val="20"/>
          <w:szCs w:val="20"/>
        </w:rPr>
        <w:t xml:space="preserve">ncluyen </w:t>
      </w:r>
      <w:r w:rsidRPr="0074154F">
        <w:rPr>
          <w:rFonts w:ascii="Arial" w:hAnsi="Arial" w:cs="Arial"/>
          <w:bCs/>
          <w:iCs/>
          <w:sz w:val="20"/>
          <w:szCs w:val="20"/>
        </w:rPr>
        <w:t xml:space="preserve">principalmente a provisión de </w:t>
      </w:r>
      <w:r w:rsidR="002358B5" w:rsidRPr="0074154F">
        <w:rPr>
          <w:rFonts w:ascii="Arial" w:hAnsi="Arial" w:cs="Arial"/>
          <w:bCs/>
          <w:iCs/>
          <w:sz w:val="20"/>
          <w:szCs w:val="20"/>
        </w:rPr>
        <w:t xml:space="preserve">vacaciones, </w:t>
      </w:r>
      <w:r w:rsidRPr="0074154F">
        <w:rPr>
          <w:rFonts w:ascii="Arial" w:hAnsi="Arial" w:cs="Arial"/>
          <w:bCs/>
          <w:iCs/>
          <w:sz w:val="20"/>
          <w:szCs w:val="20"/>
        </w:rPr>
        <w:t>décimo tercer y cuarto sueldo y fondo de reserva</w:t>
      </w:r>
      <w:r w:rsidRPr="0074154F">
        <w:rPr>
          <w:rFonts w:ascii="Arial" w:hAnsi="Arial" w:cs="Arial"/>
          <w:sz w:val="20"/>
          <w:szCs w:val="20"/>
        </w:rPr>
        <w:t>.</w:t>
      </w:r>
    </w:p>
    <w:p w14:paraId="5C715DE0" w14:textId="069F8EFA" w:rsidR="0005680E" w:rsidRPr="0074154F" w:rsidRDefault="0005680E" w:rsidP="00372BE9">
      <w:pPr>
        <w:tabs>
          <w:tab w:val="left" w:pos="1330"/>
        </w:tabs>
        <w:spacing w:after="0" w:line="240" w:lineRule="auto"/>
        <w:ind w:left="425" w:firstLine="1"/>
        <w:jc w:val="both"/>
        <w:rPr>
          <w:rFonts w:ascii="Arial" w:hAnsi="Arial" w:cs="Arial"/>
          <w:b/>
          <w:sz w:val="20"/>
          <w:szCs w:val="20"/>
          <w:u w:val="single"/>
        </w:rPr>
      </w:pPr>
    </w:p>
    <w:p w14:paraId="67612D16" w14:textId="203AF2F0" w:rsidR="00C35CC3" w:rsidRPr="0074154F" w:rsidRDefault="00B07DCB" w:rsidP="00372BE9">
      <w:pPr>
        <w:pStyle w:val="ListParagraph"/>
        <w:numPr>
          <w:ilvl w:val="0"/>
          <w:numId w:val="2"/>
        </w:numPr>
        <w:spacing w:after="0" w:line="240" w:lineRule="auto"/>
        <w:ind w:left="993" w:hanging="426"/>
        <w:jc w:val="both"/>
        <w:rPr>
          <w:rFonts w:ascii="Arial" w:hAnsi="Arial" w:cs="Arial"/>
          <w:sz w:val="20"/>
          <w:szCs w:val="20"/>
        </w:rPr>
      </w:pPr>
      <w:r w:rsidRPr="0074154F">
        <w:rPr>
          <w:rFonts w:ascii="Arial" w:hAnsi="Arial" w:cs="Arial"/>
          <w:bCs/>
          <w:iCs/>
          <w:sz w:val="20"/>
          <w:szCs w:val="20"/>
        </w:rPr>
        <w:t xml:space="preserve">Participación de </w:t>
      </w:r>
      <w:r w:rsidR="00782977" w:rsidRPr="0074154F">
        <w:rPr>
          <w:rFonts w:ascii="Arial" w:hAnsi="Arial" w:cs="Arial"/>
          <w:bCs/>
          <w:iCs/>
          <w:sz w:val="20"/>
          <w:szCs w:val="20"/>
        </w:rPr>
        <w:t>trabajadores</w:t>
      </w:r>
      <w:r w:rsidR="00B32974" w:rsidRPr="0074154F">
        <w:rPr>
          <w:rFonts w:ascii="Arial" w:hAnsi="Arial" w:cs="Arial"/>
          <w:bCs/>
          <w:iCs/>
          <w:sz w:val="20"/>
          <w:szCs w:val="20"/>
        </w:rPr>
        <w:t>, de conformidad con d</w:t>
      </w:r>
      <w:r w:rsidRPr="0074154F">
        <w:rPr>
          <w:rFonts w:ascii="Arial" w:hAnsi="Arial" w:cs="Arial"/>
          <w:sz w:val="20"/>
          <w:szCs w:val="20"/>
        </w:rPr>
        <w:t>isposiciones legales, los trabajadores tienen derecho a participar en las utilidades de</w:t>
      </w:r>
      <w:r w:rsidR="0072068F" w:rsidRPr="0074154F">
        <w:rPr>
          <w:rFonts w:ascii="Arial" w:hAnsi="Arial" w:cs="Arial"/>
          <w:sz w:val="20"/>
          <w:szCs w:val="20"/>
        </w:rPr>
        <w:t>l Grupo</w:t>
      </w:r>
      <w:r w:rsidRPr="0074154F">
        <w:rPr>
          <w:rFonts w:ascii="Arial" w:hAnsi="Arial" w:cs="Arial"/>
          <w:sz w:val="20"/>
          <w:szCs w:val="20"/>
        </w:rPr>
        <w:t xml:space="preserve"> en un 15% aplicable a las utilidades líquidas. </w:t>
      </w:r>
    </w:p>
    <w:p w14:paraId="372110C4" w14:textId="77777777" w:rsidR="003322E2" w:rsidRPr="0074154F" w:rsidRDefault="003322E2" w:rsidP="003322E2">
      <w:pPr>
        <w:pStyle w:val="ListParagraph"/>
        <w:rPr>
          <w:rFonts w:ascii="Arial" w:hAnsi="Arial" w:cs="Arial"/>
          <w:sz w:val="20"/>
          <w:szCs w:val="20"/>
        </w:rPr>
      </w:pPr>
    </w:p>
    <w:p w14:paraId="71114155" w14:textId="41599CA3" w:rsidR="002358B5" w:rsidRPr="0074154F" w:rsidRDefault="002358B5" w:rsidP="00C35CC3">
      <w:pPr>
        <w:pStyle w:val="ListParagraph"/>
        <w:spacing w:after="0" w:line="240" w:lineRule="auto"/>
        <w:ind w:left="993"/>
        <w:jc w:val="both"/>
        <w:rPr>
          <w:rFonts w:ascii="Arial" w:hAnsi="Arial" w:cs="Arial"/>
          <w:sz w:val="20"/>
          <w:szCs w:val="20"/>
        </w:rPr>
      </w:pPr>
      <w:r w:rsidRPr="0074154F">
        <w:rPr>
          <w:rFonts w:ascii="Arial" w:hAnsi="Arial" w:cs="Arial"/>
          <w:sz w:val="20"/>
          <w:szCs w:val="20"/>
        </w:rPr>
        <w:t xml:space="preserve">El movimiento comparativo de la provisión para </w:t>
      </w:r>
      <w:r w:rsidR="00804D4A" w:rsidRPr="0074154F">
        <w:rPr>
          <w:rFonts w:ascii="Arial" w:hAnsi="Arial" w:cs="Arial"/>
          <w:sz w:val="20"/>
          <w:szCs w:val="20"/>
        </w:rPr>
        <w:t xml:space="preserve">participación de trabajadores </w:t>
      </w:r>
      <w:r w:rsidRPr="0074154F">
        <w:rPr>
          <w:rFonts w:ascii="Arial" w:hAnsi="Arial" w:cs="Arial"/>
          <w:sz w:val="20"/>
          <w:szCs w:val="20"/>
        </w:rPr>
        <w:t>es como sigue:</w:t>
      </w:r>
    </w:p>
    <w:p w14:paraId="3221A996" w14:textId="77777777" w:rsidR="00C10E8A" w:rsidRPr="0074154F" w:rsidRDefault="00C10E8A" w:rsidP="00372BE9">
      <w:pPr>
        <w:spacing w:after="0" w:line="240" w:lineRule="auto"/>
        <w:jc w:val="center"/>
        <w:rPr>
          <w:rFonts w:ascii="Arial" w:hAnsi="Arial" w:cs="Arial"/>
          <w:b/>
          <w:bCs/>
          <w:sz w:val="20"/>
          <w:szCs w:val="20"/>
        </w:rPr>
      </w:pPr>
    </w:p>
    <w:tbl>
      <w:tblPr>
        <w:tblW w:w="8094" w:type="dxa"/>
        <w:jc w:val="right"/>
        <w:tblCellMar>
          <w:left w:w="70" w:type="dxa"/>
          <w:right w:w="70" w:type="dxa"/>
        </w:tblCellMar>
        <w:tblLook w:val="04A0" w:firstRow="1" w:lastRow="0" w:firstColumn="1" w:lastColumn="0" w:noHBand="0" w:noVBand="1"/>
      </w:tblPr>
      <w:tblGrid>
        <w:gridCol w:w="4578"/>
        <w:gridCol w:w="2135"/>
        <w:gridCol w:w="222"/>
        <w:gridCol w:w="2135"/>
      </w:tblGrid>
      <w:tr w:rsidR="00A03087" w:rsidRPr="0074154F" w14:paraId="4DF9E882" w14:textId="77777777" w:rsidTr="006D3909">
        <w:trPr>
          <w:trHeight w:val="255"/>
          <w:jc w:val="right"/>
        </w:trPr>
        <w:tc>
          <w:tcPr>
            <w:tcW w:w="4863" w:type="dxa"/>
            <w:tcBorders>
              <w:top w:val="nil"/>
              <w:left w:val="nil"/>
              <w:bottom w:val="nil"/>
              <w:right w:val="nil"/>
            </w:tcBorders>
            <w:shd w:val="clear" w:color="auto" w:fill="auto"/>
            <w:noWrap/>
            <w:vAlign w:val="bottom"/>
            <w:hideMark/>
          </w:tcPr>
          <w:p w14:paraId="3D7A30CE" w14:textId="77777777" w:rsidR="00E01B2C" w:rsidRPr="0074154F" w:rsidRDefault="00E01B2C" w:rsidP="00372BE9">
            <w:pPr>
              <w:spacing w:after="0" w:line="240" w:lineRule="auto"/>
              <w:ind w:left="-70"/>
              <w:rPr>
                <w:rFonts w:ascii="Arial" w:eastAsia="Times New Roman" w:hAnsi="Arial" w:cs="Arial"/>
                <w:color w:val="000000" w:themeColor="text1"/>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13AF2C33" w14:textId="6C49C947"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20</w:t>
            </w:r>
            <w:r w:rsidR="00241C58" w:rsidRPr="0074154F">
              <w:rPr>
                <w:rFonts w:ascii="Arial" w:eastAsia="Times New Roman" w:hAnsi="Arial" w:cs="Arial"/>
                <w:b/>
                <w:bCs/>
                <w:color w:val="000000" w:themeColor="text1"/>
                <w:sz w:val="20"/>
                <w:szCs w:val="20"/>
                <w:lang w:eastAsia="es-EC"/>
              </w:rPr>
              <w:t>20</w:t>
            </w:r>
          </w:p>
        </w:tc>
        <w:tc>
          <w:tcPr>
            <w:tcW w:w="227" w:type="dxa"/>
            <w:tcBorders>
              <w:top w:val="nil"/>
              <w:left w:val="nil"/>
              <w:bottom w:val="nil"/>
              <w:right w:val="nil"/>
            </w:tcBorders>
            <w:shd w:val="clear" w:color="auto" w:fill="auto"/>
            <w:noWrap/>
            <w:vAlign w:val="bottom"/>
            <w:hideMark/>
          </w:tcPr>
          <w:p w14:paraId="423F6071" w14:textId="77777777"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1463A692" w14:textId="7F9AE1CF" w:rsidR="00E01B2C" w:rsidRPr="0074154F" w:rsidRDefault="00E01B2C" w:rsidP="00372BE9">
            <w:pPr>
              <w:spacing w:after="0" w:line="240" w:lineRule="auto"/>
              <w:ind w:right="70"/>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201</w:t>
            </w:r>
            <w:r w:rsidR="00241C58" w:rsidRPr="0074154F">
              <w:rPr>
                <w:rFonts w:ascii="Arial" w:eastAsia="Times New Roman" w:hAnsi="Arial" w:cs="Arial"/>
                <w:b/>
                <w:bCs/>
                <w:color w:val="000000" w:themeColor="text1"/>
                <w:sz w:val="20"/>
                <w:szCs w:val="20"/>
                <w:lang w:eastAsia="es-EC"/>
              </w:rPr>
              <w:t>9</w:t>
            </w:r>
          </w:p>
        </w:tc>
      </w:tr>
      <w:tr w:rsidR="00A03087" w:rsidRPr="0074154F" w14:paraId="2658535E" w14:textId="77777777" w:rsidTr="006D3909">
        <w:trPr>
          <w:trHeight w:val="255"/>
          <w:jc w:val="right"/>
        </w:trPr>
        <w:tc>
          <w:tcPr>
            <w:tcW w:w="4863" w:type="dxa"/>
            <w:tcBorders>
              <w:top w:val="nil"/>
              <w:left w:val="nil"/>
              <w:bottom w:val="nil"/>
              <w:right w:val="nil"/>
            </w:tcBorders>
            <w:shd w:val="clear" w:color="auto" w:fill="auto"/>
            <w:noWrap/>
            <w:vAlign w:val="bottom"/>
            <w:hideMark/>
          </w:tcPr>
          <w:p w14:paraId="15BFF1C5" w14:textId="77777777" w:rsidR="00E01B2C" w:rsidRPr="0074154F" w:rsidRDefault="00E01B2C" w:rsidP="00372BE9">
            <w:pPr>
              <w:spacing w:after="0" w:line="240" w:lineRule="auto"/>
              <w:ind w:left="-70"/>
              <w:rPr>
                <w:rFonts w:ascii="Arial" w:eastAsia="Times New Roman" w:hAnsi="Arial" w:cs="Arial"/>
                <w:color w:val="000000" w:themeColor="text1"/>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7FAAD865" w14:textId="77777777"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c>
          <w:tcPr>
            <w:tcW w:w="227" w:type="dxa"/>
            <w:tcBorders>
              <w:top w:val="nil"/>
              <w:left w:val="nil"/>
              <w:right w:val="nil"/>
            </w:tcBorders>
            <w:shd w:val="clear" w:color="auto" w:fill="auto"/>
            <w:noWrap/>
            <w:vAlign w:val="bottom"/>
            <w:hideMark/>
          </w:tcPr>
          <w:p w14:paraId="583CA5FB" w14:textId="77777777"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c>
          <w:tcPr>
            <w:tcW w:w="1502" w:type="dxa"/>
            <w:tcBorders>
              <w:top w:val="single" w:sz="8" w:space="0" w:color="auto"/>
              <w:left w:val="nil"/>
              <w:right w:val="nil"/>
            </w:tcBorders>
            <w:shd w:val="clear" w:color="auto" w:fill="auto"/>
            <w:noWrap/>
            <w:vAlign w:val="bottom"/>
            <w:hideMark/>
          </w:tcPr>
          <w:p w14:paraId="29B881CD" w14:textId="77777777" w:rsidR="00E01B2C" w:rsidRPr="0074154F" w:rsidRDefault="00E01B2C" w:rsidP="00372BE9">
            <w:pPr>
              <w:spacing w:after="0" w:line="240" w:lineRule="auto"/>
              <w:rPr>
                <w:rFonts w:ascii="Arial" w:eastAsia="Times New Roman" w:hAnsi="Arial" w:cs="Arial"/>
                <w:color w:val="000000" w:themeColor="text1"/>
                <w:sz w:val="20"/>
                <w:szCs w:val="20"/>
                <w:lang w:eastAsia="es-EC"/>
              </w:rPr>
            </w:pPr>
          </w:p>
        </w:tc>
      </w:tr>
      <w:tr w:rsidR="00A03087" w:rsidRPr="0074154F" w14:paraId="043AED86" w14:textId="77777777" w:rsidTr="006D3909">
        <w:trPr>
          <w:trHeight w:val="255"/>
          <w:jc w:val="right"/>
        </w:trPr>
        <w:tc>
          <w:tcPr>
            <w:tcW w:w="4863" w:type="dxa"/>
            <w:tcBorders>
              <w:top w:val="nil"/>
              <w:left w:val="nil"/>
              <w:right w:val="nil"/>
            </w:tcBorders>
            <w:shd w:val="clear" w:color="auto" w:fill="auto"/>
            <w:noWrap/>
            <w:vAlign w:val="bottom"/>
          </w:tcPr>
          <w:p w14:paraId="2B89B978" w14:textId="66B8F06C" w:rsidR="00241C58" w:rsidRPr="0074154F" w:rsidRDefault="00241C58" w:rsidP="00372BE9">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val="es-MX" w:eastAsia="es-MX"/>
              </w:rPr>
              <w:t>Saldos al inicio del año</w:t>
            </w:r>
          </w:p>
        </w:tc>
        <w:tc>
          <w:tcPr>
            <w:tcW w:w="1502" w:type="dxa"/>
            <w:tcBorders>
              <w:top w:val="nil"/>
              <w:left w:val="nil"/>
              <w:right w:val="nil"/>
            </w:tcBorders>
            <w:shd w:val="clear" w:color="auto" w:fill="auto"/>
            <w:noWrap/>
            <w:vAlign w:val="bottom"/>
          </w:tcPr>
          <w:p w14:paraId="5D9D0C87" w14:textId="7EF96D75"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3,976,474</w:t>
            </w:r>
          </w:p>
        </w:tc>
        <w:tc>
          <w:tcPr>
            <w:tcW w:w="227" w:type="dxa"/>
            <w:tcBorders>
              <w:top w:val="nil"/>
              <w:left w:val="nil"/>
              <w:right w:val="nil"/>
            </w:tcBorders>
            <w:shd w:val="clear" w:color="auto" w:fill="auto"/>
            <w:noWrap/>
            <w:vAlign w:val="bottom"/>
          </w:tcPr>
          <w:p w14:paraId="6CF6925F" w14:textId="77777777" w:rsidR="00241C58" w:rsidRPr="0074154F" w:rsidRDefault="00241C58" w:rsidP="00372BE9">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4A5A45F7" w14:textId="305A0562"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2,404,929</w:t>
            </w:r>
          </w:p>
        </w:tc>
      </w:tr>
      <w:tr w:rsidR="00A03087" w:rsidRPr="0074154F" w14:paraId="62AF461F" w14:textId="77777777" w:rsidTr="006D3909">
        <w:trPr>
          <w:trHeight w:val="255"/>
          <w:jc w:val="right"/>
        </w:trPr>
        <w:tc>
          <w:tcPr>
            <w:tcW w:w="4863" w:type="dxa"/>
            <w:tcBorders>
              <w:top w:val="nil"/>
              <w:left w:val="nil"/>
              <w:right w:val="nil"/>
            </w:tcBorders>
            <w:shd w:val="clear" w:color="auto" w:fill="auto"/>
            <w:noWrap/>
            <w:vAlign w:val="bottom"/>
          </w:tcPr>
          <w:p w14:paraId="7B4FDD09" w14:textId="5702FE20" w:rsidR="00241C58" w:rsidRPr="0074154F" w:rsidRDefault="00241C58" w:rsidP="00372BE9">
            <w:pPr>
              <w:spacing w:after="0" w:line="240" w:lineRule="auto"/>
              <w:ind w:left="-70"/>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41DF919D" w14:textId="77777777" w:rsidR="00241C58" w:rsidRPr="0074154F" w:rsidRDefault="00241C58" w:rsidP="00372BE9">
            <w:pPr>
              <w:tabs>
                <w:tab w:val="decimal" w:pos="1276"/>
              </w:tabs>
              <w:spacing w:after="0" w:line="240" w:lineRule="auto"/>
              <w:rPr>
                <w:rFonts w:ascii="Arial" w:eastAsia="Times New Roman" w:hAnsi="Arial" w:cs="Arial"/>
                <w:color w:val="000000" w:themeColor="text1"/>
                <w:sz w:val="20"/>
                <w:szCs w:val="20"/>
                <w:lang w:val="es-MX" w:eastAsia="es-MX"/>
              </w:rPr>
            </w:pPr>
          </w:p>
        </w:tc>
        <w:tc>
          <w:tcPr>
            <w:tcW w:w="227" w:type="dxa"/>
            <w:tcBorders>
              <w:left w:val="nil"/>
              <w:right w:val="nil"/>
            </w:tcBorders>
            <w:shd w:val="clear" w:color="auto" w:fill="auto"/>
            <w:noWrap/>
            <w:vAlign w:val="bottom"/>
          </w:tcPr>
          <w:p w14:paraId="38E20AE1" w14:textId="77777777" w:rsidR="00241C58" w:rsidRPr="0074154F" w:rsidRDefault="00241C58" w:rsidP="00372BE9">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52C82138" w14:textId="77777777" w:rsidR="00241C58" w:rsidRPr="0074154F" w:rsidRDefault="00241C58" w:rsidP="00372BE9">
            <w:pPr>
              <w:tabs>
                <w:tab w:val="decimal" w:pos="1276"/>
              </w:tabs>
              <w:spacing w:after="0" w:line="240" w:lineRule="auto"/>
              <w:rPr>
                <w:rFonts w:ascii="Arial" w:eastAsia="Times New Roman" w:hAnsi="Arial" w:cs="Arial"/>
                <w:color w:val="000000" w:themeColor="text1"/>
                <w:sz w:val="20"/>
                <w:szCs w:val="20"/>
                <w:lang w:val="es-MX" w:eastAsia="es-MX"/>
              </w:rPr>
            </w:pPr>
          </w:p>
        </w:tc>
      </w:tr>
      <w:tr w:rsidR="00A03087" w:rsidRPr="0074154F" w14:paraId="1792E697" w14:textId="77777777" w:rsidTr="00E535B2">
        <w:trPr>
          <w:trHeight w:val="255"/>
          <w:jc w:val="right"/>
        </w:trPr>
        <w:tc>
          <w:tcPr>
            <w:tcW w:w="4863" w:type="dxa"/>
            <w:tcBorders>
              <w:top w:val="nil"/>
              <w:left w:val="nil"/>
              <w:right w:val="nil"/>
            </w:tcBorders>
            <w:shd w:val="clear" w:color="auto" w:fill="auto"/>
            <w:noWrap/>
            <w:vAlign w:val="bottom"/>
          </w:tcPr>
          <w:p w14:paraId="27551BD1" w14:textId="16F95083" w:rsidR="00241C58" w:rsidRPr="0074154F" w:rsidRDefault="00241C58" w:rsidP="00372BE9">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Provisión del año</w:t>
            </w:r>
          </w:p>
        </w:tc>
        <w:tc>
          <w:tcPr>
            <w:tcW w:w="1502" w:type="dxa"/>
            <w:tcBorders>
              <w:left w:val="nil"/>
              <w:right w:val="nil"/>
            </w:tcBorders>
            <w:shd w:val="clear" w:color="auto" w:fill="auto"/>
            <w:noWrap/>
            <w:vAlign w:val="bottom"/>
          </w:tcPr>
          <w:p w14:paraId="0718D933" w14:textId="6A21A118"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4,924,720</w:t>
            </w:r>
          </w:p>
        </w:tc>
        <w:tc>
          <w:tcPr>
            <w:tcW w:w="227" w:type="dxa"/>
            <w:tcBorders>
              <w:left w:val="nil"/>
              <w:right w:val="nil"/>
            </w:tcBorders>
            <w:shd w:val="clear" w:color="auto" w:fill="auto"/>
            <w:noWrap/>
            <w:vAlign w:val="bottom"/>
          </w:tcPr>
          <w:p w14:paraId="5F513CD0" w14:textId="77777777" w:rsidR="00241C58" w:rsidRPr="0074154F" w:rsidRDefault="00241C58" w:rsidP="00372BE9">
            <w:pPr>
              <w:spacing w:after="0" w:line="240" w:lineRule="auto"/>
              <w:rPr>
                <w:rFonts w:ascii="Arial" w:eastAsia="Times New Roman" w:hAnsi="Arial" w:cs="Arial"/>
                <w:color w:val="000000" w:themeColor="text1"/>
                <w:sz w:val="20"/>
                <w:szCs w:val="20"/>
                <w:lang w:eastAsia="es-EC"/>
              </w:rPr>
            </w:pPr>
          </w:p>
        </w:tc>
        <w:tc>
          <w:tcPr>
            <w:tcW w:w="1502" w:type="dxa"/>
            <w:tcBorders>
              <w:left w:val="nil"/>
              <w:right w:val="nil"/>
            </w:tcBorders>
            <w:shd w:val="clear" w:color="auto" w:fill="auto"/>
            <w:noWrap/>
            <w:vAlign w:val="bottom"/>
          </w:tcPr>
          <w:p w14:paraId="4A96D5BF" w14:textId="0D8C8B52"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3,976,474</w:t>
            </w:r>
          </w:p>
        </w:tc>
      </w:tr>
      <w:tr w:rsidR="00A03087" w:rsidRPr="0074154F" w14:paraId="3D93F1CD" w14:textId="77777777" w:rsidTr="00E535B2">
        <w:trPr>
          <w:trHeight w:val="255"/>
          <w:jc w:val="right"/>
        </w:trPr>
        <w:tc>
          <w:tcPr>
            <w:tcW w:w="4863" w:type="dxa"/>
            <w:tcBorders>
              <w:top w:val="nil"/>
              <w:left w:val="nil"/>
              <w:right w:val="nil"/>
            </w:tcBorders>
            <w:shd w:val="clear" w:color="auto" w:fill="auto"/>
            <w:noWrap/>
            <w:vAlign w:val="bottom"/>
          </w:tcPr>
          <w:p w14:paraId="49E6F65F" w14:textId="57B773E1" w:rsidR="00241C58" w:rsidRPr="0074154F" w:rsidRDefault="00241C58" w:rsidP="00372BE9">
            <w:pPr>
              <w:spacing w:after="0" w:line="240" w:lineRule="auto"/>
              <w:ind w:left="-70"/>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Pagos efectuados</w:t>
            </w:r>
          </w:p>
        </w:tc>
        <w:tc>
          <w:tcPr>
            <w:tcW w:w="1502" w:type="dxa"/>
            <w:tcBorders>
              <w:left w:val="nil"/>
              <w:bottom w:val="single" w:sz="6" w:space="0" w:color="auto"/>
              <w:right w:val="nil"/>
            </w:tcBorders>
            <w:shd w:val="clear" w:color="auto" w:fill="auto"/>
            <w:noWrap/>
            <w:vAlign w:val="bottom"/>
          </w:tcPr>
          <w:p w14:paraId="3C868057" w14:textId="6B4E4799"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(3,976,474)</w:t>
            </w:r>
          </w:p>
        </w:tc>
        <w:tc>
          <w:tcPr>
            <w:tcW w:w="227" w:type="dxa"/>
            <w:tcBorders>
              <w:left w:val="nil"/>
              <w:right w:val="nil"/>
            </w:tcBorders>
            <w:shd w:val="clear" w:color="auto" w:fill="auto"/>
            <w:noWrap/>
            <w:vAlign w:val="bottom"/>
          </w:tcPr>
          <w:p w14:paraId="0EF65DAE" w14:textId="77777777" w:rsidR="00241C58" w:rsidRPr="0074154F" w:rsidRDefault="00241C58" w:rsidP="00372BE9">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single" w:sz="6" w:space="0" w:color="auto"/>
              <w:right w:val="nil"/>
            </w:tcBorders>
            <w:shd w:val="clear" w:color="auto" w:fill="auto"/>
            <w:noWrap/>
            <w:vAlign w:val="bottom"/>
          </w:tcPr>
          <w:p w14:paraId="1C74880C" w14:textId="4AB66776" w:rsidR="00241C58" w:rsidRPr="0074154F" w:rsidRDefault="00292D94" w:rsidP="00372BE9">
            <w:pPr>
              <w:tabs>
                <w:tab w:val="decimal" w:pos="1276"/>
              </w:tabs>
              <w:spacing w:after="0" w:line="240" w:lineRule="auto"/>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(2,404,929)</w:t>
            </w:r>
          </w:p>
        </w:tc>
      </w:tr>
      <w:tr w:rsidR="00A03087" w:rsidRPr="0074154F" w14:paraId="4E36C0D5" w14:textId="77777777" w:rsidTr="00E535B2">
        <w:trPr>
          <w:trHeight w:val="255"/>
          <w:jc w:val="right"/>
        </w:trPr>
        <w:tc>
          <w:tcPr>
            <w:tcW w:w="4863" w:type="dxa"/>
            <w:tcBorders>
              <w:top w:val="nil"/>
              <w:left w:val="nil"/>
              <w:right w:val="nil"/>
            </w:tcBorders>
            <w:shd w:val="clear" w:color="auto" w:fill="auto"/>
            <w:noWrap/>
            <w:vAlign w:val="bottom"/>
          </w:tcPr>
          <w:p w14:paraId="525D955B" w14:textId="78939266" w:rsidR="00241C58" w:rsidRPr="0074154F" w:rsidRDefault="00241C58" w:rsidP="00372BE9">
            <w:pPr>
              <w:spacing w:after="0" w:line="240" w:lineRule="auto"/>
              <w:ind w:left="-70"/>
              <w:rPr>
                <w:rFonts w:ascii="Arial" w:eastAsia="Times New Roman" w:hAnsi="Arial" w:cs="Arial"/>
                <w:color w:val="000000" w:themeColor="text1"/>
                <w:sz w:val="20"/>
                <w:szCs w:val="20"/>
                <w:lang w:val="es-MX" w:eastAsia="es-MX"/>
              </w:rPr>
            </w:pPr>
          </w:p>
        </w:tc>
        <w:tc>
          <w:tcPr>
            <w:tcW w:w="1502" w:type="dxa"/>
            <w:tcBorders>
              <w:top w:val="single" w:sz="6" w:space="0" w:color="auto"/>
              <w:left w:val="nil"/>
              <w:right w:val="nil"/>
            </w:tcBorders>
            <w:shd w:val="clear" w:color="auto" w:fill="auto"/>
            <w:noWrap/>
            <w:vAlign w:val="bottom"/>
          </w:tcPr>
          <w:p w14:paraId="6B379DE5" w14:textId="50645A4D" w:rsidR="00241C58" w:rsidRPr="0074154F" w:rsidRDefault="00241C58" w:rsidP="00372BE9">
            <w:pPr>
              <w:tabs>
                <w:tab w:val="decimal" w:pos="1276"/>
              </w:tabs>
              <w:spacing w:after="0" w:line="240" w:lineRule="auto"/>
              <w:rPr>
                <w:rFonts w:ascii="Arial" w:eastAsia="Times New Roman" w:hAnsi="Arial" w:cs="Arial"/>
                <w:color w:val="000000" w:themeColor="text1"/>
                <w:sz w:val="20"/>
                <w:szCs w:val="20"/>
                <w:lang w:val="es-MX" w:eastAsia="es-MX"/>
              </w:rPr>
            </w:pPr>
          </w:p>
        </w:tc>
        <w:tc>
          <w:tcPr>
            <w:tcW w:w="227" w:type="dxa"/>
            <w:tcBorders>
              <w:left w:val="nil"/>
              <w:right w:val="nil"/>
            </w:tcBorders>
            <w:shd w:val="clear" w:color="auto" w:fill="auto"/>
            <w:noWrap/>
            <w:vAlign w:val="bottom"/>
          </w:tcPr>
          <w:p w14:paraId="4FB1523A" w14:textId="77777777" w:rsidR="00241C58" w:rsidRPr="0074154F" w:rsidRDefault="00241C58" w:rsidP="00372BE9">
            <w:pPr>
              <w:spacing w:after="0" w:line="240" w:lineRule="auto"/>
              <w:rPr>
                <w:rFonts w:ascii="Arial" w:eastAsia="Times New Roman" w:hAnsi="Arial" w:cs="Arial"/>
                <w:color w:val="000000" w:themeColor="text1"/>
                <w:sz w:val="20"/>
                <w:szCs w:val="20"/>
                <w:lang w:eastAsia="es-EC"/>
              </w:rPr>
            </w:pPr>
          </w:p>
        </w:tc>
        <w:tc>
          <w:tcPr>
            <w:tcW w:w="1502" w:type="dxa"/>
            <w:tcBorders>
              <w:top w:val="single" w:sz="6" w:space="0" w:color="auto"/>
              <w:left w:val="nil"/>
              <w:right w:val="nil"/>
            </w:tcBorders>
            <w:shd w:val="clear" w:color="auto" w:fill="auto"/>
            <w:noWrap/>
            <w:vAlign w:val="bottom"/>
          </w:tcPr>
          <w:p w14:paraId="60AC549C" w14:textId="34E91091" w:rsidR="00241C58" w:rsidRPr="0074154F" w:rsidRDefault="00241C58" w:rsidP="00372BE9">
            <w:pPr>
              <w:tabs>
                <w:tab w:val="decimal" w:pos="1276"/>
              </w:tabs>
              <w:spacing w:after="0" w:line="240" w:lineRule="auto"/>
              <w:rPr>
                <w:rFonts w:ascii="Arial" w:eastAsia="Times New Roman" w:hAnsi="Arial" w:cs="Arial"/>
                <w:color w:val="000000" w:themeColor="text1"/>
                <w:sz w:val="20"/>
                <w:szCs w:val="20"/>
                <w:lang w:val="es-MX" w:eastAsia="es-MX"/>
              </w:rPr>
            </w:pPr>
          </w:p>
        </w:tc>
      </w:tr>
      <w:tr w:rsidR="0091210F" w:rsidRPr="0074154F" w14:paraId="0F8857D4" w14:textId="77777777" w:rsidTr="006D3909">
        <w:trPr>
          <w:trHeight w:val="255"/>
          <w:jc w:val="right"/>
        </w:trPr>
        <w:tc>
          <w:tcPr>
            <w:tcW w:w="4863" w:type="dxa"/>
            <w:tcBorders>
              <w:top w:val="nil"/>
              <w:left w:val="nil"/>
              <w:bottom w:val="nil"/>
              <w:right w:val="nil"/>
            </w:tcBorders>
            <w:shd w:val="clear" w:color="auto" w:fill="auto"/>
            <w:noWrap/>
            <w:vAlign w:val="bottom"/>
          </w:tcPr>
          <w:p w14:paraId="36BAAB57" w14:textId="24E048D8" w:rsidR="0091210F" w:rsidRPr="0074154F" w:rsidRDefault="0091210F" w:rsidP="0091210F">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MX"/>
              </w:rPr>
              <w:t>Saldo al final del año</w:t>
            </w:r>
          </w:p>
        </w:tc>
        <w:tc>
          <w:tcPr>
            <w:tcW w:w="1502" w:type="dxa"/>
            <w:tcBorders>
              <w:left w:val="nil"/>
              <w:bottom w:val="double" w:sz="4" w:space="0" w:color="auto"/>
              <w:right w:val="nil"/>
            </w:tcBorders>
            <w:shd w:val="clear" w:color="auto" w:fill="auto"/>
            <w:noWrap/>
            <w:vAlign w:val="bottom"/>
          </w:tcPr>
          <w:p w14:paraId="324C0272" w14:textId="651A148E" w:rsidR="0091210F" w:rsidRPr="0074154F" w:rsidRDefault="0091210F" w:rsidP="0091210F">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val="es-MX" w:eastAsia="es-MX"/>
              </w:rPr>
              <w:t>4,924,720</w:t>
            </w:r>
          </w:p>
        </w:tc>
        <w:tc>
          <w:tcPr>
            <w:tcW w:w="227" w:type="dxa"/>
            <w:tcBorders>
              <w:left w:val="nil"/>
              <w:right w:val="nil"/>
            </w:tcBorders>
            <w:shd w:val="clear" w:color="auto" w:fill="auto"/>
            <w:noWrap/>
            <w:vAlign w:val="bottom"/>
          </w:tcPr>
          <w:p w14:paraId="2906A116" w14:textId="77777777" w:rsidR="0091210F" w:rsidRPr="0074154F" w:rsidRDefault="0091210F" w:rsidP="0091210F">
            <w:pPr>
              <w:spacing w:after="0" w:line="240" w:lineRule="auto"/>
              <w:rPr>
                <w:rFonts w:ascii="Arial" w:eastAsia="Times New Roman" w:hAnsi="Arial" w:cs="Arial"/>
                <w:color w:val="000000" w:themeColor="text1"/>
                <w:sz w:val="20"/>
                <w:szCs w:val="20"/>
                <w:lang w:eastAsia="es-EC"/>
              </w:rPr>
            </w:pPr>
          </w:p>
        </w:tc>
        <w:tc>
          <w:tcPr>
            <w:tcW w:w="1502" w:type="dxa"/>
            <w:tcBorders>
              <w:left w:val="nil"/>
              <w:bottom w:val="double" w:sz="4" w:space="0" w:color="auto"/>
              <w:right w:val="nil"/>
            </w:tcBorders>
            <w:shd w:val="clear" w:color="auto" w:fill="auto"/>
            <w:noWrap/>
            <w:vAlign w:val="bottom"/>
          </w:tcPr>
          <w:p w14:paraId="7E5EA261" w14:textId="1827DB6F" w:rsidR="0091210F" w:rsidRPr="0074154F" w:rsidRDefault="0091210F" w:rsidP="0091210F">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val="es-MX" w:eastAsia="es-MX"/>
              </w:rPr>
              <w:t>3,976,474</w:t>
            </w:r>
          </w:p>
        </w:tc>
      </w:tr>
    </w:tbl>
    <w:p w14:paraId="38A02B5F" w14:textId="38442EC2" w:rsidR="0077266A" w:rsidRPr="0074154F" w:rsidRDefault="0077266A" w:rsidP="00372BE9">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1977D7D5" w14:textId="322460BE" w:rsidR="00D97EFF" w:rsidRPr="0074154F" w:rsidRDefault="00D97EFF" w:rsidP="00372BE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BENEFICIOS DEFINIDOS</w:t>
      </w:r>
    </w:p>
    <w:p w14:paraId="259FC0FA" w14:textId="77777777" w:rsidR="00D97EFF" w:rsidRPr="0074154F" w:rsidRDefault="00D97EFF" w:rsidP="00372BE9">
      <w:pPr>
        <w:spacing w:after="0" w:line="240" w:lineRule="auto"/>
        <w:ind w:right="-1"/>
        <w:jc w:val="both"/>
        <w:rPr>
          <w:rFonts w:ascii="Arial" w:hAnsi="Arial" w:cs="Arial"/>
          <w:sz w:val="20"/>
          <w:szCs w:val="20"/>
          <w:lang w:eastAsia="es-EC"/>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E01B2C" w:rsidRPr="0074154F" w14:paraId="5EE86D4E" w14:textId="77777777" w:rsidTr="008A5F73">
        <w:trPr>
          <w:trHeight w:val="255"/>
          <w:jc w:val="right"/>
        </w:trPr>
        <w:tc>
          <w:tcPr>
            <w:tcW w:w="5272" w:type="dxa"/>
            <w:tcBorders>
              <w:top w:val="nil"/>
              <w:left w:val="nil"/>
              <w:bottom w:val="nil"/>
              <w:right w:val="nil"/>
            </w:tcBorders>
            <w:shd w:val="clear" w:color="auto" w:fill="auto"/>
            <w:noWrap/>
            <w:vAlign w:val="bottom"/>
            <w:hideMark/>
          </w:tcPr>
          <w:p w14:paraId="29FA7470" w14:textId="77777777" w:rsidR="00E01B2C" w:rsidRPr="0074154F" w:rsidRDefault="00E01B2C" w:rsidP="00372BE9">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851B825" w14:textId="55E81CC7" w:rsidR="00E01B2C" w:rsidRPr="0074154F" w:rsidRDefault="00E01B2C" w:rsidP="00372BE9">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w:t>
            </w:r>
            <w:r w:rsidR="005E17E5"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4212138C" w14:textId="77777777" w:rsidR="00E01B2C" w:rsidRPr="0074154F" w:rsidRDefault="00E01B2C" w:rsidP="00372BE9">
            <w:pPr>
              <w:spacing w:after="0" w:line="240" w:lineRule="auto"/>
              <w:ind w:right="70"/>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4A84ACDD" w14:textId="5E372102" w:rsidR="00E01B2C" w:rsidRPr="0074154F" w:rsidRDefault="00E01B2C" w:rsidP="00372BE9">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w:t>
            </w:r>
            <w:r w:rsidR="005E17E5" w:rsidRPr="0074154F">
              <w:rPr>
                <w:rFonts w:ascii="Arial" w:eastAsia="Times New Roman" w:hAnsi="Arial" w:cs="Arial"/>
                <w:b/>
                <w:bCs/>
                <w:color w:val="000000"/>
                <w:sz w:val="20"/>
                <w:szCs w:val="20"/>
                <w:lang w:eastAsia="es-EC"/>
              </w:rPr>
              <w:t>9</w:t>
            </w:r>
          </w:p>
        </w:tc>
      </w:tr>
      <w:tr w:rsidR="00E01B2C" w:rsidRPr="0074154F" w14:paraId="63201150" w14:textId="77777777" w:rsidTr="008A5F73">
        <w:trPr>
          <w:trHeight w:val="255"/>
          <w:jc w:val="right"/>
        </w:trPr>
        <w:tc>
          <w:tcPr>
            <w:tcW w:w="5272" w:type="dxa"/>
            <w:tcBorders>
              <w:top w:val="nil"/>
              <w:left w:val="nil"/>
              <w:right w:val="nil"/>
            </w:tcBorders>
            <w:shd w:val="clear" w:color="auto" w:fill="auto"/>
            <w:noWrap/>
            <w:vAlign w:val="bottom"/>
            <w:hideMark/>
          </w:tcPr>
          <w:p w14:paraId="08EBB5F4" w14:textId="77777777" w:rsidR="00E01B2C" w:rsidRPr="0074154F" w:rsidRDefault="00E01B2C" w:rsidP="00372BE9">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55AFFDC6" w14:textId="77777777" w:rsidR="00E01B2C" w:rsidRPr="0074154F" w:rsidRDefault="00E01B2C" w:rsidP="00372BE9">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5BA76E3E" w14:textId="77777777" w:rsidR="00E01B2C" w:rsidRPr="0074154F" w:rsidRDefault="00E01B2C" w:rsidP="00372BE9">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413D2E25" w14:textId="77777777" w:rsidR="00E01B2C" w:rsidRPr="0074154F" w:rsidRDefault="00E01B2C" w:rsidP="00372BE9">
            <w:pPr>
              <w:spacing w:after="0" w:line="240" w:lineRule="auto"/>
              <w:rPr>
                <w:rFonts w:ascii="Arial" w:eastAsia="Times New Roman" w:hAnsi="Arial" w:cs="Arial"/>
                <w:sz w:val="20"/>
                <w:szCs w:val="20"/>
                <w:lang w:eastAsia="es-EC"/>
              </w:rPr>
            </w:pPr>
          </w:p>
        </w:tc>
      </w:tr>
      <w:tr w:rsidR="005E17E5" w:rsidRPr="0074154F" w14:paraId="0AC06934" w14:textId="77777777" w:rsidTr="00E535B2">
        <w:trPr>
          <w:trHeight w:val="255"/>
          <w:jc w:val="right"/>
        </w:trPr>
        <w:tc>
          <w:tcPr>
            <w:tcW w:w="5272" w:type="dxa"/>
            <w:tcBorders>
              <w:top w:val="nil"/>
              <w:left w:val="nil"/>
              <w:right w:val="nil"/>
            </w:tcBorders>
            <w:shd w:val="clear" w:color="auto" w:fill="auto"/>
            <w:noWrap/>
            <w:vAlign w:val="bottom"/>
          </w:tcPr>
          <w:p w14:paraId="56511CF2" w14:textId="77777777" w:rsidR="005E17E5" w:rsidRPr="0074154F" w:rsidRDefault="005E17E5" w:rsidP="00372BE9">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Jubilación patronal</w:t>
            </w:r>
          </w:p>
        </w:tc>
        <w:tc>
          <w:tcPr>
            <w:tcW w:w="1502" w:type="dxa"/>
            <w:tcBorders>
              <w:top w:val="nil"/>
              <w:left w:val="nil"/>
              <w:right w:val="nil"/>
            </w:tcBorders>
            <w:shd w:val="clear" w:color="auto" w:fill="auto"/>
            <w:noWrap/>
            <w:vAlign w:val="bottom"/>
          </w:tcPr>
          <w:p w14:paraId="00D0590B" w14:textId="64B8A83B" w:rsidR="005E17E5" w:rsidRPr="0074154F" w:rsidRDefault="00C44A8F" w:rsidP="00372BE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6,378,735</w:t>
            </w:r>
          </w:p>
        </w:tc>
        <w:tc>
          <w:tcPr>
            <w:tcW w:w="227" w:type="dxa"/>
            <w:tcBorders>
              <w:top w:val="nil"/>
              <w:left w:val="nil"/>
              <w:right w:val="nil"/>
            </w:tcBorders>
            <w:shd w:val="clear" w:color="auto" w:fill="auto"/>
            <w:noWrap/>
            <w:vAlign w:val="bottom"/>
          </w:tcPr>
          <w:p w14:paraId="53F4A867" w14:textId="77777777" w:rsidR="005E17E5" w:rsidRPr="0074154F" w:rsidRDefault="005E17E5" w:rsidP="00372BE9">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6BED541A" w14:textId="16B69660" w:rsidR="005E17E5" w:rsidRPr="0074154F" w:rsidRDefault="00C44A8F" w:rsidP="00372BE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6,898,579</w:t>
            </w:r>
          </w:p>
        </w:tc>
      </w:tr>
      <w:tr w:rsidR="005E17E5" w:rsidRPr="0074154F" w14:paraId="1F9BFB70" w14:textId="77777777" w:rsidTr="00E535B2">
        <w:trPr>
          <w:trHeight w:val="255"/>
          <w:jc w:val="right"/>
        </w:trPr>
        <w:tc>
          <w:tcPr>
            <w:tcW w:w="5272" w:type="dxa"/>
            <w:tcBorders>
              <w:left w:val="nil"/>
              <w:right w:val="nil"/>
            </w:tcBorders>
            <w:shd w:val="clear" w:color="auto" w:fill="auto"/>
            <w:noWrap/>
            <w:vAlign w:val="bottom"/>
          </w:tcPr>
          <w:p w14:paraId="501D72BC" w14:textId="77777777" w:rsidR="005E17E5" w:rsidRPr="0074154F" w:rsidRDefault="005E17E5" w:rsidP="00372BE9">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Bonificación por desahucio</w:t>
            </w:r>
          </w:p>
        </w:tc>
        <w:tc>
          <w:tcPr>
            <w:tcW w:w="1502" w:type="dxa"/>
            <w:tcBorders>
              <w:left w:val="nil"/>
              <w:bottom w:val="single" w:sz="6" w:space="0" w:color="auto"/>
              <w:right w:val="nil"/>
            </w:tcBorders>
            <w:shd w:val="clear" w:color="auto" w:fill="auto"/>
            <w:noWrap/>
            <w:vAlign w:val="bottom"/>
          </w:tcPr>
          <w:p w14:paraId="14C78485" w14:textId="67A4915E" w:rsidR="005E17E5" w:rsidRPr="0074154F" w:rsidRDefault="00C44A8F" w:rsidP="00372BE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2,951,293</w:t>
            </w:r>
          </w:p>
        </w:tc>
        <w:tc>
          <w:tcPr>
            <w:tcW w:w="227" w:type="dxa"/>
            <w:tcBorders>
              <w:left w:val="nil"/>
              <w:right w:val="nil"/>
            </w:tcBorders>
            <w:shd w:val="clear" w:color="auto" w:fill="auto"/>
            <w:noWrap/>
            <w:vAlign w:val="bottom"/>
          </w:tcPr>
          <w:p w14:paraId="45339D36" w14:textId="77777777" w:rsidR="005E17E5" w:rsidRPr="0074154F" w:rsidRDefault="005E17E5" w:rsidP="00372BE9">
            <w:pPr>
              <w:spacing w:after="0" w:line="240" w:lineRule="auto"/>
              <w:rPr>
                <w:rFonts w:ascii="Arial" w:eastAsia="Times New Roman" w:hAnsi="Arial" w:cs="Arial"/>
                <w:sz w:val="20"/>
                <w:szCs w:val="20"/>
                <w:lang w:eastAsia="es-EC"/>
              </w:rPr>
            </w:pPr>
          </w:p>
        </w:tc>
        <w:tc>
          <w:tcPr>
            <w:tcW w:w="1502" w:type="dxa"/>
            <w:tcBorders>
              <w:left w:val="nil"/>
              <w:bottom w:val="single" w:sz="6" w:space="0" w:color="auto"/>
              <w:right w:val="nil"/>
            </w:tcBorders>
            <w:shd w:val="clear" w:color="auto" w:fill="auto"/>
            <w:noWrap/>
            <w:vAlign w:val="bottom"/>
          </w:tcPr>
          <w:p w14:paraId="6822F19D" w14:textId="4052F8AC" w:rsidR="005E17E5" w:rsidRPr="0074154F" w:rsidRDefault="00C44A8F" w:rsidP="00372BE9">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2,862,912</w:t>
            </w:r>
          </w:p>
        </w:tc>
      </w:tr>
      <w:tr w:rsidR="005E17E5" w:rsidRPr="0074154F" w14:paraId="0E5F1F15" w14:textId="77777777" w:rsidTr="00E535B2">
        <w:trPr>
          <w:trHeight w:val="255"/>
          <w:jc w:val="right"/>
        </w:trPr>
        <w:tc>
          <w:tcPr>
            <w:tcW w:w="5272" w:type="dxa"/>
            <w:tcBorders>
              <w:left w:val="nil"/>
              <w:right w:val="nil"/>
            </w:tcBorders>
            <w:shd w:val="clear" w:color="auto" w:fill="auto"/>
            <w:noWrap/>
            <w:vAlign w:val="bottom"/>
          </w:tcPr>
          <w:p w14:paraId="17C98FF6" w14:textId="77777777" w:rsidR="005E17E5" w:rsidRPr="0074154F" w:rsidRDefault="005E17E5" w:rsidP="00372BE9">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2AA495AD" w14:textId="77777777" w:rsidR="005E17E5" w:rsidRPr="0074154F" w:rsidRDefault="005E17E5" w:rsidP="00372BE9">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070EE85D" w14:textId="77777777" w:rsidR="005E17E5" w:rsidRPr="0074154F" w:rsidRDefault="005E17E5" w:rsidP="00372BE9">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61F4FB72" w14:textId="77777777" w:rsidR="005E17E5" w:rsidRPr="0074154F" w:rsidRDefault="005E17E5" w:rsidP="00372BE9">
            <w:pPr>
              <w:tabs>
                <w:tab w:val="decimal" w:pos="1276"/>
              </w:tabs>
              <w:spacing w:after="0" w:line="240" w:lineRule="auto"/>
              <w:rPr>
                <w:rFonts w:ascii="Arial" w:eastAsia="Times New Roman" w:hAnsi="Arial" w:cs="Arial"/>
                <w:sz w:val="20"/>
                <w:szCs w:val="20"/>
                <w:lang w:eastAsia="es-EC"/>
              </w:rPr>
            </w:pPr>
          </w:p>
        </w:tc>
      </w:tr>
      <w:tr w:rsidR="005E17E5" w:rsidRPr="0074154F" w14:paraId="17A17830" w14:textId="77777777" w:rsidTr="008A5F73">
        <w:trPr>
          <w:trHeight w:val="255"/>
          <w:jc w:val="right"/>
        </w:trPr>
        <w:tc>
          <w:tcPr>
            <w:tcW w:w="5272" w:type="dxa"/>
            <w:tcBorders>
              <w:left w:val="nil"/>
              <w:right w:val="nil"/>
            </w:tcBorders>
            <w:shd w:val="clear" w:color="auto" w:fill="auto"/>
            <w:noWrap/>
            <w:vAlign w:val="bottom"/>
          </w:tcPr>
          <w:p w14:paraId="6C5ED7B4" w14:textId="77777777" w:rsidR="005E17E5" w:rsidRPr="0074154F" w:rsidRDefault="005E17E5" w:rsidP="00372BE9">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Total</w:t>
            </w:r>
          </w:p>
        </w:tc>
        <w:tc>
          <w:tcPr>
            <w:tcW w:w="1502" w:type="dxa"/>
            <w:tcBorders>
              <w:left w:val="nil"/>
              <w:bottom w:val="double" w:sz="4" w:space="0" w:color="auto"/>
              <w:right w:val="nil"/>
            </w:tcBorders>
            <w:shd w:val="clear" w:color="auto" w:fill="auto"/>
            <w:noWrap/>
            <w:vAlign w:val="bottom"/>
          </w:tcPr>
          <w:p w14:paraId="0D860D1A" w14:textId="04ECF4CE" w:rsidR="005E17E5" w:rsidRPr="0074154F" w:rsidRDefault="00D61708" w:rsidP="00372BE9">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9,330,028</w:t>
            </w:r>
          </w:p>
        </w:tc>
        <w:tc>
          <w:tcPr>
            <w:tcW w:w="227" w:type="dxa"/>
            <w:tcBorders>
              <w:left w:val="nil"/>
              <w:right w:val="nil"/>
            </w:tcBorders>
            <w:shd w:val="clear" w:color="auto" w:fill="auto"/>
            <w:noWrap/>
            <w:vAlign w:val="bottom"/>
          </w:tcPr>
          <w:p w14:paraId="6AB169E5" w14:textId="77777777" w:rsidR="005E17E5" w:rsidRPr="0074154F" w:rsidRDefault="005E17E5" w:rsidP="00372BE9">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33387306" w14:textId="3E418252" w:rsidR="005E17E5" w:rsidRPr="0074154F" w:rsidRDefault="00D61708" w:rsidP="00372BE9">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9,761,491</w:t>
            </w:r>
          </w:p>
        </w:tc>
      </w:tr>
    </w:tbl>
    <w:p w14:paraId="717F0C22" w14:textId="77777777" w:rsidR="009262FD" w:rsidRPr="0074154F" w:rsidRDefault="009262FD" w:rsidP="008A5F73">
      <w:pPr>
        <w:pStyle w:val="ListParagraph"/>
        <w:spacing w:after="0" w:line="240" w:lineRule="auto"/>
        <w:ind w:left="567"/>
        <w:jc w:val="both"/>
        <w:rPr>
          <w:rFonts w:ascii="Arial" w:hAnsi="Arial" w:cs="Arial"/>
          <w:sz w:val="20"/>
          <w:szCs w:val="20"/>
        </w:rPr>
      </w:pPr>
    </w:p>
    <w:p w14:paraId="1E37D063" w14:textId="03B929A3" w:rsidR="008A5F73" w:rsidRPr="0074154F" w:rsidRDefault="008A5F73" w:rsidP="008A5F73">
      <w:pPr>
        <w:pStyle w:val="ListParagraph"/>
        <w:spacing w:after="0" w:line="240" w:lineRule="auto"/>
        <w:ind w:left="567"/>
        <w:jc w:val="both"/>
        <w:rPr>
          <w:rFonts w:ascii="Arial" w:hAnsi="Arial" w:cs="Arial"/>
          <w:sz w:val="20"/>
          <w:szCs w:val="20"/>
        </w:rPr>
      </w:pPr>
      <w:r w:rsidRPr="0074154F">
        <w:rPr>
          <w:rFonts w:ascii="Arial" w:hAnsi="Arial" w:cs="Arial"/>
          <w:sz w:val="20"/>
          <w:szCs w:val="20"/>
        </w:rPr>
        <w:t>Al 31 de diciembre del 2020:</w:t>
      </w:r>
    </w:p>
    <w:p w14:paraId="5E42244E" w14:textId="77777777" w:rsidR="008A5F73" w:rsidRPr="0074154F" w:rsidRDefault="008A5F73" w:rsidP="008A5F73">
      <w:pPr>
        <w:widowControl w:val="0"/>
        <w:spacing w:after="0" w:line="240" w:lineRule="auto"/>
        <w:ind w:left="567"/>
        <w:jc w:val="both"/>
        <w:rPr>
          <w:rFonts w:ascii="Arial" w:hAnsi="Arial" w:cs="Arial"/>
          <w:sz w:val="20"/>
          <w:szCs w:val="20"/>
        </w:rPr>
      </w:pPr>
    </w:p>
    <w:p w14:paraId="2F9B5A73" w14:textId="4316FFC0" w:rsidR="00D97EFF" w:rsidRPr="0074154F" w:rsidRDefault="00D97EFF" w:rsidP="008A5F73">
      <w:pPr>
        <w:pStyle w:val="ListParagraph"/>
        <w:numPr>
          <w:ilvl w:val="0"/>
          <w:numId w:val="2"/>
        </w:numPr>
        <w:spacing w:after="0" w:line="240" w:lineRule="auto"/>
        <w:ind w:left="993" w:hanging="426"/>
        <w:jc w:val="both"/>
        <w:rPr>
          <w:rFonts w:ascii="Arial" w:hAnsi="Arial" w:cs="Arial"/>
          <w:sz w:val="20"/>
          <w:szCs w:val="20"/>
        </w:rPr>
      </w:pPr>
      <w:r w:rsidRPr="0074154F">
        <w:rPr>
          <w:rFonts w:ascii="Arial" w:hAnsi="Arial" w:cs="Arial"/>
          <w:iCs/>
          <w:sz w:val="20"/>
          <w:szCs w:val="20"/>
        </w:rPr>
        <w:t>Jubilación patronal</w:t>
      </w:r>
      <w:r w:rsidR="008A5F73" w:rsidRPr="0074154F">
        <w:rPr>
          <w:rFonts w:ascii="Arial" w:hAnsi="Arial" w:cs="Arial"/>
          <w:iCs/>
          <w:sz w:val="20"/>
          <w:szCs w:val="20"/>
        </w:rPr>
        <w:t>,</w:t>
      </w:r>
      <w:r w:rsidRPr="0074154F">
        <w:rPr>
          <w:rFonts w:ascii="Arial" w:hAnsi="Arial" w:cs="Arial"/>
          <w:sz w:val="20"/>
          <w:szCs w:val="20"/>
        </w:rPr>
        <w:t xml:space="preserve"> </w:t>
      </w:r>
      <w:r w:rsidR="008A5F73" w:rsidRPr="0074154F">
        <w:rPr>
          <w:rFonts w:ascii="Arial" w:hAnsi="Arial" w:cs="Arial"/>
          <w:sz w:val="20"/>
          <w:szCs w:val="20"/>
        </w:rPr>
        <w:t>d</w:t>
      </w:r>
      <w:r w:rsidRPr="0074154F">
        <w:rPr>
          <w:rFonts w:ascii="Arial" w:hAnsi="Arial" w:cs="Arial"/>
          <w:sz w:val="20"/>
          <w:szCs w:val="20"/>
        </w:rPr>
        <w:t xml:space="preserve">e acuerdo con disposiciones del Código de Trabajo, los trabajadores que por 25 años o más que hubieren prestado sus servicios en forma continuada o ininterrumpida, tendrán derecho a ser jubilados por sus empleadores sin perjuicio de la jubilación que les corresponde en su condición de afiliados al Instituto Ecuatoriano de Seguridad Social (IESS).  </w:t>
      </w:r>
    </w:p>
    <w:p w14:paraId="75E9BE8C" w14:textId="77777777" w:rsidR="00D97EFF" w:rsidRPr="0074154F" w:rsidRDefault="00D97EFF" w:rsidP="00372BE9">
      <w:pPr>
        <w:tabs>
          <w:tab w:val="decimal" w:pos="7513"/>
          <w:tab w:val="decimal" w:pos="8931"/>
        </w:tabs>
        <w:spacing w:after="0" w:line="240" w:lineRule="auto"/>
        <w:ind w:left="567"/>
        <w:jc w:val="both"/>
        <w:rPr>
          <w:rFonts w:ascii="Arial" w:hAnsi="Arial" w:cs="Arial"/>
          <w:sz w:val="20"/>
          <w:szCs w:val="20"/>
        </w:rPr>
      </w:pPr>
    </w:p>
    <w:p w14:paraId="233FF9B9" w14:textId="5D74F065" w:rsidR="00D97EFF" w:rsidRDefault="00D97EFF" w:rsidP="008A5F73">
      <w:pPr>
        <w:tabs>
          <w:tab w:val="decimal" w:pos="7513"/>
          <w:tab w:val="decimal" w:pos="8931"/>
        </w:tabs>
        <w:spacing w:after="0" w:line="240" w:lineRule="auto"/>
        <w:ind w:left="993"/>
        <w:jc w:val="both"/>
        <w:rPr>
          <w:rFonts w:ascii="Arial" w:hAnsi="Arial" w:cs="Arial"/>
          <w:sz w:val="20"/>
          <w:szCs w:val="20"/>
        </w:rPr>
      </w:pPr>
      <w:r w:rsidRPr="0074154F">
        <w:rPr>
          <w:rFonts w:ascii="Arial" w:hAnsi="Arial" w:cs="Arial"/>
          <w:sz w:val="20"/>
          <w:szCs w:val="20"/>
        </w:rPr>
        <w:t xml:space="preserve">En el caso que el trabajador cumpla de 20 a 25 años de manera continua e ininterrumpida laborando en </w:t>
      </w:r>
      <w:r w:rsidR="0072068F" w:rsidRPr="0074154F">
        <w:rPr>
          <w:rFonts w:ascii="Arial" w:hAnsi="Arial" w:cs="Arial"/>
          <w:sz w:val="20"/>
          <w:szCs w:val="20"/>
        </w:rPr>
        <w:t>el Grupo</w:t>
      </w:r>
      <w:r w:rsidRPr="0074154F">
        <w:rPr>
          <w:rFonts w:ascii="Arial" w:hAnsi="Arial" w:cs="Arial"/>
          <w:sz w:val="20"/>
          <w:szCs w:val="20"/>
        </w:rPr>
        <w:t xml:space="preserve">, se le pagará un proporcional de jubilación patronal en el evento de un despido intempestivo. </w:t>
      </w:r>
    </w:p>
    <w:p w14:paraId="6A37300D" w14:textId="77777777" w:rsidR="00DB60A1" w:rsidRPr="0074154F" w:rsidRDefault="00DB60A1" w:rsidP="008A5F73">
      <w:pPr>
        <w:tabs>
          <w:tab w:val="decimal" w:pos="7513"/>
          <w:tab w:val="decimal" w:pos="8931"/>
        </w:tabs>
        <w:spacing w:after="0" w:line="240" w:lineRule="auto"/>
        <w:ind w:left="993"/>
        <w:jc w:val="both"/>
        <w:rPr>
          <w:rFonts w:ascii="Arial" w:hAnsi="Arial" w:cs="Arial"/>
          <w:sz w:val="20"/>
          <w:szCs w:val="20"/>
        </w:rPr>
      </w:pPr>
    </w:p>
    <w:p w14:paraId="27DC8906" w14:textId="154EB3A6"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Los movimientos comparativos en el valor presente de la jubilación patronal fueron como sigue:</w:t>
      </w:r>
    </w:p>
    <w:p w14:paraId="04617A62" w14:textId="623B48FF" w:rsidR="00F62BF3" w:rsidRDefault="00F62BF3" w:rsidP="00372BE9">
      <w:pPr>
        <w:widowControl w:val="0"/>
        <w:spacing w:after="0" w:line="240" w:lineRule="auto"/>
        <w:ind w:left="567"/>
        <w:jc w:val="both"/>
        <w:rPr>
          <w:rFonts w:ascii="Arial" w:hAnsi="Arial" w:cs="Arial"/>
          <w:sz w:val="20"/>
          <w:szCs w:val="20"/>
        </w:rPr>
      </w:pPr>
    </w:p>
    <w:p w14:paraId="176C5C85" w14:textId="332613CA" w:rsidR="00DB60A1" w:rsidRDefault="00DB60A1" w:rsidP="00372BE9">
      <w:pPr>
        <w:widowControl w:val="0"/>
        <w:spacing w:after="0" w:line="240" w:lineRule="auto"/>
        <w:ind w:left="567"/>
        <w:jc w:val="both"/>
        <w:rPr>
          <w:rFonts w:ascii="Arial" w:hAnsi="Arial" w:cs="Arial"/>
          <w:sz w:val="20"/>
          <w:szCs w:val="20"/>
        </w:rPr>
      </w:pPr>
    </w:p>
    <w:p w14:paraId="56D1EC12" w14:textId="4E5A5783" w:rsidR="00DB60A1" w:rsidRDefault="00DB60A1" w:rsidP="00372BE9">
      <w:pPr>
        <w:widowControl w:val="0"/>
        <w:spacing w:after="0" w:line="240" w:lineRule="auto"/>
        <w:ind w:left="567"/>
        <w:jc w:val="both"/>
        <w:rPr>
          <w:rFonts w:ascii="Arial" w:hAnsi="Arial" w:cs="Arial"/>
          <w:sz w:val="20"/>
          <w:szCs w:val="20"/>
        </w:rPr>
      </w:pPr>
    </w:p>
    <w:p w14:paraId="7ADC28C8" w14:textId="77777777" w:rsidR="00DB60A1" w:rsidRPr="0074154F" w:rsidRDefault="00DB60A1" w:rsidP="00372BE9">
      <w:pPr>
        <w:widowControl w:val="0"/>
        <w:spacing w:after="0" w:line="240" w:lineRule="auto"/>
        <w:ind w:left="567"/>
        <w:jc w:val="both"/>
        <w:rPr>
          <w:rFonts w:ascii="Arial" w:hAnsi="Arial" w:cs="Arial"/>
          <w:sz w:val="20"/>
          <w:szCs w:val="20"/>
        </w:rPr>
      </w:pPr>
    </w:p>
    <w:tbl>
      <w:tblPr>
        <w:tblW w:w="8077" w:type="dxa"/>
        <w:jc w:val="right"/>
        <w:tblCellMar>
          <w:left w:w="70" w:type="dxa"/>
          <w:right w:w="70" w:type="dxa"/>
        </w:tblCellMar>
        <w:tblLook w:val="04A0" w:firstRow="1" w:lastRow="0" w:firstColumn="1" w:lastColumn="0" w:noHBand="0" w:noVBand="1"/>
      </w:tblPr>
      <w:tblGrid>
        <w:gridCol w:w="4604"/>
        <w:gridCol w:w="2153"/>
        <w:gridCol w:w="223"/>
        <w:gridCol w:w="2090"/>
      </w:tblGrid>
      <w:tr w:rsidR="00F62BF3" w:rsidRPr="0074154F" w14:paraId="2AE8F8B3" w14:textId="77777777" w:rsidTr="008A5F73">
        <w:trPr>
          <w:trHeight w:val="283"/>
          <w:jc w:val="right"/>
        </w:trPr>
        <w:tc>
          <w:tcPr>
            <w:tcW w:w="4846" w:type="dxa"/>
            <w:tcBorders>
              <w:top w:val="nil"/>
              <w:left w:val="nil"/>
              <w:bottom w:val="nil"/>
              <w:right w:val="nil"/>
            </w:tcBorders>
            <w:shd w:val="clear" w:color="auto" w:fill="auto"/>
            <w:noWrap/>
            <w:vAlign w:val="bottom"/>
            <w:hideMark/>
          </w:tcPr>
          <w:p w14:paraId="18BFEB5C" w14:textId="77777777" w:rsidR="00F62BF3" w:rsidRPr="0074154F" w:rsidRDefault="00F62BF3" w:rsidP="00372BE9">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15B4D695" w14:textId="42A3AA7E" w:rsidR="00F62BF3" w:rsidRPr="0074154F" w:rsidRDefault="00F62BF3" w:rsidP="00372BE9">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w:t>
            </w:r>
            <w:r w:rsidR="009133F8"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5598C168" w14:textId="77777777" w:rsidR="00F62BF3" w:rsidRPr="0074154F" w:rsidRDefault="00F62BF3" w:rsidP="00372BE9">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6040A439" w14:textId="0622D4DB" w:rsidR="00F62BF3" w:rsidRPr="0074154F" w:rsidRDefault="00F62BF3" w:rsidP="00372BE9">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w:t>
            </w:r>
            <w:r w:rsidR="009133F8" w:rsidRPr="0074154F">
              <w:rPr>
                <w:rFonts w:ascii="Arial" w:eastAsia="Times New Roman" w:hAnsi="Arial" w:cs="Arial"/>
                <w:b/>
                <w:bCs/>
                <w:color w:val="000000"/>
                <w:sz w:val="20"/>
                <w:szCs w:val="20"/>
                <w:lang w:eastAsia="es-EC"/>
              </w:rPr>
              <w:t>9</w:t>
            </w:r>
          </w:p>
        </w:tc>
      </w:tr>
      <w:tr w:rsidR="00F62BF3" w:rsidRPr="0074154F" w14:paraId="4D6A8E3A" w14:textId="77777777" w:rsidTr="008A5F73">
        <w:trPr>
          <w:trHeight w:val="283"/>
          <w:jc w:val="right"/>
        </w:trPr>
        <w:tc>
          <w:tcPr>
            <w:tcW w:w="4846" w:type="dxa"/>
            <w:tcBorders>
              <w:top w:val="nil"/>
              <w:left w:val="nil"/>
              <w:right w:val="nil"/>
            </w:tcBorders>
            <w:shd w:val="clear" w:color="auto" w:fill="auto"/>
            <w:noWrap/>
            <w:vAlign w:val="bottom"/>
            <w:hideMark/>
          </w:tcPr>
          <w:p w14:paraId="0F3FE295" w14:textId="77777777" w:rsidR="00F62BF3" w:rsidRPr="0074154F" w:rsidRDefault="00F62BF3" w:rsidP="00372BE9">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20E416BE" w14:textId="77777777" w:rsidR="00F62BF3" w:rsidRPr="0074154F" w:rsidRDefault="00F62BF3" w:rsidP="00372BE9">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69493BBB" w14:textId="77777777" w:rsidR="00F62BF3" w:rsidRPr="0074154F" w:rsidRDefault="00F62BF3" w:rsidP="00372BE9">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3985646D" w14:textId="77777777" w:rsidR="00F62BF3" w:rsidRPr="0074154F" w:rsidRDefault="00F62BF3" w:rsidP="00372BE9">
            <w:pPr>
              <w:spacing w:after="0" w:line="240" w:lineRule="auto"/>
              <w:rPr>
                <w:rFonts w:ascii="Arial" w:eastAsia="Times New Roman" w:hAnsi="Arial" w:cs="Arial"/>
                <w:sz w:val="20"/>
                <w:szCs w:val="20"/>
                <w:lang w:eastAsia="es-EC"/>
              </w:rPr>
            </w:pPr>
          </w:p>
        </w:tc>
      </w:tr>
      <w:tr w:rsidR="00A83D8E" w:rsidRPr="0074154F" w14:paraId="0AE102CC" w14:textId="77777777" w:rsidTr="008A5F73">
        <w:trPr>
          <w:trHeight w:val="283"/>
          <w:jc w:val="right"/>
        </w:trPr>
        <w:tc>
          <w:tcPr>
            <w:tcW w:w="4846" w:type="dxa"/>
            <w:tcBorders>
              <w:top w:val="nil"/>
              <w:left w:val="nil"/>
              <w:right w:val="nil"/>
            </w:tcBorders>
            <w:shd w:val="clear" w:color="auto" w:fill="auto"/>
            <w:noWrap/>
            <w:vAlign w:val="bottom"/>
          </w:tcPr>
          <w:p w14:paraId="09AB0012" w14:textId="77777777" w:rsidR="00A83D8E" w:rsidRPr="0074154F" w:rsidRDefault="00A83D8E" w:rsidP="00A83D8E">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Saldo al inicio del año</w:t>
            </w:r>
          </w:p>
        </w:tc>
        <w:tc>
          <w:tcPr>
            <w:tcW w:w="1502" w:type="dxa"/>
            <w:tcBorders>
              <w:top w:val="nil"/>
              <w:left w:val="nil"/>
              <w:right w:val="nil"/>
            </w:tcBorders>
            <w:shd w:val="clear" w:color="auto" w:fill="auto"/>
            <w:noWrap/>
            <w:vAlign w:val="bottom"/>
          </w:tcPr>
          <w:p w14:paraId="002E69FD" w14:textId="64B9BD82" w:rsidR="00A83D8E" w:rsidRPr="0074154F" w:rsidRDefault="009B436C"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6,898,579</w:t>
            </w:r>
          </w:p>
        </w:tc>
        <w:tc>
          <w:tcPr>
            <w:tcW w:w="227" w:type="dxa"/>
            <w:tcBorders>
              <w:top w:val="nil"/>
              <w:left w:val="nil"/>
              <w:right w:val="nil"/>
            </w:tcBorders>
            <w:shd w:val="clear" w:color="auto" w:fill="auto"/>
            <w:noWrap/>
            <w:vAlign w:val="bottom"/>
          </w:tcPr>
          <w:p w14:paraId="0FA4D246" w14:textId="77777777" w:rsidR="00A83D8E" w:rsidRPr="0074154F" w:rsidRDefault="00A83D8E" w:rsidP="00A83D8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1238639" w14:textId="6DB42CA1" w:rsidR="00A83D8E"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4,150,220</w:t>
            </w:r>
          </w:p>
        </w:tc>
      </w:tr>
      <w:tr w:rsidR="00EC2CF4" w:rsidRPr="0074154F" w14:paraId="0EAD7CCC" w14:textId="77777777" w:rsidTr="008A5F73">
        <w:trPr>
          <w:trHeight w:val="283"/>
          <w:jc w:val="right"/>
        </w:trPr>
        <w:tc>
          <w:tcPr>
            <w:tcW w:w="4846" w:type="dxa"/>
            <w:tcBorders>
              <w:top w:val="nil"/>
              <w:left w:val="nil"/>
              <w:right w:val="nil"/>
            </w:tcBorders>
            <w:shd w:val="clear" w:color="auto" w:fill="auto"/>
            <w:noWrap/>
            <w:vAlign w:val="bottom"/>
          </w:tcPr>
          <w:p w14:paraId="5E5DD429" w14:textId="77777777" w:rsidR="00EC2CF4" w:rsidRPr="0074154F" w:rsidRDefault="00EC2CF4" w:rsidP="00A83D8E">
            <w:pPr>
              <w:spacing w:after="0" w:line="240" w:lineRule="auto"/>
              <w:ind w:left="-70"/>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50A11BAF" w14:textId="77777777" w:rsidR="00EC2CF4" w:rsidRPr="0074154F" w:rsidRDefault="00EC2CF4" w:rsidP="00A83D8E">
            <w:pPr>
              <w:tabs>
                <w:tab w:val="decimal" w:pos="1276"/>
              </w:tabs>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tcPr>
          <w:p w14:paraId="4FAFECE7" w14:textId="77777777" w:rsidR="00EC2CF4" w:rsidRPr="0074154F" w:rsidRDefault="00EC2CF4" w:rsidP="00A83D8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B203C13" w14:textId="77777777" w:rsidR="00EC2CF4" w:rsidRPr="0074154F" w:rsidRDefault="00EC2CF4" w:rsidP="00A83D8E">
            <w:pPr>
              <w:tabs>
                <w:tab w:val="decimal" w:pos="1276"/>
              </w:tabs>
              <w:spacing w:after="0" w:line="240" w:lineRule="auto"/>
              <w:rPr>
                <w:rFonts w:ascii="Arial" w:eastAsia="Times New Roman" w:hAnsi="Arial" w:cs="Arial"/>
                <w:sz w:val="20"/>
                <w:szCs w:val="20"/>
                <w:lang w:eastAsia="es-EC"/>
              </w:rPr>
            </w:pPr>
          </w:p>
        </w:tc>
      </w:tr>
      <w:tr w:rsidR="00A83D8E" w:rsidRPr="0074154F" w14:paraId="09EA6F2D" w14:textId="77777777" w:rsidTr="008A5F73">
        <w:trPr>
          <w:trHeight w:val="283"/>
          <w:jc w:val="right"/>
        </w:trPr>
        <w:tc>
          <w:tcPr>
            <w:tcW w:w="4846" w:type="dxa"/>
            <w:tcBorders>
              <w:top w:val="nil"/>
              <w:left w:val="nil"/>
              <w:right w:val="nil"/>
            </w:tcBorders>
            <w:shd w:val="clear" w:color="auto" w:fill="auto"/>
            <w:noWrap/>
            <w:vAlign w:val="bottom"/>
          </w:tcPr>
          <w:p w14:paraId="0C5DB941" w14:textId="34A6B688" w:rsidR="00A83D8E" w:rsidRPr="0074154F" w:rsidRDefault="0055741C" w:rsidP="00A83D8E">
            <w:pPr>
              <w:spacing w:after="0" w:line="240" w:lineRule="auto"/>
              <w:ind w:left="-70"/>
              <w:rPr>
                <w:rFonts w:ascii="Arial" w:eastAsia="Times New Roman" w:hAnsi="Arial" w:cs="Arial"/>
                <w:color w:val="000000" w:themeColor="text1"/>
                <w:sz w:val="20"/>
                <w:szCs w:val="20"/>
                <w:lang w:eastAsia="es-EC"/>
              </w:rPr>
            </w:pPr>
            <w:r w:rsidRPr="0074154F">
              <w:rPr>
                <w:rFonts w:ascii="Arial" w:eastAsia="Times New Roman" w:hAnsi="Arial" w:cs="Arial"/>
                <w:color w:val="000000" w:themeColor="text1"/>
                <w:sz w:val="20"/>
                <w:szCs w:val="20"/>
                <w:lang w:eastAsia="es-EC"/>
              </w:rPr>
              <w:t>A</w:t>
            </w:r>
            <w:r w:rsidR="00811F4D" w:rsidRPr="0074154F">
              <w:rPr>
                <w:rFonts w:ascii="Arial" w:eastAsia="Times New Roman" w:hAnsi="Arial" w:cs="Arial"/>
                <w:color w:val="000000" w:themeColor="text1"/>
                <w:sz w:val="20"/>
                <w:szCs w:val="20"/>
                <w:lang w:eastAsia="es-EC"/>
              </w:rPr>
              <w:t>juste</w:t>
            </w:r>
            <w:r w:rsidR="008A49FF" w:rsidRPr="0074154F">
              <w:rPr>
                <w:rFonts w:ascii="Arial" w:eastAsia="Times New Roman" w:hAnsi="Arial" w:cs="Arial"/>
                <w:color w:val="000000" w:themeColor="text1"/>
                <w:sz w:val="20"/>
                <w:szCs w:val="20"/>
                <w:lang w:eastAsia="es-EC"/>
              </w:rPr>
              <w:t xml:space="preserve"> </w:t>
            </w:r>
            <w:r w:rsidR="005278F9" w:rsidRPr="0074154F">
              <w:rPr>
                <w:rFonts w:ascii="Arial" w:eastAsia="Times New Roman" w:hAnsi="Arial" w:cs="Arial"/>
                <w:color w:val="000000" w:themeColor="text1"/>
                <w:sz w:val="20"/>
                <w:szCs w:val="20"/>
                <w:lang w:eastAsia="es-EC"/>
              </w:rPr>
              <w:t>de provisión</w:t>
            </w:r>
            <w:r w:rsidR="0085436C" w:rsidRPr="0074154F">
              <w:rPr>
                <w:rFonts w:ascii="Arial" w:eastAsia="Times New Roman" w:hAnsi="Arial" w:cs="Arial"/>
                <w:color w:val="000000" w:themeColor="text1"/>
                <w:sz w:val="20"/>
                <w:szCs w:val="20"/>
                <w:lang w:eastAsia="es-EC"/>
              </w:rPr>
              <w:t xml:space="preserve">, </w:t>
            </w:r>
            <w:r w:rsidR="00EC2CF4" w:rsidRPr="0074154F">
              <w:rPr>
                <w:rFonts w:ascii="Arial" w:eastAsia="Times New Roman" w:hAnsi="Arial" w:cs="Arial"/>
                <w:color w:val="000000" w:themeColor="text1"/>
                <w:sz w:val="20"/>
                <w:szCs w:val="20"/>
                <w:lang w:eastAsia="es-EC"/>
              </w:rPr>
              <w:t>N</w:t>
            </w:r>
            <w:r w:rsidR="0085436C" w:rsidRPr="0074154F">
              <w:rPr>
                <w:rFonts w:ascii="Arial" w:eastAsia="Times New Roman" w:hAnsi="Arial" w:cs="Arial"/>
                <w:color w:val="000000" w:themeColor="text1"/>
                <w:sz w:val="20"/>
                <w:szCs w:val="20"/>
                <w:lang w:eastAsia="es-EC"/>
              </w:rPr>
              <w:t>ota 25</w:t>
            </w:r>
          </w:p>
        </w:tc>
        <w:tc>
          <w:tcPr>
            <w:tcW w:w="1502" w:type="dxa"/>
            <w:tcBorders>
              <w:top w:val="nil"/>
              <w:left w:val="nil"/>
              <w:right w:val="nil"/>
            </w:tcBorders>
            <w:shd w:val="clear" w:color="auto" w:fill="auto"/>
            <w:noWrap/>
            <w:vAlign w:val="bottom"/>
          </w:tcPr>
          <w:p w14:paraId="0298B42E" w14:textId="7DA4F2E3" w:rsidR="00A83D8E" w:rsidRPr="0074154F" w:rsidRDefault="0036358F" w:rsidP="00A83D8E">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w:t>
            </w:r>
            <w:r w:rsidR="009B436C">
              <w:rPr>
                <w:rFonts w:ascii="Arial" w:eastAsia="Times New Roman" w:hAnsi="Arial" w:cs="Arial"/>
                <w:color w:val="000000" w:themeColor="text1"/>
                <w:sz w:val="20"/>
                <w:szCs w:val="20"/>
                <w:lang w:eastAsia="es-EC"/>
              </w:rPr>
              <w:t>1,523,072</w:t>
            </w:r>
            <w:r>
              <w:rPr>
                <w:rFonts w:ascii="Arial" w:eastAsia="Times New Roman" w:hAnsi="Arial" w:cs="Arial"/>
                <w:color w:val="000000" w:themeColor="text1"/>
                <w:sz w:val="20"/>
                <w:szCs w:val="20"/>
                <w:lang w:eastAsia="es-EC"/>
              </w:rPr>
              <w:t>)</w:t>
            </w:r>
          </w:p>
        </w:tc>
        <w:tc>
          <w:tcPr>
            <w:tcW w:w="227" w:type="dxa"/>
            <w:tcBorders>
              <w:top w:val="nil"/>
              <w:left w:val="nil"/>
              <w:right w:val="nil"/>
            </w:tcBorders>
            <w:shd w:val="clear" w:color="auto" w:fill="auto"/>
            <w:noWrap/>
            <w:vAlign w:val="bottom"/>
          </w:tcPr>
          <w:p w14:paraId="3744F9B7" w14:textId="77777777" w:rsidR="00A83D8E" w:rsidRPr="0074154F" w:rsidRDefault="00A83D8E" w:rsidP="00A83D8E">
            <w:pPr>
              <w:spacing w:after="0" w:line="240" w:lineRule="auto"/>
              <w:rPr>
                <w:rFonts w:ascii="Arial" w:eastAsia="Times New Roman" w:hAnsi="Arial" w:cs="Arial"/>
                <w:color w:val="000000" w:themeColor="text1"/>
                <w:sz w:val="20"/>
                <w:szCs w:val="20"/>
                <w:lang w:eastAsia="es-EC"/>
              </w:rPr>
            </w:pPr>
          </w:p>
        </w:tc>
        <w:tc>
          <w:tcPr>
            <w:tcW w:w="1502" w:type="dxa"/>
            <w:tcBorders>
              <w:top w:val="nil"/>
              <w:left w:val="nil"/>
              <w:right w:val="nil"/>
            </w:tcBorders>
            <w:shd w:val="clear" w:color="auto" w:fill="auto"/>
            <w:noWrap/>
            <w:vAlign w:val="bottom"/>
          </w:tcPr>
          <w:p w14:paraId="6C2CB361" w14:textId="34210889" w:rsidR="00A83D8E" w:rsidRPr="0074154F" w:rsidRDefault="0036358F" w:rsidP="00A83D8E">
            <w:pPr>
              <w:tabs>
                <w:tab w:val="decimal" w:pos="1276"/>
              </w:tabs>
              <w:spacing w:after="0" w:line="240" w:lineRule="auto"/>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w:t>
            </w:r>
          </w:p>
        </w:tc>
      </w:tr>
      <w:tr w:rsidR="00A83D8E" w:rsidRPr="0074154F" w14:paraId="57C0FD72" w14:textId="77777777" w:rsidTr="008A5F73">
        <w:trPr>
          <w:trHeight w:val="283"/>
          <w:jc w:val="right"/>
        </w:trPr>
        <w:tc>
          <w:tcPr>
            <w:tcW w:w="4846" w:type="dxa"/>
            <w:tcBorders>
              <w:top w:val="nil"/>
              <w:left w:val="nil"/>
              <w:right w:val="nil"/>
            </w:tcBorders>
            <w:shd w:val="clear" w:color="auto" w:fill="auto"/>
            <w:noWrap/>
            <w:vAlign w:val="bottom"/>
          </w:tcPr>
          <w:p w14:paraId="02D59B04" w14:textId="0E786D5F" w:rsidR="00A83D8E" w:rsidRPr="0074154F" w:rsidRDefault="00A83D8E" w:rsidP="00A83D8E">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Costo laboral</w:t>
            </w:r>
            <w:r w:rsidR="007B7F23" w:rsidRPr="0074154F">
              <w:rPr>
                <w:rFonts w:ascii="Arial" w:eastAsia="Times New Roman" w:hAnsi="Arial" w:cs="Arial"/>
                <w:color w:val="000000"/>
                <w:sz w:val="20"/>
                <w:szCs w:val="20"/>
                <w:lang w:val="es-MX" w:eastAsia="es-MX"/>
              </w:rPr>
              <w:t xml:space="preserve"> </w:t>
            </w:r>
          </w:p>
        </w:tc>
        <w:tc>
          <w:tcPr>
            <w:tcW w:w="1502" w:type="dxa"/>
            <w:tcBorders>
              <w:top w:val="nil"/>
              <w:left w:val="nil"/>
              <w:right w:val="nil"/>
            </w:tcBorders>
            <w:shd w:val="clear" w:color="auto" w:fill="auto"/>
            <w:noWrap/>
            <w:vAlign w:val="bottom"/>
          </w:tcPr>
          <w:p w14:paraId="57A8A5AC" w14:textId="170A1572" w:rsidR="00A83D8E"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544,205</w:t>
            </w:r>
          </w:p>
        </w:tc>
        <w:tc>
          <w:tcPr>
            <w:tcW w:w="227" w:type="dxa"/>
            <w:tcBorders>
              <w:top w:val="nil"/>
              <w:left w:val="nil"/>
              <w:right w:val="nil"/>
            </w:tcBorders>
            <w:shd w:val="clear" w:color="auto" w:fill="auto"/>
            <w:noWrap/>
            <w:vAlign w:val="bottom"/>
          </w:tcPr>
          <w:p w14:paraId="7BE89151" w14:textId="77777777" w:rsidR="00A83D8E" w:rsidRPr="0074154F" w:rsidRDefault="00A83D8E" w:rsidP="00A83D8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41BC0D2" w14:textId="2DF4A1A9" w:rsidR="00A83D8E"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935,772</w:t>
            </w:r>
          </w:p>
        </w:tc>
      </w:tr>
      <w:tr w:rsidR="0085436C" w:rsidRPr="0074154F" w14:paraId="6BBEB665" w14:textId="77777777" w:rsidTr="008A5F73">
        <w:trPr>
          <w:trHeight w:val="283"/>
          <w:jc w:val="right"/>
        </w:trPr>
        <w:tc>
          <w:tcPr>
            <w:tcW w:w="4846" w:type="dxa"/>
            <w:tcBorders>
              <w:top w:val="nil"/>
              <w:left w:val="nil"/>
              <w:right w:val="nil"/>
            </w:tcBorders>
            <w:shd w:val="clear" w:color="auto" w:fill="auto"/>
            <w:noWrap/>
            <w:vAlign w:val="bottom"/>
          </w:tcPr>
          <w:p w14:paraId="58637075" w14:textId="38D088FD" w:rsidR="0085436C" w:rsidRPr="0074154F" w:rsidRDefault="0085436C" w:rsidP="00A83D8E">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Costo financiero</w:t>
            </w:r>
          </w:p>
        </w:tc>
        <w:tc>
          <w:tcPr>
            <w:tcW w:w="1502" w:type="dxa"/>
            <w:tcBorders>
              <w:top w:val="nil"/>
              <w:left w:val="nil"/>
              <w:right w:val="nil"/>
            </w:tcBorders>
            <w:shd w:val="clear" w:color="auto" w:fill="auto"/>
            <w:noWrap/>
            <w:vAlign w:val="bottom"/>
          </w:tcPr>
          <w:p w14:paraId="79DE17F6" w14:textId="654FE0BC" w:rsidR="0085436C"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363,158</w:t>
            </w:r>
          </w:p>
        </w:tc>
        <w:tc>
          <w:tcPr>
            <w:tcW w:w="227" w:type="dxa"/>
            <w:tcBorders>
              <w:top w:val="nil"/>
              <w:left w:val="nil"/>
              <w:right w:val="nil"/>
            </w:tcBorders>
            <w:shd w:val="clear" w:color="auto" w:fill="auto"/>
            <w:noWrap/>
            <w:vAlign w:val="bottom"/>
          </w:tcPr>
          <w:p w14:paraId="584A21F1" w14:textId="77777777" w:rsidR="0085436C" w:rsidRPr="0074154F" w:rsidRDefault="0085436C" w:rsidP="00A83D8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F04F1D8" w14:textId="329D7195" w:rsidR="0085436C"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362,927</w:t>
            </w:r>
          </w:p>
        </w:tc>
      </w:tr>
      <w:tr w:rsidR="00A83D8E" w:rsidRPr="0074154F" w14:paraId="212E72D7" w14:textId="77777777" w:rsidTr="008A5F73">
        <w:trPr>
          <w:trHeight w:val="283"/>
          <w:jc w:val="right"/>
        </w:trPr>
        <w:tc>
          <w:tcPr>
            <w:tcW w:w="4846" w:type="dxa"/>
            <w:tcBorders>
              <w:top w:val="nil"/>
              <w:left w:val="nil"/>
              <w:right w:val="nil"/>
            </w:tcBorders>
            <w:shd w:val="clear" w:color="auto" w:fill="auto"/>
            <w:noWrap/>
            <w:vAlign w:val="bottom"/>
          </w:tcPr>
          <w:p w14:paraId="0E82FBF7" w14:textId="75EA0086" w:rsidR="00A83D8E" w:rsidRPr="0074154F" w:rsidRDefault="00B037F9" w:rsidP="00A83D8E">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Pérdida</w:t>
            </w:r>
            <w:r w:rsidR="00A83D8E" w:rsidRPr="0074154F">
              <w:rPr>
                <w:rFonts w:ascii="Arial" w:eastAsia="Times New Roman" w:hAnsi="Arial" w:cs="Arial"/>
                <w:color w:val="000000"/>
                <w:sz w:val="20"/>
                <w:szCs w:val="20"/>
                <w:lang w:val="es-MX" w:eastAsia="es-MX"/>
              </w:rPr>
              <w:t xml:space="preserve"> actuarial</w:t>
            </w:r>
          </w:p>
        </w:tc>
        <w:tc>
          <w:tcPr>
            <w:tcW w:w="1502" w:type="dxa"/>
            <w:tcBorders>
              <w:top w:val="nil"/>
              <w:left w:val="nil"/>
              <w:right w:val="nil"/>
            </w:tcBorders>
            <w:shd w:val="clear" w:color="auto" w:fill="auto"/>
            <w:noWrap/>
            <w:vAlign w:val="bottom"/>
          </w:tcPr>
          <w:p w14:paraId="5208E648" w14:textId="73AA7BF4" w:rsidR="00A83D8E"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139,501</w:t>
            </w:r>
          </w:p>
        </w:tc>
        <w:tc>
          <w:tcPr>
            <w:tcW w:w="227" w:type="dxa"/>
            <w:tcBorders>
              <w:top w:val="nil"/>
              <w:left w:val="nil"/>
              <w:right w:val="nil"/>
            </w:tcBorders>
            <w:shd w:val="clear" w:color="auto" w:fill="auto"/>
            <w:noWrap/>
            <w:vAlign w:val="bottom"/>
          </w:tcPr>
          <w:p w14:paraId="3A7730CC" w14:textId="77777777" w:rsidR="00A83D8E" w:rsidRPr="0074154F" w:rsidRDefault="00A83D8E" w:rsidP="00A83D8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997D762" w14:textId="10C4816F" w:rsidR="00A83D8E" w:rsidRPr="0074154F" w:rsidRDefault="0036358F" w:rsidP="00A83D8E">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1,476,853</w:t>
            </w:r>
          </w:p>
        </w:tc>
      </w:tr>
      <w:tr w:rsidR="00811F4D" w:rsidRPr="0074154F" w14:paraId="0C0D07F3" w14:textId="77777777" w:rsidTr="00EA4113">
        <w:trPr>
          <w:trHeight w:val="283"/>
          <w:jc w:val="right"/>
        </w:trPr>
        <w:tc>
          <w:tcPr>
            <w:tcW w:w="4846" w:type="dxa"/>
            <w:tcBorders>
              <w:top w:val="nil"/>
              <w:left w:val="nil"/>
              <w:right w:val="nil"/>
            </w:tcBorders>
            <w:shd w:val="clear" w:color="auto" w:fill="auto"/>
            <w:noWrap/>
            <w:vAlign w:val="bottom"/>
          </w:tcPr>
          <w:p w14:paraId="79A60D89" w14:textId="2012DBBA" w:rsidR="00811F4D" w:rsidRPr="0074154F" w:rsidRDefault="00811F4D" w:rsidP="00811F4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Efecto de reducciones y liquidaciones anticipadas</w:t>
            </w:r>
          </w:p>
        </w:tc>
        <w:tc>
          <w:tcPr>
            <w:tcW w:w="1502" w:type="dxa"/>
            <w:tcBorders>
              <w:top w:val="nil"/>
              <w:left w:val="nil"/>
              <w:right w:val="nil"/>
            </w:tcBorders>
            <w:shd w:val="clear" w:color="auto" w:fill="auto"/>
            <w:noWrap/>
            <w:vAlign w:val="bottom"/>
          </w:tcPr>
          <w:p w14:paraId="726246BD" w14:textId="7DFF27B8" w:rsidR="00811F4D" w:rsidRPr="0074154F" w:rsidRDefault="0036358F" w:rsidP="00811F4D">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(26,636)</w:t>
            </w:r>
          </w:p>
        </w:tc>
        <w:tc>
          <w:tcPr>
            <w:tcW w:w="227" w:type="dxa"/>
            <w:tcBorders>
              <w:top w:val="nil"/>
              <w:left w:val="nil"/>
              <w:right w:val="nil"/>
            </w:tcBorders>
            <w:shd w:val="clear" w:color="auto" w:fill="auto"/>
            <w:noWrap/>
            <w:vAlign w:val="bottom"/>
          </w:tcPr>
          <w:p w14:paraId="3F40B82C" w14:textId="77777777" w:rsidR="00811F4D" w:rsidRPr="0074154F" w:rsidRDefault="00811F4D" w:rsidP="00811F4D">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0E63F09" w14:textId="5DA63366" w:rsidR="00811F4D" w:rsidRPr="0074154F" w:rsidRDefault="0036358F" w:rsidP="00811F4D">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811F4D" w:rsidRPr="0074154F" w14:paraId="2F41C50C" w14:textId="77777777" w:rsidTr="00EA4113">
        <w:trPr>
          <w:trHeight w:val="283"/>
          <w:jc w:val="right"/>
        </w:trPr>
        <w:tc>
          <w:tcPr>
            <w:tcW w:w="4846" w:type="dxa"/>
            <w:tcBorders>
              <w:top w:val="nil"/>
              <w:left w:val="nil"/>
              <w:right w:val="nil"/>
            </w:tcBorders>
            <w:shd w:val="clear" w:color="auto" w:fill="auto"/>
            <w:noWrap/>
            <w:vAlign w:val="bottom"/>
          </w:tcPr>
          <w:p w14:paraId="6E8FC30B" w14:textId="48125EF4" w:rsidR="00811F4D" w:rsidRPr="0074154F" w:rsidRDefault="00811F4D" w:rsidP="00811F4D">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Pagos realizados</w:t>
            </w:r>
          </w:p>
        </w:tc>
        <w:tc>
          <w:tcPr>
            <w:tcW w:w="1502" w:type="dxa"/>
            <w:tcBorders>
              <w:top w:val="nil"/>
              <w:left w:val="nil"/>
              <w:bottom w:val="single" w:sz="6" w:space="0" w:color="auto"/>
              <w:right w:val="nil"/>
            </w:tcBorders>
            <w:shd w:val="clear" w:color="auto" w:fill="auto"/>
            <w:noWrap/>
            <w:vAlign w:val="bottom"/>
          </w:tcPr>
          <w:p w14:paraId="1C3A63F3" w14:textId="7CE295F7" w:rsidR="00811F4D" w:rsidRPr="0074154F" w:rsidRDefault="0036358F" w:rsidP="00811F4D">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(17,000)</w:t>
            </w:r>
          </w:p>
        </w:tc>
        <w:tc>
          <w:tcPr>
            <w:tcW w:w="227" w:type="dxa"/>
            <w:tcBorders>
              <w:top w:val="nil"/>
              <w:left w:val="nil"/>
              <w:right w:val="nil"/>
            </w:tcBorders>
            <w:shd w:val="clear" w:color="auto" w:fill="auto"/>
            <w:noWrap/>
            <w:vAlign w:val="bottom"/>
          </w:tcPr>
          <w:p w14:paraId="07192AF0" w14:textId="77777777" w:rsidR="00811F4D" w:rsidRPr="0074154F" w:rsidRDefault="00811F4D" w:rsidP="00811F4D">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6B90DB81" w14:textId="4D9CBDAE" w:rsidR="00811F4D" w:rsidRPr="0074154F" w:rsidRDefault="0036358F" w:rsidP="00811F4D">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(27,193)</w:t>
            </w:r>
          </w:p>
        </w:tc>
      </w:tr>
      <w:tr w:rsidR="00811F4D" w:rsidRPr="0074154F" w14:paraId="4867640D" w14:textId="77777777" w:rsidTr="00EA4113">
        <w:trPr>
          <w:trHeight w:val="283"/>
          <w:jc w:val="right"/>
        </w:trPr>
        <w:tc>
          <w:tcPr>
            <w:tcW w:w="4846" w:type="dxa"/>
            <w:tcBorders>
              <w:left w:val="nil"/>
              <w:right w:val="nil"/>
            </w:tcBorders>
            <w:shd w:val="clear" w:color="auto" w:fill="auto"/>
            <w:noWrap/>
            <w:vAlign w:val="bottom"/>
          </w:tcPr>
          <w:p w14:paraId="4EDBFF8F" w14:textId="77777777" w:rsidR="00811F4D" w:rsidRPr="0074154F" w:rsidRDefault="00811F4D" w:rsidP="00811F4D">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68E8035D" w14:textId="77777777" w:rsidR="00811F4D" w:rsidRPr="0074154F" w:rsidRDefault="00811F4D" w:rsidP="00811F4D">
            <w:pPr>
              <w:tabs>
                <w:tab w:val="decimal" w:pos="1276"/>
              </w:tabs>
              <w:spacing w:after="0" w:line="240" w:lineRule="auto"/>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27D5EEA3" w14:textId="77777777" w:rsidR="00811F4D" w:rsidRPr="0074154F" w:rsidRDefault="00811F4D" w:rsidP="00811F4D">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5530B39D" w14:textId="77777777" w:rsidR="00811F4D" w:rsidRPr="0074154F" w:rsidRDefault="00811F4D" w:rsidP="00811F4D">
            <w:pPr>
              <w:tabs>
                <w:tab w:val="decimal" w:pos="1276"/>
              </w:tabs>
              <w:spacing w:after="0" w:line="240" w:lineRule="auto"/>
              <w:rPr>
                <w:rFonts w:ascii="Arial" w:eastAsia="Times New Roman" w:hAnsi="Arial" w:cs="Arial"/>
                <w:sz w:val="20"/>
                <w:szCs w:val="20"/>
                <w:lang w:eastAsia="es-EC"/>
              </w:rPr>
            </w:pPr>
          </w:p>
        </w:tc>
      </w:tr>
      <w:tr w:rsidR="00811F4D" w:rsidRPr="0074154F" w14:paraId="22D92F15" w14:textId="77777777" w:rsidTr="00CC581A">
        <w:trPr>
          <w:trHeight w:val="265"/>
          <w:jc w:val="right"/>
        </w:trPr>
        <w:tc>
          <w:tcPr>
            <w:tcW w:w="4846" w:type="dxa"/>
            <w:tcBorders>
              <w:left w:val="nil"/>
              <w:right w:val="nil"/>
            </w:tcBorders>
            <w:shd w:val="clear" w:color="auto" w:fill="auto"/>
            <w:noWrap/>
            <w:vAlign w:val="bottom"/>
          </w:tcPr>
          <w:p w14:paraId="6ECE6353" w14:textId="77777777" w:rsidR="00811F4D" w:rsidRPr="0074154F" w:rsidRDefault="00811F4D" w:rsidP="00811F4D">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Saldo al final del año</w:t>
            </w:r>
          </w:p>
        </w:tc>
        <w:tc>
          <w:tcPr>
            <w:tcW w:w="1502" w:type="dxa"/>
            <w:tcBorders>
              <w:left w:val="nil"/>
              <w:bottom w:val="double" w:sz="4" w:space="0" w:color="auto"/>
              <w:right w:val="nil"/>
            </w:tcBorders>
            <w:shd w:val="clear" w:color="auto" w:fill="auto"/>
            <w:noWrap/>
            <w:vAlign w:val="bottom"/>
          </w:tcPr>
          <w:p w14:paraId="7EC548A1" w14:textId="688AF6A6" w:rsidR="00811F4D" w:rsidRPr="0074154F" w:rsidRDefault="0036358F" w:rsidP="00811F4D">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6,378,735</w:t>
            </w:r>
          </w:p>
        </w:tc>
        <w:tc>
          <w:tcPr>
            <w:tcW w:w="227" w:type="dxa"/>
            <w:tcBorders>
              <w:left w:val="nil"/>
              <w:right w:val="nil"/>
            </w:tcBorders>
            <w:shd w:val="clear" w:color="auto" w:fill="auto"/>
            <w:noWrap/>
            <w:vAlign w:val="bottom"/>
          </w:tcPr>
          <w:p w14:paraId="718054D4" w14:textId="77777777" w:rsidR="00811F4D" w:rsidRPr="0074154F" w:rsidRDefault="00811F4D" w:rsidP="00811F4D">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63432B18" w14:textId="73825934" w:rsidR="00811F4D" w:rsidRPr="0074154F" w:rsidRDefault="0036358F" w:rsidP="00811F4D">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6,898,579</w:t>
            </w:r>
          </w:p>
        </w:tc>
      </w:tr>
    </w:tbl>
    <w:p w14:paraId="00EFF9AC" w14:textId="77777777" w:rsidR="00D97EFF" w:rsidRPr="0074154F" w:rsidRDefault="00D97EFF" w:rsidP="00413455">
      <w:pPr>
        <w:widowControl w:val="0"/>
        <w:spacing w:after="0" w:line="240" w:lineRule="auto"/>
        <w:ind w:left="567"/>
        <w:jc w:val="both"/>
        <w:rPr>
          <w:rFonts w:ascii="Arial" w:hAnsi="Arial" w:cs="Arial"/>
          <w:b/>
          <w:bCs/>
          <w:sz w:val="20"/>
          <w:szCs w:val="20"/>
        </w:rPr>
      </w:pPr>
    </w:p>
    <w:p w14:paraId="1149E213" w14:textId="712D27E0" w:rsidR="00D97EFF" w:rsidRPr="0074154F" w:rsidRDefault="00D97EFF" w:rsidP="008A5F73">
      <w:pPr>
        <w:pStyle w:val="ListParagraph"/>
        <w:numPr>
          <w:ilvl w:val="0"/>
          <w:numId w:val="2"/>
        </w:numPr>
        <w:spacing w:after="0" w:line="240" w:lineRule="auto"/>
        <w:ind w:left="993" w:hanging="426"/>
        <w:jc w:val="both"/>
        <w:rPr>
          <w:rFonts w:ascii="Arial" w:hAnsi="Arial" w:cs="Arial"/>
          <w:sz w:val="20"/>
          <w:szCs w:val="20"/>
        </w:rPr>
      </w:pPr>
      <w:r w:rsidRPr="0074154F">
        <w:rPr>
          <w:rFonts w:ascii="Arial" w:hAnsi="Arial" w:cs="Arial"/>
          <w:iCs/>
          <w:sz w:val="20"/>
          <w:szCs w:val="20"/>
        </w:rPr>
        <w:t>Bonificación por desahucio</w:t>
      </w:r>
      <w:r w:rsidR="008A5F73" w:rsidRPr="0074154F">
        <w:rPr>
          <w:rFonts w:ascii="Arial" w:hAnsi="Arial" w:cs="Arial"/>
          <w:iCs/>
          <w:sz w:val="20"/>
          <w:szCs w:val="20"/>
        </w:rPr>
        <w:t>,</w:t>
      </w:r>
      <w:r w:rsidRPr="0074154F">
        <w:rPr>
          <w:rFonts w:ascii="Arial" w:hAnsi="Arial" w:cs="Arial"/>
          <w:sz w:val="20"/>
          <w:szCs w:val="20"/>
        </w:rPr>
        <w:t xml:space="preserve"> </w:t>
      </w:r>
      <w:r w:rsidR="008A5F73" w:rsidRPr="0074154F">
        <w:rPr>
          <w:rFonts w:ascii="Arial" w:hAnsi="Arial" w:cs="Arial"/>
          <w:sz w:val="20"/>
          <w:szCs w:val="20"/>
        </w:rPr>
        <w:t>d</w:t>
      </w:r>
      <w:r w:rsidRPr="0074154F">
        <w:rPr>
          <w:rFonts w:ascii="Arial" w:hAnsi="Arial" w:cs="Arial"/>
          <w:sz w:val="20"/>
          <w:szCs w:val="20"/>
        </w:rPr>
        <w:t>e acuerdo con el Código de Trabajo, en los casos de terminación de la relación laboral por desahucio, la Compañía pagará a los trabajadores el 25% de la última remuneración mensual por cada uno de los años de servicio.</w:t>
      </w:r>
    </w:p>
    <w:p w14:paraId="5A72BB48" w14:textId="42B238D5" w:rsidR="00D97EFF" w:rsidRPr="0074154F" w:rsidRDefault="00D97EFF" w:rsidP="00413455">
      <w:pPr>
        <w:pStyle w:val="ListParagraph"/>
        <w:spacing w:after="0" w:line="240" w:lineRule="auto"/>
        <w:ind w:left="567" w:right="-1"/>
        <w:contextualSpacing w:val="0"/>
        <w:jc w:val="both"/>
        <w:rPr>
          <w:rFonts w:ascii="Arial" w:hAnsi="Arial" w:cs="Arial"/>
          <w:b/>
          <w:bCs/>
          <w:sz w:val="18"/>
          <w:szCs w:val="18"/>
        </w:rPr>
      </w:pPr>
    </w:p>
    <w:p w14:paraId="7E87B054" w14:textId="36B473D0"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Los movimientos </w:t>
      </w:r>
      <w:r w:rsidR="00E54477" w:rsidRPr="0074154F">
        <w:rPr>
          <w:rFonts w:ascii="Arial" w:hAnsi="Arial" w:cs="Arial"/>
          <w:sz w:val="20"/>
          <w:szCs w:val="20"/>
        </w:rPr>
        <w:t xml:space="preserve">comparativos </w:t>
      </w:r>
      <w:r w:rsidRPr="0074154F">
        <w:rPr>
          <w:rFonts w:ascii="Arial" w:hAnsi="Arial" w:cs="Arial"/>
          <w:sz w:val="20"/>
          <w:szCs w:val="20"/>
        </w:rPr>
        <w:t>en el valor presente de obligación fueron como sigue:</w:t>
      </w:r>
    </w:p>
    <w:p w14:paraId="36846FB7" w14:textId="77777777" w:rsidR="00D97EFF" w:rsidRPr="0074154F" w:rsidRDefault="00D97EFF" w:rsidP="00413455">
      <w:pPr>
        <w:spacing w:after="0" w:line="240" w:lineRule="auto"/>
        <w:rPr>
          <w:rFonts w:ascii="Arial" w:hAnsi="Arial" w:cs="Arial"/>
          <w:sz w:val="20"/>
          <w:szCs w:val="20"/>
        </w:rPr>
      </w:pPr>
    </w:p>
    <w:tbl>
      <w:tblPr>
        <w:tblW w:w="8077" w:type="dxa"/>
        <w:jc w:val="right"/>
        <w:tblCellMar>
          <w:left w:w="70" w:type="dxa"/>
          <w:right w:w="70" w:type="dxa"/>
        </w:tblCellMar>
        <w:tblLook w:val="04A0" w:firstRow="1" w:lastRow="0" w:firstColumn="1" w:lastColumn="0" w:noHBand="0" w:noVBand="1"/>
      </w:tblPr>
      <w:tblGrid>
        <w:gridCol w:w="4639"/>
        <w:gridCol w:w="2104"/>
        <w:gridCol w:w="223"/>
        <w:gridCol w:w="2104"/>
      </w:tblGrid>
      <w:tr w:rsidR="00F62BF3" w:rsidRPr="0074154F" w14:paraId="2FEF40DF" w14:textId="77777777" w:rsidTr="003270AE">
        <w:trPr>
          <w:trHeight w:val="242"/>
          <w:jc w:val="right"/>
        </w:trPr>
        <w:tc>
          <w:tcPr>
            <w:tcW w:w="4846" w:type="dxa"/>
            <w:tcBorders>
              <w:top w:val="nil"/>
              <w:left w:val="nil"/>
              <w:bottom w:val="nil"/>
              <w:right w:val="nil"/>
            </w:tcBorders>
            <w:shd w:val="clear" w:color="auto" w:fill="auto"/>
            <w:noWrap/>
            <w:vAlign w:val="bottom"/>
            <w:hideMark/>
          </w:tcPr>
          <w:p w14:paraId="582F2EE8" w14:textId="77777777" w:rsidR="00F62BF3" w:rsidRPr="0074154F" w:rsidRDefault="00F62BF3"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25276EF2" w14:textId="238DA7FC" w:rsidR="00F62BF3" w:rsidRPr="0074154F" w:rsidRDefault="00F62BF3"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w:t>
            </w:r>
            <w:r w:rsidR="009133F8"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74D80CA2" w14:textId="77777777" w:rsidR="00F62BF3" w:rsidRPr="0074154F" w:rsidRDefault="00F62BF3" w:rsidP="00413455">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1F699113" w14:textId="51934E25" w:rsidR="00F62BF3" w:rsidRPr="0074154F" w:rsidRDefault="00F62BF3"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w:t>
            </w:r>
            <w:r w:rsidR="009133F8" w:rsidRPr="0074154F">
              <w:rPr>
                <w:rFonts w:ascii="Arial" w:eastAsia="Times New Roman" w:hAnsi="Arial" w:cs="Arial"/>
                <w:b/>
                <w:bCs/>
                <w:color w:val="000000"/>
                <w:sz w:val="20"/>
                <w:szCs w:val="20"/>
                <w:lang w:eastAsia="es-EC"/>
              </w:rPr>
              <w:t>9</w:t>
            </w:r>
          </w:p>
        </w:tc>
      </w:tr>
      <w:tr w:rsidR="00F62BF3" w:rsidRPr="0074154F" w14:paraId="684E8229" w14:textId="77777777" w:rsidTr="003270AE">
        <w:trPr>
          <w:trHeight w:val="268"/>
          <w:jc w:val="right"/>
        </w:trPr>
        <w:tc>
          <w:tcPr>
            <w:tcW w:w="4846" w:type="dxa"/>
            <w:tcBorders>
              <w:top w:val="nil"/>
              <w:left w:val="nil"/>
              <w:right w:val="nil"/>
            </w:tcBorders>
            <w:shd w:val="clear" w:color="auto" w:fill="auto"/>
            <w:noWrap/>
            <w:vAlign w:val="bottom"/>
            <w:hideMark/>
          </w:tcPr>
          <w:p w14:paraId="5DE59419" w14:textId="77777777" w:rsidR="00F62BF3" w:rsidRPr="0074154F" w:rsidRDefault="00F62BF3"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4B6F76C5" w14:textId="77777777" w:rsidR="00F62BF3" w:rsidRPr="0074154F" w:rsidRDefault="00F62BF3" w:rsidP="00413455">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0E2C4ECB" w14:textId="77777777" w:rsidR="00F62BF3" w:rsidRPr="0074154F" w:rsidRDefault="00F62BF3" w:rsidP="00413455">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54D77273" w14:textId="77777777" w:rsidR="00F62BF3" w:rsidRPr="0074154F" w:rsidRDefault="00F62BF3" w:rsidP="00413455">
            <w:pPr>
              <w:spacing w:after="0" w:line="240" w:lineRule="auto"/>
              <w:rPr>
                <w:rFonts w:ascii="Arial" w:eastAsia="Times New Roman" w:hAnsi="Arial" w:cs="Arial"/>
                <w:sz w:val="20"/>
                <w:szCs w:val="20"/>
                <w:lang w:eastAsia="es-EC"/>
              </w:rPr>
            </w:pPr>
          </w:p>
        </w:tc>
      </w:tr>
      <w:tr w:rsidR="009133F8" w:rsidRPr="0074154F" w14:paraId="310563EE" w14:textId="77777777" w:rsidTr="009262FD">
        <w:trPr>
          <w:trHeight w:val="165"/>
          <w:jc w:val="right"/>
        </w:trPr>
        <w:tc>
          <w:tcPr>
            <w:tcW w:w="4846" w:type="dxa"/>
            <w:tcBorders>
              <w:top w:val="nil"/>
              <w:left w:val="nil"/>
              <w:right w:val="nil"/>
            </w:tcBorders>
            <w:shd w:val="clear" w:color="auto" w:fill="auto"/>
            <w:noWrap/>
            <w:vAlign w:val="bottom"/>
          </w:tcPr>
          <w:p w14:paraId="21EA7637" w14:textId="77777777" w:rsidR="009133F8" w:rsidRPr="0074154F" w:rsidRDefault="009133F8" w:rsidP="009133F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Saldo al inicio del año</w:t>
            </w:r>
          </w:p>
        </w:tc>
        <w:tc>
          <w:tcPr>
            <w:tcW w:w="1502" w:type="dxa"/>
            <w:tcBorders>
              <w:top w:val="nil"/>
              <w:left w:val="nil"/>
              <w:right w:val="nil"/>
            </w:tcBorders>
            <w:shd w:val="clear" w:color="auto" w:fill="auto"/>
            <w:noWrap/>
            <w:vAlign w:val="bottom"/>
          </w:tcPr>
          <w:p w14:paraId="3AC5D095" w14:textId="63987787" w:rsidR="009133F8" w:rsidRPr="0074154F" w:rsidRDefault="00D55AF7"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2,862,912</w:t>
            </w:r>
          </w:p>
        </w:tc>
        <w:tc>
          <w:tcPr>
            <w:tcW w:w="227" w:type="dxa"/>
            <w:tcBorders>
              <w:top w:val="nil"/>
              <w:left w:val="nil"/>
              <w:right w:val="nil"/>
            </w:tcBorders>
            <w:shd w:val="clear" w:color="auto" w:fill="auto"/>
            <w:noWrap/>
            <w:vAlign w:val="bottom"/>
          </w:tcPr>
          <w:p w14:paraId="51DFAB3C" w14:textId="77777777" w:rsidR="009133F8" w:rsidRPr="0074154F" w:rsidRDefault="009133F8" w:rsidP="009133F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CB9051A" w14:textId="02AEA502" w:rsidR="009133F8" w:rsidRPr="0074154F" w:rsidRDefault="00B43016"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2,991,880</w:t>
            </w:r>
          </w:p>
        </w:tc>
      </w:tr>
      <w:tr w:rsidR="00EC2CF4" w:rsidRPr="0074154F" w14:paraId="066D4318" w14:textId="77777777" w:rsidTr="008A5F73">
        <w:trPr>
          <w:trHeight w:val="283"/>
          <w:jc w:val="right"/>
        </w:trPr>
        <w:tc>
          <w:tcPr>
            <w:tcW w:w="4846" w:type="dxa"/>
            <w:tcBorders>
              <w:top w:val="nil"/>
              <w:left w:val="nil"/>
              <w:right w:val="nil"/>
            </w:tcBorders>
            <w:shd w:val="clear" w:color="auto" w:fill="auto"/>
            <w:noWrap/>
            <w:vAlign w:val="bottom"/>
          </w:tcPr>
          <w:p w14:paraId="65CF0755" w14:textId="77777777" w:rsidR="00EC2CF4" w:rsidRPr="0074154F" w:rsidRDefault="00EC2CF4" w:rsidP="009133F8">
            <w:pPr>
              <w:spacing w:after="0" w:line="240" w:lineRule="auto"/>
              <w:ind w:left="-70"/>
              <w:rPr>
                <w:rFonts w:ascii="Arial" w:eastAsia="Times New Roman" w:hAnsi="Arial" w:cs="Arial"/>
                <w:color w:val="000000"/>
                <w:sz w:val="20"/>
                <w:szCs w:val="20"/>
                <w:lang w:val="es-MX" w:eastAsia="es-MX"/>
              </w:rPr>
            </w:pPr>
          </w:p>
        </w:tc>
        <w:tc>
          <w:tcPr>
            <w:tcW w:w="1502" w:type="dxa"/>
            <w:tcBorders>
              <w:top w:val="nil"/>
              <w:left w:val="nil"/>
              <w:right w:val="nil"/>
            </w:tcBorders>
            <w:shd w:val="clear" w:color="auto" w:fill="auto"/>
            <w:noWrap/>
            <w:vAlign w:val="bottom"/>
          </w:tcPr>
          <w:p w14:paraId="525944C9" w14:textId="77777777" w:rsidR="00EC2CF4" w:rsidRPr="0074154F" w:rsidRDefault="00EC2CF4" w:rsidP="009133F8">
            <w:pPr>
              <w:tabs>
                <w:tab w:val="decimal" w:pos="1276"/>
              </w:tabs>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tcPr>
          <w:p w14:paraId="45B0A4FE" w14:textId="77777777" w:rsidR="00EC2CF4" w:rsidRPr="0074154F" w:rsidRDefault="00EC2CF4" w:rsidP="009133F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4B6732D" w14:textId="77777777" w:rsidR="00EC2CF4" w:rsidRPr="0074154F" w:rsidRDefault="00EC2CF4" w:rsidP="009133F8">
            <w:pPr>
              <w:tabs>
                <w:tab w:val="decimal" w:pos="1276"/>
              </w:tabs>
              <w:spacing w:after="0" w:line="240" w:lineRule="auto"/>
              <w:rPr>
                <w:rFonts w:ascii="Arial" w:eastAsia="Times New Roman" w:hAnsi="Arial" w:cs="Arial"/>
                <w:sz w:val="20"/>
                <w:szCs w:val="20"/>
                <w:lang w:eastAsia="es-EC"/>
              </w:rPr>
            </w:pPr>
          </w:p>
        </w:tc>
      </w:tr>
      <w:tr w:rsidR="009133F8" w:rsidRPr="0074154F" w14:paraId="7C8A13EF" w14:textId="77777777" w:rsidTr="009262FD">
        <w:trPr>
          <w:trHeight w:val="215"/>
          <w:jc w:val="right"/>
        </w:trPr>
        <w:tc>
          <w:tcPr>
            <w:tcW w:w="4846" w:type="dxa"/>
            <w:tcBorders>
              <w:top w:val="nil"/>
              <w:left w:val="nil"/>
              <w:right w:val="nil"/>
            </w:tcBorders>
            <w:shd w:val="clear" w:color="auto" w:fill="auto"/>
            <w:noWrap/>
            <w:vAlign w:val="bottom"/>
          </w:tcPr>
          <w:p w14:paraId="7F5ADBEA" w14:textId="0CA59C91" w:rsidR="009133F8" w:rsidRPr="0074154F" w:rsidRDefault="00BA0560" w:rsidP="009133F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Ajuste</w:t>
            </w:r>
            <w:r w:rsidR="007D0396" w:rsidRPr="0074154F">
              <w:rPr>
                <w:rFonts w:ascii="Arial" w:eastAsia="Times New Roman" w:hAnsi="Arial" w:cs="Arial"/>
                <w:color w:val="000000"/>
                <w:sz w:val="20"/>
                <w:szCs w:val="20"/>
                <w:lang w:eastAsia="es-EC"/>
              </w:rPr>
              <w:t xml:space="preserve"> de provisión</w:t>
            </w:r>
            <w:r w:rsidR="00481A50" w:rsidRPr="0074154F">
              <w:rPr>
                <w:rFonts w:ascii="Arial" w:eastAsia="Times New Roman" w:hAnsi="Arial" w:cs="Arial"/>
                <w:color w:val="000000"/>
                <w:sz w:val="20"/>
                <w:szCs w:val="20"/>
                <w:lang w:eastAsia="es-EC"/>
              </w:rPr>
              <w:t xml:space="preserve">, ver </w:t>
            </w:r>
            <w:r w:rsidR="00EC2CF4" w:rsidRPr="0074154F">
              <w:rPr>
                <w:rFonts w:ascii="Arial" w:eastAsia="Times New Roman" w:hAnsi="Arial" w:cs="Arial"/>
                <w:color w:val="000000"/>
                <w:sz w:val="20"/>
                <w:szCs w:val="20"/>
                <w:lang w:eastAsia="es-EC"/>
              </w:rPr>
              <w:t>N</w:t>
            </w:r>
            <w:r w:rsidR="00481A50" w:rsidRPr="0074154F">
              <w:rPr>
                <w:rFonts w:ascii="Arial" w:eastAsia="Times New Roman" w:hAnsi="Arial" w:cs="Arial"/>
                <w:color w:val="000000"/>
                <w:sz w:val="20"/>
                <w:szCs w:val="20"/>
                <w:lang w:eastAsia="es-EC"/>
              </w:rPr>
              <w:t>ota 25</w:t>
            </w:r>
          </w:p>
        </w:tc>
        <w:tc>
          <w:tcPr>
            <w:tcW w:w="1502" w:type="dxa"/>
            <w:tcBorders>
              <w:top w:val="nil"/>
              <w:left w:val="nil"/>
              <w:right w:val="nil"/>
            </w:tcBorders>
            <w:shd w:val="clear" w:color="auto" w:fill="auto"/>
            <w:noWrap/>
            <w:vAlign w:val="bottom"/>
          </w:tcPr>
          <w:p w14:paraId="5BB39CFD" w14:textId="56FDFD24" w:rsidR="009133F8" w:rsidRPr="0074154F" w:rsidRDefault="00D55AF7"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(336,696)</w:t>
            </w:r>
          </w:p>
        </w:tc>
        <w:tc>
          <w:tcPr>
            <w:tcW w:w="227" w:type="dxa"/>
            <w:tcBorders>
              <w:top w:val="nil"/>
              <w:left w:val="nil"/>
              <w:right w:val="nil"/>
            </w:tcBorders>
            <w:shd w:val="clear" w:color="auto" w:fill="auto"/>
            <w:noWrap/>
            <w:vAlign w:val="bottom"/>
          </w:tcPr>
          <w:p w14:paraId="149A6EDA" w14:textId="77777777" w:rsidR="009133F8" w:rsidRPr="0074154F" w:rsidRDefault="009133F8" w:rsidP="009133F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39B6BFA" w14:textId="3240488E" w:rsidR="009133F8" w:rsidRPr="0074154F" w:rsidRDefault="00460C04"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9133F8" w:rsidRPr="0074154F" w14:paraId="26DA469A" w14:textId="77777777" w:rsidTr="008A5F73">
        <w:trPr>
          <w:trHeight w:val="283"/>
          <w:jc w:val="right"/>
        </w:trPr>
        <w:tc>
          <w:tcPr>
            <w:tcW w:w="4846" w:type="dxa"/>
            <w:tcBorders>
              <w:left w:val="nil"/>
              <w:right w:val="nil"/>
            </w:tcBorders>
            <w:shd w:val="clear" w:color="auto" w:fill="auto"/>
            <w:noWrap/>
            <w:vAlign w:val="bottom"/>
          </w:tcPr>
          <w:p w14:paraId="1DD5B206" w14:textId="2FDD26FD" w:rsidR="009133F8" w:rsidRPr="0074154F" w:rsidRDefault="009133F8" w:rsidP="009133F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Costo laboral</w:t>
            </w:r>
          </w:p>
        </w:tc>
        <w:tc>
          <w:tcPr>
            <w:tcW w:w="1502" w:type="dxa"/>
            <w:tcBorders>
              <w:left w:val="nil"/>
              <w:right w:val="nil"/>
            </w:tcBorders>
            <w:shd w:val="clear" w:color="auto" w:fill="auto"/>
            <w:noWrap/>
            <w:vAlign w:val="bottom"/>
          </w:tcPr>
          <w:p w14:paraId="2A1B46E1" w14:textId="3533FD4B" w:rsidR="009133F8" w:rsidRPr="0074154F" w:rsidRDefault="00D55AF7"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458,321</w:t>
            </w:r>
          </w:p>
        </w:tc>
        <w:tc>
          <w:tcPr>
            <w:tcW w:w="227" w:type="dxa"/>
            <w:tcBorders>
              <w:left w:val="nil"/>
              <w:right w:val="nil"/>
            </w:tcBorders>
            <w:shd w:val="clear" w:color="auto" w:fill="auto"/>
            <w:noWrap/>
            <w:vAlign w:val="bottom"/>
          </w:tcPr>
          <w:p w14:paraId="737AF024" w14:textId="77777777" w:rsidR="009133F8" w:rsidRPr="0074154F" w:rsidRDefault="009133F8" w:rsidP="009133F8">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4E5B7D14" w14:textId="27AA828D" w:rsidR="009133F8" w:rsidRPr="0074154F" w:rsidRDefault="00B43016"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349,956</w:t>
            </w:r>
          </w:p>
        </w:tc>
      </w:tr>
      <w:tr w:rsidR="00D55AF7" w:rsidRPr="0074154F" w14:paraId="55809C14" w14:textId="77777777" w:rsidTr="008A5F73">
        <w:trPr>
          <w:trHeight w:val="283"/>
          <w:jc w:val="right"/>
        </w:trPr>
        <w:tc>
          <w:tcPr>
            <w:tcW w:w="4846" w:type="dxa"/>
            <w:tcBorders>
              <w:left w:val="nil"/>
              <w:right w:val="nil"/>
            </w:tcBorders>
            <w:shd w:val="clear" w:color="auto" w:fill="auto"/>
            <w:noWrap/>
            <w:vAlign w:val="bottom"/>
          </w:tcPr>
          <w:p w14:paraId="3784007D" w14:textId="24FC51A1" w:rsidR="00D55AF7" w:rsidRPr="0074154F" w:rsidRDefault="00D55AF7" w:rsidP="009133F8">
            <w:pPr>
              <w:spacing w:after="0" w:line="240" w:lineRule="auto"/>
              <w:ind w:left="-70"/>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Costo financiero</w:t>
            </w:r>
          </w:p>
        </w:tc>
        <w:tc>
          <w:tcPr>
            <w:tcW w:w="1502" w:type="dxa"/>
            <w:tcBorders>
              <w:left w:val="nil"/>
              <w:right w:val="nil"/>
            </w:tcBorders>
            <w:shd w:val="clear" w:color="auto" w:fill="auto"/>
            <w:noWrap/>
            <w:vAlign w:val="bottom"/>
          </w:tcPr>
          <w:p w14:paraId="5E1385D0" w14:textId="33B45BBB" w:rsidR="00D55AF7" w:rsidRDefault="00D55AF7"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205,747</w:t>
            </w:r>
          </w:p>
        </w:tc>
        <w:tc>
          <w:tcPr>
            <w:tcW w:w="227" w:type="dxa"/>
            <w:tcBorders>
              <w:left w:val="nil"/>
              <w:right w:val="nil"/>
            </w:tcBorders>
            <w:shd w:val="clear" w:color="auto" w:fill="auto"/>
            <w:noWrap/>
            <w:vAlign w:val="bottom"/>
          </w:tcPr>
          <w:p w14:paraId="2E016490" w14:textId="77777777" w:rsidR="00D55AF7" w:rsidRPr="0074154F" w:rsidRDefault="00D55AF7" w:rsidP="009133F8">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067BC6A7" w14:textId="624A722F" w:rsidR="00D55AF7" w:rsidRPr="0074154F" w:rsidRDefault="00B43016"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141,188</w:t>
            </w:r>
          </w:p>
        </w:tc>
      </w:tr>
      <w:tr w:rsidR="009133F8" w:rsidRPr="0074154F" w14:paraId="01BD7627" w14:textId="77777777" w:rsidTr="00BA0560">
        <w:trPr>
          <w:trHeight w:val="283"/>
          <w:jc w:val="right"/>
        </w:trPr>
        <w:tc>
          <w:tcPr>
            <w:tcW w:w="4846" w:type="dxa"/>
            <w:tcBorders>
              <w:left w:val="nil"/>
              <w:right w:val="nil"/>
            </w:tcBorders>
            <w:shd w:val="clear" w:color="auto" w:fill="auto"/>
            <w:noWrap/>
            <w:vAlign w:val="bottom"/>
          </w:tcPr>
          <w:p w14:paraId="2BA63484" w14:textId="56751DAE" w:rsidR="009133F8" w:rsidRPr="0074154F" w:rsidRDefault="009133F8" w:rsidP="009133F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Ganancia actuarial</w:t>
            </w:r>
          </w:p>
        </w:tc>
        <w:tc>
          <w:tcPr>
            <w:tcW w:w="1502" w:type="dxa"/>
            <w:tcBorders>
              <w:left w:val="nil"/>
              <w:right w:val="nil"/>
            </w:tcBorders>
            <w:shd w:val="clear" w:color="auto" w:fill="auto"/>
            <w:noWrap/>
            <w:vAlign w:val="bottom"/>
          </w:tcPr>
          <w:p w14:paraId="22396A4C" w14:textId="5D6A272B" w:rsidR="009133F8" w:rsidRPr="0074154F" w:rsidRDefault="00D55AF7"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41,759</w:t>
            </w:r>
          </w:p>
        </w:tc>
        <w:tc>
          <w:tcPr>
            <w:tcW w:w="227" w:type="dxa"/>
            <w:tcBorders>
              <w:left w:val="nil"/>
              <w:right w:val="nil"/>
            </w:tcBorders>
            <w:shd w:val="clear" w:color="auto" w:fill="auto"/>
            <w:noWrap/>
            <w:vAlign w:val="bottom"/>
          </w:tcPr>
          <w:p w14:paraId="0FAF9DE2" w14:textId="77777777" w:rsidR="009133F8" w:rsidRPr="0074154F" w:rsidRDefault="009133F8" w:rsidP="009133F8">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5F48AA63" w14:textId="4B1BB183" w:rsidR="009133F8" w:rsidRPr="0074154F" w:rsidRDefault="00B43016" w:rsidP="009133F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(318,486)</w:t>
            </w:r>
          </w:p>
        </w:tc>
      </w:tr>
      <w:tr w:rsidR="009133F8" w:rsidRPr="0074154F" w14:paraId="4094CC4C" w14:textId="77777777" w:rsidTr="009156F0">
        <w:trPr>
          <w:trHeight w:val="269"/>
          <w:jc w:val="right"/>
        </w:trPr>
        <w:tc>
          <w:tcPr>
            <w:tcW w:w="4846" w:type="dxa"/>
            <w:tcBorders>
              <w:left w:val="nil"/>
              <w:right w:val="nil"/>
            </w:tcBorders>
            <w:shd w:val="clear" w:color="auto" w:fill="auto"/>
            <w:noWrap/>
            <w:vAlign w:val="bottom"/>
          </w:tcPr>
          <w:p w14:paraId="3F224AE6" w14:textId="77777777" w:rsidR="009133F8" w:rsidRPr="0074154F" w:rsidRDefault="009133F8" w:rsidP="009133F8">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Beneficios pagados</w:t>
            </w:r>
          </w:p>
        </w:tc>
        <w:tc>
          <w:tcPr>
            <w:tcW w:w="1502" w:type="dxa"/>
            <w:tcBorders>
              <w:left w:val="nil"/>
              <w:right w:val="nil"/>
            </w:tcBorders>
            <w:shd w:val="clear" w:color="auto" w:fill="auto"/>
            <w:noWrap/>
            <w:vAlign w:val="bottom"/>
          </w:tcPr>
          <w:p w14:paraId="21A03C2A" w14:textId="234E7639" w:rsidR="009133F8" w:rsidRPr="0074154F" w:rsidRDefault="00D55AF7" w:rsidP="009133F8">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(182,0</w:t>
            </w:r>
            <w:r w:rsidR="005B3155">
              <w:rPr>
                <w:rFonts w:ascii="Arial" w:eastAsia="Times New Roman" w:hAnsi="Arial" w:cs="Arial"/>
                <w:color w:val="000000"/>
                <w:sz w:val="20"/>
                <w:szCs w:val="20"/>
                <w:lang w:eastAsia="es-EC"/>
              </w:rPr>
              <w:t>7</w:t>
            </w:r>
            <w:r>
              <w:rPr>
                <w:rFonts w:ascii="Arial" w:eastAsia="Times New Roman" w:hAnsi="Arial" w:cs="Arial"/>
                <w:color w:val="000000"/>
                <w:sz w:val="20"/>
                <w:szCs w:val="20"/>
                <w:lang w:eastAsia="es-EC"/>
              </w:rPr>
              <w:t>3)</w:t>
            </w:r>
          </w:p>
        </w:tc>
        <w:tc>
          <w:tcPr>
            <w:tcW w:w="227" w:type="dxa"/>
            <w:tcBorders>
              <w:left w:val="nil"/>
              <w:right w:val="nil"/>
            </w:tcBorders>
            <w:shd w:val="clear" w:color="auto" w:fill="auto"/>
            <w:noWrap/>
            <w:vAlign w:val="bottom"/>
          </w:tcPr>
          <w:p w14:paraId="1B30CC3C" w14:textId="77777777" w:rsidR="009133F8" w:rsidRPr="0074154F" w:rsidRDefault="009133F8" w:rsidP="009133F8">
            <w:pPr>
              <w:spacing w:after="0" w:line="240" w:lineRule="auto"/>
              <w:rPr>
                <w:rFonts w:ascii="Arial" w:eastAsia="Times New Roman" w:hAnsi="Arial" w:cs="Arial"/>
                <w:color w:val="000000"/>
                <w:sz w:val="20"/>
                <w:szCs w:val="20"/>
                <w:lang w:eastAsia="es-EC"/>
              </w:rPr>
            </w:pPr>
          </w:p>
        </w:tc>
        <w:tc>
          <w:tcPr>
            <w:tcW w:w="1502" w:type="dxa"/>
            <w:tcBorders>
              <w:left w:val="nil"/>
              <w:right w:val="nil"/>
            </w:tcBorders>
            <w:shd w:val="clear" w:color="auto" w:fill="auto"/>
            <w:noWrap/>
            <w:vAlign w:val="bottom"/>
          </w:tcPr>
          <w:p w14:paraId="3A17DD62" w14:textId="0E2CF74D" w:rsidR="009133F8" w:rsidRPr="0074154F" w:rsidRDefault="00B43016" w:rsidP="009133F8">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(270,152)</w:t>
            </w:r>
          </w:p>
        </w:tc>
      </w:tr>
      <w:tr w:rsidR="00BA0560" w:rsidRPr="0074154F" w14:paraId="7303E472" w14:textId="77777777" w:rsidTr="009156F0">
        <w:trPr>
          <w:trHeight w:val="283"/>
          <w:jc w:val="right"/>
        </w:trPr>
        <w:tc>
          <w:tcPr>
            <w:tcW w:w="4846" w:type="dxa"/>
            <w:tcBorders>
              <w:left w:val="nil"/>
              <w:right w:val="nil"/>
            </w:tcBorders>
            <w:shd w:val="clear" w:color="auto" w:fill="auto"/>
            <w:noWrap/>
            <w:vAlign w:val="bottom"/>
          </w:tcPr>
          <w:p w14:paraId="55C0BC63" w14:textId="43616E27" w:rsidR="00BA0560" w:rsidRPr="0074154F" w:rsidRDefault="00BA0560" w:rsidP="00BA0560">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Efecto de reducciones y liquidaciones anticipadas</w:t>
            </w:r>
          </w:p>
        </w:tc>
        <w:tc>
          <w:tcPr>
            <w:tcW w:w="1502" w:type="dxa"/>
            <w:tcBorders>
              <w:left w:val="nil"/>
              <w:bottom w:val="single" w:sz="6" w:space="0" w:color="auto"/>
              <w:right w:val="nil"/>
            </w:tcBorders>
            <w:shd w:val="clear" w:color="auto" w:fill="auto"/>
            <w:noWrap/>
            <w:vAlign w:val="bottom"/>
          </w:tcPr>
          <w:p w14:paraId="5E07F50F" w14:textId="00386A25" w:rsidR="00BA0560" w:rsidRPr="0074154F" w:rsidRDefault="00D55AF7" w:rsidP="00BA0560">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(98,677)</w:t>
            </w:r>
          </w:p>
        </w:tc>
        <w:tc>
          <w:tcPr>
            <w:tcW w:w="227" w:type="dxa"/>
            <w:tcBorders>
              <w:left w:val="nil"/>
              <w:right w:val="nil"/>
            </w:tcBorders>
            <w:shd w:val="clear" w:color="auto" w:fill="auto"/>
            <w:noWrap/>
            <w:vAlign w:val="bottom"/>
          </w:tcPr>
          <w:p w14:paraId="72512B25" w14:textId="77777777" w:rsidR="00BA0560" w:rsidRPr="0074154F" w:rsidRDefault="00BA0560" w:rsidP="00BA0560">
            <w:pPr>
              <w:spacing w:after="0" w:line="240" w:lineRule="auto"/>
              <w:rPr>
                <w:rFonts w:ascii="Arial" w:eastAsia="Times New Roman" w:hAnsi="Arial" w:cs="Arial"/>
                <w:color w:val="000000"/>
                <w:sz w:val="20"/>
                <w:szCs w:val="20"/>
                <w:lang w:eastAsia="es-EC"/>
              </w:rPr>
            </w:pPr>
          </w:p>
        </w:tc>
        <w:tc>
          <w:tcPr>
            <w:tcW w:w="1502" w:type="dxa"/>
            <w:tcBorders>
              <w:left w:val="nil"/>
              <w:bottom w:val="single" w:sz="6" w:space="0" w:color="auto"/>
              <w:right w:val="nil"/>
            </w:tcBorders>
            <w:shd w:val="clear" w:color="auto" w:fill="auto"/>
            <w:noWrap/>
            <w:vAlign w:val="bottom"/>
          </w:tcPr>
          <w:p w14:paraId="2EF11D75" w14:textId="6DBAD31A" w:rsidR="00BA0560" w:rsidRPr="0074154F" w:rsidRDefault="00B43016" w:rsidP="00BA0560">
            <w:pPr>
              <w:tabs>
                <w:tab w:val="decimal" w:pos="1276"/>
              </w:tabs>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(31,474)</w:t>
            </w:r>
          </w:p>
        </w:tc>
      </w:tr>
      <w:tr w:rsidR="00BA0560" w:rsidRPr="0074154F" w14:paraId="5966D89D" w14:textId="77777777" w:rsidTr="009156F0">
        <w:trPr>
          <w:trHeight w:val="283"/>
          <w:jc w:val="right"/>
        </w:trPr>
        <w:tc>
          <w:tcPr>
            <w:tcW w:w="4846" w:type="dxa"/>
            <w:tcBorders>
              <w:left w:val="nil"/>
              <w:right w:val="nil"/>
            </w:tcBorders>
            <w:shd w:val="clear" w:color="auto" w:fill="auto"/>
            <w:noWrap/>
            <w:vAlign w:val="bottom"/>
          </w:tcPr>
          <w:p w14:paraId="4ECC4990" w14:textId="77777777" w:rsidR="00BA0560" w:rsidRPr="0074154F" w:rsidRDefault="00BA0560" w:rsidP="00BA0560">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0E2EEF2F" w14:textId="77777777" w:rsidR="00BA0560" w:rsidRPr="0074154F" w:rsidRDefault="00BA0560" w:rsidP="00BA0560">
            <w:pPr>
              <w:tabs>
                <w:tab w:val="decimal" w:pos="1276"/>
              </w:tabs>
              <w:spacing w:after="0" w:line="240" w:lineRule="auto"/>
              <w:rPr>
                <w:rFonts w:ascii="Arial" w:eastAsia="Times New Roman" w:hAnsi="Arial" w:cs="Arial"/>
                <w:color w:val="000000"/>
                <w:sz w:val="20"/>
                <w:szCs w:val="20"/>
                <w:lang w:eastAsia="es-EC"/>
              </w:rPr>
            </w:pPr>
          </w:p>
        </w:tc>
        <w:tc>
          <w:tcPr>
            <w:tcW w:w="227" w:type="dxa"/>
            <w:tcBorders>
              <w:left w:val="nil"/>
              <w:right w:val="nil"/>
            </w:tcBorders>
            <w:shd w:val="clear" w:color="auto" w:fill="auto"/>
            <w:noWrap/>
            <w:vAlign w:val="bottom"/>
          </w:tcPr>
          <w:p w14:paraId="399A97B2" w14:textId="77777777" w:rsidR="00BA0560" w:rsidRPr="0074154F" w:rsidRDefault="00BA0560" w:rsidP="00BA0560">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7ABA5549" w14:textId="77777777" w:rsidR="00BA0560" w:rsidRPr="0074154F" w:rsidRDefault="00BA0560" w:rsidP="00BA0560">
            <w:pPr>
              <w:tabs>
                <w:tab w:val="decimal" w:pos="1276"/>
              </w:tabs>
              <w:spacing w:after="0" w:line="240" w:lineRule="auto"/>
              <w:rPr>
                <w:rFonts w:ascii="Arial" w:eastAsia="Times New Roman" w:hAnsi="Arial" w:cs="Arial"/>
                <w:color w:val="000000"/>
                <w:sz w:val="20"/>
                <w:szCs w:val="20"/>
                <w:lang w:eastAsia="es-EC"/>
              </w:rPr>
            </w:pPr>
          </w:p>
        </w:tc>
      </w:tr>
      <w:tr w:rsidR="00BA0560" w:rsidRPr="0074154F" w14:paraId="563C246D" w14:textId="77777777" w:rsidTr="009262FD">
        <w:trPr>
          <w:trHeight w:val="155"/>
          <w:jc w:val="right"/>
        </w:trPr>
        <w:tc>
          <w:tcPr>
            <w:tcW w:w="4846" w:type="dxa"/>
            <w:tcBorders>
              <w:left w:val="nil"/>
              <w:right w:val="nil"/>
            </w:tcBorders>
            <w:shd w:val="clear" w:color="auto" w:fill="auto"/>
            <w:noWrap/>
            <w:vAlign w:val="bottom"/>
          </w:tcPr>
          <w:p w14:paraId="27BCB9F1" w14:textId="77777777" w:rsidR="00BA0560" w:rsidRPr="0074154F" w:rsidRDefault="00BA0560" w:rsidP="00BA056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MX"/>
              </w:rPr>
              <w:t>Saldo al final del año</w:t>
            </w:r>
          </w:p>
        </w:tc>
        <w:tc>
          <w:tcPr>
            <w:tcW w:w="1502" w:type="dxa"/>
            <w:tcBorders>
              <w:left w:val="nil"/>
              <w:bottom w:val="double" w:sz="4" w:space="0" w:color="auto"/>
              <w:right w:val="nil"/>
            </w:tcBorders>
            <w:shd w:val="clear" w:color="auto" w:fill="auto"/>
            <w:noWrap/>
            <w:vAlign w:val="bottom"/>
          </w:tcPr>
          <w:p w14:paraId="0E3618C3" w14:textId="1FED6557" w:rsidR="00BA0560" w:rsidRPr="0074154F" w:rsidRDefault="00BA0560" w:rsidP="00BA0560">
            <w:pPr>
              <w:tabs>
                <w:tab w:val="decimal" w:pos="1276"/>
              </w:tabs>
              <w:spacing w:after="0" w:line="240" w:lineRule="auto"/>
              <w:rPr>
                <w:rFonts w:ascii="Arial" w:eastAsia="Times New Roman" w:hAnsi="Arial" w:cs="Arial"/>
                <w:color w:val="000000"/>
                <w:sz w:val="20"/>
                <w:szCs w:val="20"/>
                <w:lang w:eastAsia="es-EC"/>
              </w:rPr>
            </w:pPr>
            <w:r w:rsidRPr="0074154F">
              <w:rPr>
                <w:rFonts w:ascii="Arial" w:eastAsia="Times New Roman" w:hAnsi="Arial" w:cs="Arial"/>
                <w:sz w:val="20"/>
                <w:szCs w:val="20"/>
                <w:lang w:eastAsia="es-EC"/>
              </w:rPr>
              <w:t>2,</w:t>
            </w:r>
            <w:r w:rsidR="00D55AF7">
              <w:rPr>
                <w:rFonts w:ascii="Arial" w:eastAsia="Times New Roman" w:hAnsi="Arial" w:cs="Arial"/>
                <w:sz w:val="20"/>
                <w:szCs w:val="20"/>
                <w:lang w:eastAsia="es-EC"/>
              </w:rPr>
              <w:t>951,2</w:t>
            </w:r>
            <w:r w:rsidR="00604C9A">
              <w:rPr>
                <w:rFonts w:ascii="Arial" w:eastAsia="Times New Roman" w:hAnsi="Arial" w:cs="Arial"/>
                <w:sz w:val="20"/>
                <w:szCs w:val="20"/>
                <w:lang w:eastAsia="es-EC"/>
              </w:rPr>
              <w:t>9</w:t>
            </w:r>
            <w:r w:rsidR="00D55AF7">
              <w:rPr>
                <w:rFonts w:ascii="Arial" w:eastAsia="Times New Roman" w:hAnsi="Arial" w:cs="Arial"/>
                <w:sz w:val="20"/>
                <w:szCs w:val="20"/>
                <w:lang w:eastAsia="es-EC"/>
              </w:rPr>
              <w:t>3</w:t>
            </w:r>
          </w:p>
        </w:tc>
        <w:tc>
          <w:tcPr>
            <w:tcW w:w="227" w:type="dxa"/>
            <w:tcBorders>
              <w:left w:val="nil"/>
              <w:right w:val="nil"/>
            </w:tcBorders>
            <w:shd w:val="clear" w:color="auto" w:fill="auto"/>
            <w:noWrap/>
            <w:vAlign w:val="bottom"/>
          </w:tcPr>
          <w:p w14:paraId="4C60ABE2" w14:textId="77777777" w:rsidR="00BA0560" w:rsidRPr="0074154F" w:rsidRDefault="00BA0560" w:rsidP="00BA0560">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33AEDC09" w14:textId="59152252" w:rsidR="00BA0560" w:rsidRPr="0074154F" w:rsidRDefault="00BA0560" w:rsidP="00BA0560">
            <w:pPr>
              <w:tabs>
                <w:tab w:val="decimal" w:pos="1276"/>
              </w:tabs>
              <w:spacing w:after="0" w:line="240" w:lineRule="auto"/>
              <w:rPr>
                <w:rFonts w:ascii="Arial" w:eastAsia="Times New Roman" w:hAnsi="Arial" w:cs="Arial"/>
                <w:color w:val="000000"/>
                <w:sz w:val="20"/>
                <w:szCs w:val="20"/>
                <w:lang w:eastAsia="es-EC"/>
              </w:rPr>
            </w:pPr>
            <w:r w:rsidRPr="0074154F">
              <w:rPr>
                <w:rFonts w:ascii="Arial" w:eastAsia="Times New Roman" w:hAnsi="Arial" w:cs="Arial"/>
                <w:sz w:val="20"/>
                <w:szCs w:val="20"/>
                <w:lang w:eastAsia="es-EC"/>
              </w:rPr>
              <w:t>2,</w:t>
            </w:r>
            <w:r w:rsidR="00B43016">
              <w:rPr>
                <w:rFonts w:ascii="Arial" w:eastAsia="Times New Roman" w:hAnsi="Arial" w:cs="Arial"/>
                <w:sz w:val="20"/>
                <w:szCs w:val="20"/>
                <w:lang w:eastAsia="es-EC"/>
              </w:rPr>
              <w:t>862</w:t>
            </w:r>
            <w:r w:rsidRPr="0074154F">
              <w:rPr>
                <w:rFonts w:ascii="Arial" w:eastAsia="Times New Roman" w:hAnsi="Arial" w:cs="Arial"/>
                <w:sz w:val="20"/>
                <w:szCs w:val="20"/>
                <w:lang w:eastAsia="es-EC"/>
              </w:rPr>
              <w:t>,</w:t>
            </w:r>
            <w:r w:rsidR="00B43016">
              <w:rPr>
                <w:rFonts w:ascii="Arial" w:eastAsia="Times New Roman" w:hAnsi="Arial" w:cs="Arial"/>
                <w:sz w:val="20"/>
                <w:szCs w:val="20"/>
                <w:lang w:eastAsia="es-EC"/>
              </w:rPr>
              <w:t>912</w:t>
            </w:r>
          </w:p>
        </w:tc>
      </w:tr>
    </w:tbl>
    <w:p w14:paraId="5C4E5DA9" w14:textId="77777777" w:rsidR="00D97EFF" w:rsidRPr="0074154F" w:rsidRDefault="00D97EFF" w:rsidP="00413455">
      <w:pPr>
        <w:spacing w:after="0" w:line="240" w:lineRule="auto"/>
        <w:contextualSpacing/>
        <w:mirrorIndents/>
        <w:jc w:val="right"/>
        <w:rPr>
          <w:rFonts w:ascii="Arial" w:eastAsia="Times New Roman" w:hAnsi="Arial" w:cs="Arial"/>
          <w:b/>
          <w:sz w:val="20"/>
          <w:szCs w:val="20"/>
        </w:rPr>
      </w:pPr>
    </w:p>
    <w:p w14:paraId="7EAD993B" w14:textId="651FF364" w:rsidR="00782977"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Los cálculos actuariales del valor presente de la obligación devengada por concepto de beneficios definidos fueron realizados al 31 de diciembre del 20</w:t>
      </w:r>
      <w:r w:rsidR="00603121" w:rsidRPr="0074154F">
        <w:rPr>
          <w:rFonts w:ascii="Arial" w:hAnsi="Arial" w:cs="Arial"/>
          <w:sz w:val="20"/>
          <w:szCs w:val="20"/>
        </w:rPr>
        <w:t>20</w:t>
      </w:r>
      <w:r w:rsidRPr="0074154F">
        <w:rPr>
          <w:rFonts w:ascii="Arial" w:hAnsi="Arial" w:cs="Arial"/>
          <w:sz w:val="20"/>
          <w:szCs w:val="20"/>
        </w:rPr>
        <w:t xml:space="preserve"> y 201</w:t>
      </w:r>
      <w:r w:rsidR="00603121" w:rsidRPr="0074154F">
        <w:rPr>
          <w:rFonts w:ascii="Arial" w:hAnsi="Arial" w:cs="Arial"/>
          <w:sz w:val="20"/>
          <w:szCs w:val="20"/>
        </w:rPr>
        <w:t>9</w:t>
      </w:r>
      <w:r w:rsidRPr="0074154F">
        <w:rPr>
          <w:rFonts w:ascii="Arial" w:hAnsi="Arial" w:cs="Arial"/>
          <w:sz w:val="20"/>
          <w:szCs w:val="20"/>
        </w:rPr>
        <w:t xml:space="preserve"> por un actuario independiente. </w:t>
      </w:r>
    </w:p>
    <w:p w14:paraId="711B188D" w14:textId="055C4396" w:rsidR="00782977" w:rsidRPr="0074154F" w:rsidRDefault="00782977" w:rsidP="008A5F73">
      <w:pPr>
        <w:widowControl w:val="0"/>
        <w:spacing w:after="0" w:line="240" w:lineRule="auto"/>
        <w:ind w:left="993"/>
        <w:jc w:val="both"/>
        <w:rPr>
          <w:rFonts w:ascii="Arial" w:hAnsi="Arial" w:cs="Arial"/>
          <w:sz w:val="18"/>
          <w:szCs w:val="18"/>
        </w:rPr>
      </w:pPr>
    </w:p>
    <w:p w14:paraId="3A43ED3A" w14:textId="77777777" w:rsidR="00E5635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w:t>
      </w:r>
      <w:r w:rsidR="00372BE9" w:rsidRPr="0074154F">
        <w:rPr>
          <w:rFonts w:ascii="Arial" w:hAnsi="Arial" w:cs="Arial"/>
          <w:sz w:val="20"/>
          <w:szCs w:val="20"/>
        </w:rPr>
        <w:t xml:space="preserve">trabajador </w:t>
      </w:r>
      <w:r w:rsidRPr="0074154F">
        <w:rPr>
          <w:rFonts w:ascii="Arial" w:hAnsi="Arial" w:cs="Arial"/>
          <w:sz w:val="20"/>
          <w:szCs w:val="20"/>
        </w:rPr>
        <w:t xml:space="preserve">y basados en la fórmula del plan, de tal suerte que se atribuye la misma cantidad de beneficio a cada año de servicio, considerando el uso de hipótesis actuariales para calcular el valor presente de estos beneficios. </w:t>
      </w:r>
    </w:p>
    <w:p w14:paraId="226F4FC3" w14:textId="77777777" w:rsidR="00460C04" w:rsidRDefault="00460C04" w:rsidP="008A5F73">
      <w:pPr>
        <w:widowControl w:val="0"/>
        <w:spacing w:after="0" w:line="240" w:lineRule="auto"/>
        <w:ind w:left="993"/>
        <w:jc w:val="both"/>
        <w:rPr>
          <w:rFonts w:ascii="Arial" w:hAnsi="Arial" w:cs="Arial"/>
          <w:sz w:val="20"/>
          <w:szCs w:val="20"/>
        </w:rPr>
      </w:pPr>
    </w:p>
    <w:p w14:paraId="456C0418" w14:textId="0C9DF291"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Estas hipótesis reflejan el valor de dinero a través del tiempo, el incremento salarial y las probabilidades de pago de estos beneficios.</w:t>
      </w:r>
    </w:p>
    <w:p w14:paraId="76930A6E" w14:textId="77777777" w:rsidR="00C741BD" w:rsidRPr="0074154F" w:rsidRDefault="00C741BD" w:rsidP="008A5F73">
      <w:pPr>
        <w:widowControl w:val="0"/>
        <w:spacing w:after="0" w:line="240" w:lineRule="auto"/>
        <w:ind w:left="993"/>
        <w:jc w:val="both"/>
        <w:rPr>
          <w:rFonts w:ascii="Arial" w:hAnsi="Arial" w:cs="Arial"/>
          <w:sz w:val="18"/>
          <w:szCs w:val="18"/>
        </w:rPr>
      </w:pPr>
    </w:p>
    <w:p w14:paraId="2009B3C2" w14:textId="0A9E50EB"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Las ganancias y pérdidas actuariales que surjan de los ajustes por la experiencia y cambios en los supuestos actuariales se cargan o abonan a resultados durante el remanente de vida laboral promedio esperado de los empleados correspondientes.  </w:t>
      </w:r>
    </w:p>
    <w:p w14:paraId="09254CD9" w14:textId="77777777" w:rsidR="0029626E" w:rsidRPr="0074154F" w:rsidRDefault="0029626E" w:rsidP="008A5F73">
      <w:pPr>
        <w:widowControl w:val="0"/>
        <w:spacing w:after="0" w:line="240" w:lineRule="auto"/>
        <w:ind w:left="993"/>
        <w:jc w:val="both"/>
        <w:rPr>
          <w:rFonts w:ascii="Arial" w:hAnsi="Arial" w:cs="Arial"/>
          <w:sz w:val="18"/>
          <w:szCs w:val="18"/>
        </w:rPr>
      </w:pPr>
    </w:p>
    <w:p w14:paraId="0BC4562A" w14:textId="672C400F" w:rsidR="00A85DAE"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Las nuevas mediciones, que comprenden las ganancias y pérdidas actuariales, se reconocen en el estado de situación financiera con cargo o abono a otro resultado integral, en el período en que se producen. El reconocimiento de las ganancias y pérdidas actuariales </w:t>
      </w:r>
      <w:r w:rsidRPr="0074154F">
        <w:rPr>
          <w:rFonts w:ascii="Arial" w:hAnsi="Arial" w:cs="Arial"/>
          <w:sz w:val="20"/>
          <w:szCs w:val="20"/>
        </w:rPr>
        <w:lastRenderedPageBreak/>
        <w:t xml:space="preserve">en otro resultado integral se reflejan inmediatamente en las ganancias acumuladas y no son reclasificadas a la </w:t>
      </w:r>
      <w:r w:rsidR="00462842" w:rsidRPr="0074154F">
        <w:rPr>
          <w:rFonts w:ascii="Arial" w:hAnsi="Arial" w:cs="Arial"/>
          <w:sz w:val="20"/>
          <w:szCs w:val="20"/>
        </w:rPr>
        <w:t xml:space="preserve">utilidad o pérdida del período. </w:t>
      </w:r>
    </w:p>
    <w:p w14:paraId="27A25C70" w14:textId="1AC0F820" w:rsidR="00460C04" w:rsidRDefault="00460C04" w:rsidP="008A5F73">
      <w:pPr>
        <w:widowControl w:val="0"/>
        <w:spacing w:after="0" w:line="240" w:lineRule="auto"/>
        <w:ind w:left="993"/>
        <w:jc w:val="both"/>
        <w:rPr>
          <w:rFonts w:ascii="Arial" w:hAnsi="Arial" w:cs="Arial"/>
          <w:sz w:val="20"/>
          <w:szCs w:val="20"/>
        </w:rPr>
      </w:pPr>
    </w:p>
    <w:p w14:paraId="5A99B0AE" w14:textId="572D861B"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Las hipótesis actuariales significativas utilizadas para la determinación de las obligaciones por beneficios definidos son las tasas de descuento, incremento salarial esperado y la de mortalidad. El análisis de sensibilidad detallado a continuación se ha desarrollado en base a los cambios razonablemente posibles que se produzcan al final del período de referencia de los respectivos supuestos.</w:t>
      </w:r>
    </w:p>
    <w:p w14:paraId="2FB47088" w14:textId="77777777" w:rsidR="00A85DAE" w:rsidRPr="0074154F" w:rsidRDefault="00A85DAE" w:rsidP="008A5F73">
      <w:pPr>
        <w:widowControl w:val="0"/>
        <w:spacing w:after="0" w:line="240" w:lineRule="auto"/>
        <w:ind w:left="993"/>
        <w:jc w:val="both"/>
        <w:rPr>
          <w:rFonts w:ascii="Arial" w:hAnsi="Arial" w:cs="Arial"/>
          <w:sz w:val="18"/>
          <w:szCs w:val="18"/>
        </w:rPr>
      </w:pPr>
    </w:p>
    <w:p w14:paraId="28B150C2" w14:textId="0DDCA9C3"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Si la tasa de descuento varía en 0.5 puntos (mayor o menor), la obligación por beneficios </w:t>
      </w:r>
      <w:proofErr w:type="gramStart"/>
      <w:r w:rsidRPr="0074154F">
        <w:rPr>
          <w:rFonts w:ascii="Arial" w:hAnsi="Arial" w:cs="Arial"/>
          <w:sz w:val="20"/>
          <w:szCs w:val="20"/>
        </w:rPr>
        <w:t>de</w:t>
      </w:r>
      <w:r w:rsidR="00462842" w:rsidRPr="0074154F">
        <w:rPr>
          <w:rFonts w:ascii="Arial" w:hAnsi="Arial" w:cs="Arial"/>
          <w:sz w:val="20"/>
          <w:szCs w:val="20"/>
        </w:rPr>
        <w:t>finidos,</w:t>
      </w:r>
      <w:proofErr w:type="gramEnd"/>
      <w:r w:rsidR="00462842" w:rsidRPr="0074154F">
        <w:rPr>
          <w:rFonts w:ascii="Arial" w:hAnsi="Arial" w:cs="Arial"/>
          <w:sz w:val="20"/>
          <w:szCs w:val="20"/>
        </w:rPr>
        <w:t xml:space="preserve"> incrementaría por US$</w:t>
      </w:r>
      <w:r w:rsidR="003270AE" w:rsidRPr="0074154F">
        <w:rPr>
          <w:rFonts w:ascii="Arial" w:hAnsi="Arial" w:cs="Arial"/>
          <w:sz w:val="20"/>
          <w:szCs w:val="20"/>
        </w:rPr>
        <w:t>379,600 (disminuiría por US$346,272)</w:t>
      </w:r>
      <w:r w:rsidR="00F4392F" w:rsidRPr="0074154F">
        <w:rPr>
          <w:rFonts w:ascii="Arial" w:hAnsi="Arial" w:cs="Arial"/>
          <w:sz w:val="20"/>
          <w:szCs w:val="20"/>
        </w:rPr>
        <w:t>.</w:t>
      </w:r>
    </w:p>
    <w:p w14:paraId="3573F3ED" w14:textId="77777777" w:rsidR="00D97EFF" w:rsidRPr="0074154F" w:rsidRDefault="00D97EFF" w:rsidP="008A5F73">
      <w:pPr>
        <w:widowControl w:val="0"/>
        <w:spacing w:after="0" w:line="240" w:lineRule="auto"/>
        <w:ind w:left="993"/>
        <w:jc w:val="both"/>
        <w:rPr>
          <w:rFonts w:ascii="Arial" w:hAnsi="Arial" w:cs="Arial"/>
          <w:sz w:val="18"/>
          <w:szCs w:val="18"/>
        </w:rPr>
      </w:pPr>
    </w:p>
    <w:p w14:paraId="3C618F95" w14:textId="3F1AA32B"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 xml:space="preserve">Si la tasa de incremento salarial esperada (aumenta o disminuye) en 0.5 puntos, la obligación por beneficios definidos, incrementaría por </w:t>
      </w:r>
      <w:r w:rsidR="00E5635F" w:rsidRPr="0074154F">
        <w:rPr>
          <w:rFonts w:ascii="Arial" w:hAnsi="Arial" w:cs="Arial"/>
          <w:sz w:val="20"/>
          <w:szCs w:val="20"/>
        </w:rPr>
        <w:t>US$</w:t>
      </w:r>
      <w:r w:rsidR="003270AE" w:rsidRPr="0074154F">
        <w:rPr>
          <w:rFonts w:ascii="Arial" w:hAnsi="Arial" w:cs="Arial"/>
          <w:sz w:val="20"/>
          <w:szCs w:val="20"/>
        </w:rPr>
        <w:t>358,125 (disminuiría por US$328,761)</w:t>
      </w:r>
      <w:r w:rsidR="00F4392F" w:rsidRPr="0074154F">
        <w:rPr>
          <w:rFonts w:ascii="Arial" w:hAnsi="Arial" w:cs="Arial"/>
          <w:sz w:val="20"/>
          <w:szCs w:val="20"/>
        </w:rPr>
        <w:t>.</w:t>
      </w:r>
    </w:p>
    <w:p w14:paraId="05CE21B9" w14:textId="77777777" w:rsidR="00D97EFF" w:rsidRPr="0074154F" w:rsidRDefault="00D97EFF" w:rsidP="008A5F73">
      <w:pPr>
        <w:widowControl w:val="0"/>
        <w:spacing w:after="0" w:line="240" w:lineRule="auto"/>
        <w:ind w:left="993"/>
        <w:jc w:val="both"/>
        <w:rPr>
          <w:rFonts w:ascii="Arial" w:hAnsi="Arial" w:cs="Arial"/>
          <w:sz w:val="18"/>
          <w:szCs w:val="18"/>
        </w:rPr>
      </w:pPr>
    </w:p>
    <w:p w14:paraId="6A58C278" w14:textId="0FEBD4D4"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El análisis de sensibilidad presentado anteriormente puede no ser representativo de la variación real en la obligación por beneficios definidos, ya que es poco probable que el cambio en las hipótesis se produzca en forma aislada unos de otros (algunos de los supuest</w:t>
      </w:r>
      <w:r w:rsidR="00782977" w:rsidRPr="0074154F">
        <w:rPr>
          <w:rFonts w:ascii="Arial" w:hAnsi="Arial" w:cs="Arial"/>
          <w:sz w:val="20"/>
          <w:szCs w:val="20"/>
        </w:rPr>
        <w:t xml:space="preserve">os pueden ser correlacionados). </w:t>
      </w:r>
      <w:r w:rsidRPr="0074154F">
        <w:rPr>
          <w:rFonts w:ascii="Arial" w:hAnsi="Arial" w:cs="Arial"/>
          <w:sz w:val="20"/>
          <w:szCs w:val="20"/>
        </w:rPr>
        <w:t xml:space="preserve">Es importante mencionar que, en el análisis de sensibilidad desarrollado, el valor presente de las obligaciones por beneficios definidos se calculó utilizando el método de crédito unitario proyectado, que es el mismo que el aplicado en el cálculo de la obligación por beneficios definidos reconocido en el estado de situación financiera.  </w:t>
      </w:r>
    </w:p>
    <w:p w14:paraId="65507DB0" w14:textId="77777777" w:rsidR="00814F07" w:rsidRPr="0074154F" w:rsidRDefault="00814F07" w:rsidP="008A5F73">
      <w:pPr>
        <w:widowControl w:val="0"/>
        <w:spacing w:after="0" w:line="240" w:lineRule="auto"/>
        <w:ind w:left="993"/>
        <w:jc w:val="both"/>
        <w:rPr>
          <w:rFonts w:ascii="Arial" w:hAnsi="Arial" w:cs="Arial"/>
          <w:sz w:val="20"/>
          <w:szCs w:val="20"/>
        </w:rPr>
      </w:pPr>
    </w:p>
    <w:p w14:paraId="51F537A9" w14:textId="77777777" w:rsidR="00D97EFF" w:rsidRPr="0074154F" w:rsidRDefault="00D97EFF" w:rsidP="008A5F73">
      <w:pPr>
        <w:widowControl w:val="0"/>
        <w:spacing w:after="0" w:line="240" w:lineRule="auto"/>
        <w:ind w:left="993"/>
        <w:jc w:val="both"/>
        <w:rPr>
          <w:rFonts w:ascii="Arial" w:hAnsi="Arial" w:cs="Arial"/>
          <w:sz w:val="20"/>
          <w:szCs w:val="20"/>
        </w:rPr>
      </w:pPr>
      <w:r w:rsidRPr="0074154F">
        <w:rPr>
          <w:rFonts w:ascii="Arial" w:hAnsi="Arial" w:cs="Arial"/>
          <w:sz w:val="20"/>
          <w:szCs w:val="20"/>
        </w:rPr>
        <w:t>Las presunciones principales usadas para propósitos de los cálculos actuariales son las siguientes:</w:t>
      </w:r>
    </w:p>
    <w:p w14:paraId="7257BA5E" w14:textId="4209B960" w:rsidR="00D97EFF" w:rsidRPr="0074154F" w:rsidRDefault="00D97EFF" w:rsidP="00413455">
      <w:pPr>
        <w:widowControl w:val="0"/>
        <w:spacing w:after="0" w:line="240" w:lineRule="auto"/>
        <w:ind w:left="567"/>
        <w:jc w:val="both"/>
        <w:rPr>
          <w:rFonts w:ascii="Arial" w:hAnsi="Arial" w:cs="Arial"/>
          <w:sz w:val="20"/>
          <w:szCs w:val="20"/>
        </w:rPr>
      </w:pPr>
    </w:p>
    <w:tbl>
      <w:tblPr>
        <w:tblW w:w="8122" w:type="dxa"/>
        <w:jc w:val="right"/>
        <w:tblLayout w:type="fixed"/>
        <w:tblCellMar>
          <w:left w:w="70" w:type="dxa"/>
          <w:right w:w="70" w:type="dxa"/>
        </w:tblCellMar>
        <w:tblLook w:val="04A0" w:firstRow="1" w:lastRow="0" w:firstColumn="1" w:lastColumn="0" w:noHBand="0" w:noVBand="1"/>
      </w:tblPr>
      <w:tblGrid>
        <w:gridCol w:w="4891"/>
        <w:gridCol w:w="1502"/>
        <w:gridCol w:w="227"/>
        <w:gridCol w:w="1502"/>
      </w:tblGrid>
      <w:tr w:rsidR="00BD5F17" w:rsidRPr="0074154F" w14:paraId="03A92894" w14:textId="77777777" w:rsidTr="00F77426">
        <w:trPr>
          <w:trHeight w:val="283"/>
          <w:jc w:val="right"/>
        </w:trPr>
        <w:tc>
          <w:tcPr>
            <w:tcW w:w="4891" w:type="dxa"/>
            <w:tcBorders>
              <w:top w:val="nil"/>
              <w:left w:val="nil"/>
              <w:bottom w:val="nil"/>
              <w:right w:val="nil"/>
            </w:tcBorders>
            <w:shd w:val="clear" w:color="auto" w:fill="auto"/>
            <w:noWrap/>
            <w:vAlign w:val="bottom"/>
            <w:hideMark/>
          </w:tcPr>
          <w:p w14:paraId="1E4314AB" w14:textId="77777777" w:rsidR="00BD5F17" w:rsidRPr="0074154F" w:rsidRDefault="00BD5F17" w:rsidP="00E5635F">
            <w:pPr>
              <w:spacing w:after="0" w:line="240" w:lineRule="auto"/>
              <w:ind w:left="-70" w:firstLine="277"/>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0E7C973A" w14:textId="77777777" w:rsidR="00BD5F17" w:rsidRPr="0074154F" w:rsidRDefault="00BD5F17" w:rsidP="00EA0DD1">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27" w:type="dxa"/>
            <w:tcBorders>
              <w:top w:val="nil"/>
              <w:left w:val="nil"/>
              <w:bottom w:val="nil"/>
              <w:right w:val="nil"/>
            </w:tcBorders>
            <w:shd w:val="clear" w:color="auto" w:fill="auto"/>
            <w:noWrap/>
            <w:vAlign w:val="bottom"/>
            <w:hideMark/>
          </w:tcPr>
          <w:p w14:paraId="5CC23AE6" w14:textId="77777777" w:rsidR="00BD5F17" w:rsidRPr="0074154F" w:rsidRDefault="00BD5F17" w:rsidP="00EA0DD1">
            <w:pPr>
              <w:spacing w:after="0" w:line="240" w:lineRule="auto"/>
              <w:ind w:right="79"/>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25A778D" w14:textId="77777777" w:rsidR="00BD5F17" w:rsidRPr="0074154F" w:rsidRDefault="00BD5F17" w:rsidP="00EA0DD1">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BD5F17" w:rsidRPr="0074154F" w14:paraId="6BAFB6A8" w14:textId="77777777" w:rsidTr="00F77426">
        <w:trPr>
          <w:trHeight w:val="283"/>
          <w:jc w:val="right"/>
        </w:trPr>
        <w:tc>
          <w:tcPr>
            <w:tcW w:w="4891" w:type="dxa"/>
            <w:tcBorders>
              <w:top w:val="nil"/>
              <w:left w:val="nil"/>
              <w:right w:val="nil"/>
            </w:tcBorders>
            <w:shd w:val="clear" w:color="auto" w:fill="auto"/>
            <w:noWrap/>
            <w:vAlign w:val="bottom"/>
            <w:hideMark/>
          </w:tcPr>
          <w:p w14:paraId="0B866CC4" w14:textId="77777777" w:rsidR="00BD5F17" w:rsidRPr="0074154F" w:rsidRDefault="00BD5F17" w:rsidP="00EA0DD1">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3F075B1E" w14:textId="77777777" w:rsidR="00BD5F17" w:rsidRPr="0074154F" w:rsidRDefault="00BD5F17" w:rsidP="00EA0DD1">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183F656B" w14:textId="77777777" w:rsidR="00BD5F17" w:rsidRPr="0074154F" w:rsidRDefault="00BD5F17" w:rsidP="00EA0DD1">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53227357" w14:textId="77777777" w:rsidR="00BD5F17" w:rsidRPr="0074154F" w:rsidRDefault="00BD5F17" w:rsidP="00EA0DD1">
            <w:pPr>
              <w:spacing w:after="0" w:line="240" w:lineRule="auto"/>
              <w:rPr>
                <w:rFonts w:ascii="Arial" w:eastAsia="Times New Roman" w:hAnsi="Arial" w:cs="Arial"/>
                <w:sz w:val="20"/>
                <w:szCs w:val="20"/>
                <w:lang w:eastAsia="es-EC"/>
              </w:rPr>
            </w:pPr>
          </w:p>
        </w:tc>
      </w:tr>
      <w:tr w:rsidR="00BD5F17" w:rsidRPr="0074154F" w14:paraId="780D627E" w14:textId="77777777" w:rsidTr="00F77426">
        <w:trPr>
          <w:trHeight w:val="283"/>
          <w:jc w:val="right"/>
        </w:trPr>
        <w:tc>
          <w:tcPr>
            <w:tcW w:w="4891" w:type="dxa"/>
            <w:tcBorders>
              <w:top w:val="nil"/>
              <w:left w:val="nil"/>
              <w:right w:val="nil"/>
            </w:tcBorders>
            <w:shd w:val="clear" w:color="auto" w:fill="auto"/>
            <w:noWrap/>
            <w:vAlign w:val="bottom"/>
          </w:tcPr>
          <w:p w14:paraId="4EFF3401" w14:textId="07E8C11D" w:rsidR="00BD5F17" w:rsidRPr="0074154F" w:rsidRDefault="00BD5F17" w:rsidP="00EA0DD1">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Tasa de descuento</w:t>
            </w:r>
          </w:p>
        </w:tc>
        <w:tc>
          <w:tcPr>
            <w:tcW w:w="1502" w:type="dxa"/>
            <w:tcBorders>
              <w:top w:val="nil"/>
              <w:left w:val="nil"/>
              <w:right w:val="nil"/>
            </w:tcBorders>
            <w:shd w:val="clear" w:color="auto" w:fill="auto"/>
            <w:noWrap/>
            <w:vAlign w:val="bottom"/>
          </w:tcPr>
          <w:p w14:paraId="2F7AF6A3" w14:textId="62E76247" w:rsidR="00BD5F17" w:rsidRPr="0074154F" w:rsidRDefault="00DB023C" w:rsidP="00EA0DD1">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8.52%</w:t>
            </w:r>
          </w:p>
        </w:tc>
        <w:tc>
          <w:tcPr>
            <w:tcW w:w="227" w:type="dxa"/>
            <w:tcBorders>
              <w:top w:val="nil"/>
              <w:left w:val="nil"/>
              <w:right w:val="nil"/>
            </w:tcBorders>
            <w:shd w:val="clear" w:color="auto" w:fill="auto"/>
            <w:noWrap/>
            <w:vAlign w:val="bottom"/>
          </w:tcPr>
          <w:p w14:paraId="1B5490C0" w14:textId="77777777" w:rsidR="00BD5F17" w:rsidRPr="0074154F" w:rsidRDefault="00BD5F17" w:rsidP="00EA0DD1">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641DECF" w14:textId="0F56AA47" w:rsidR="00BD5F17" w:rsidRPr="0074154F" w:rsidRDefault="004642E2" w:rsidP="00E5635F">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8.48%</w:t>
            </w:r>
          </w:p>
        </w:tc>
      </w:tr>
      <w:tr w:rsidR="00BD5F17" w:rsidRPr="0074154F" w14:paraId="09854BAD" w14:textId="77777777" w:rsidTr="00F77426">
        <w:trPr>
          <w:trHeight w:val="283"/>
          <w:jc w:val="right"/>
        </w:trPr>
        <w:tc>
          <w:tcPr>
            <w:tcW w:w="4891" w:type="dxa"/>
            <w:tcBorders>
              <w:top w:val="nil"/>
              <w:left w:val="nil"/>
              <w:right w:val="nil"/>
            </w:tcBorders>
            <w:shd w:val="clear" w:color="auto" w:fill="auto"/>
            <w:noWrap/>
            <w:vAlign w:val="bottom"/>
          </w:tcPr>
          <w:p w14:paraId="34887DED" w14:textId="403C069C" w:rsidR="00BD5F17" w:rsidRPr="0074154F" w:rsidRDefault="00BD5F17" w:rsidP="00EA0DD1">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Tasa esperada del incremento salarial</w:t>
            </w:r>
          </w:p>
        </w:tc>
        <w:tc>
          <w:tcPr>
            <w:tcW w:w="1502" w:type="dxa"/>
            <w:tcBorders>
              <w:top w:val="nil"/>
              <w:left w:val="nil"/>
              <w:right w:val="nil"/>
            </w:tcBorders>
            <w:shd w:val="clear" w:color="auto" w:fill="auto"/>
            <w:noWrap/>
            <w:vAlign w:val="bottom"/>
          </w:tcPr>
          <w:p w14:paraId="7353B434" w14:textId="454A8CDC" w:rsidR="00BD5F17" w:rsidRPr="0074154F" w:rsidRDefault="00DB023C" w:rsidP="00BD5F17">
            <w:pPr>
              <w:tabs>
                <w:tab w:val="decimal" w:pos="1276"/>
              </w:tabs>
              <w:spacing w:after="0" w:line="240" w:lineRule="auto"/>
              <w:jc w:val="right"/>
              <w:rPr>
                <w:rFonts w:ascii="Arial" w:eastAsia="Times New Roman" w:hAnsi="Arial" w:cs="Arial"/>
                <w:sz w:val="20"/>
                <w:szCs w:val="20"/>
                <w:lang w:eastAsia="es-EC"/>
              </w:rPr>
            </w:pPr>
            <w:r w:rsidRPr="0074154F">
              <w:rPr>
                <w:rFonts w:ascii="Arial" w:eastAsia="Times New Roman" w:hAnsi="Arial" w:cs="Arial"/>
                <w:sz w:val="20"/>
                <w:szCs w:val="20"/>
                <w:lang w:eastAsia="es-EC"/>
              </w:rPr>
              <w:t>3.00%</w:t>
            </w:r>
          </w:p>
        </w:tc>
        <w:tc>
          <w:tcPr>
            <w:tcW w:w="227" w:type="dxa"/>
            <w:tcBorders>
              <w:top w:val="nil"/>
              <w:left w:val="nil"/>
              <w:right w:val="nil"/>
            </w:tcBorders>
            <w:shd w:val="clear" w:color="auto" w:fill="auto"/>
            <w:noWrap/>
            <w:vAlign w:val="bottom"/>
          </w:tcPr>
          <w:p w14:paraId="6D351730" w14:textId="77777777" w:rsidR="00BD5F17" w:rsidRPr="0074154F" w:rsidRDefault="00BD5F17" w:rsidP="00EA0DD1">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8C786A6" w14:textId="4BAE4656" w:rsidR="00BD5F17" w:rsidRPr="0074154F" w:rsidRDefault="004642E2" w:rsidP="00EA0DD1">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1.50%</w:t>
            </w:r>
          </w:p>
        </w:tc>
      </w:tr>
    </w:tbl>
    <w:p w14:paraId="30C69F64" w14:textId="73AC8A8D" w:rsidR="004642E2" w:rsidRPr="0074154F" w:rsidRDefault="004642E2" w:rsidP="004642E2">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70DDD031" w14:textId="6C8D8862" w:rsidR="00CC3707" w:rsidRPr="0074154F" w:rsidRDefault="00CC3707"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IMPUESTOS</w:t>
      </w:r>
    </w:p>
    <w:p w14:paraId="0888CA1C" w14:textId="77777777" w:rsidR="00CC3707" w:rsidRPr="0074154F" w:rsidRDefault="00CC3707" w:rsidP="00413455">
      <w:pPr>
        <w:pStyle w:val="ListParagraph"/>
        <w:spacing w:after="0" w:line="240" w:lineRule="auto"/>
        <w:ind w:left="432"/>
        <w:rPr>
          <w:rFonts w:ascii="Arial" w:hAnsi="Arial" w:cs="Arial"/>
          <w:b/>
          <w:sz w:val="20"/>
          <w:szCs w:val="20"/>
          <w:u w:val="single"/>
        </w:rPr>
      </w:pPr>
    </w:p>
    <w:tbl>
      <w:tblPr>
        <w:tblW w:w="8503" w:type="dxa"/>
        <w:jc w:val="right"/>
        <w:tblBorders>
          <w:bottom w:val="double" w:sz="4" w:space="0" w:color="auto"/>
        </w:tblBorders>
        <w:tblCellMar>
          <w:left w:w="70" w:type="dxa"/>
          <w:right w:w="70" w:type="dxa"/>
        </w:tblCellMar>
        <w:tblLook w:val="04A0" w:firstRow="1" w:lastRow="0" w:firstColumn="1" w:lastColumn="0" w:noHBand="0" w:noVBand="1"/>
      </w:tblPr>
      <w:tblGrid>
        <w:gridCol w:w="4821"/>
        <w:gridCol w:w="2015"/>
        <w:gridCol w:w="219"/>
        <w:gridCol w:w="2015"/>
      </w:tblGrid>
      <w:tr w:rsidR="00F62BF3" w:rsidRPr="0074154F" w14:paraId="7B50FF4C" w14:textId="77777777" w:rsidTr="00471822">
        <w:trPr>
          <w:trHeight w:val="283"/>
          <w:jc w:val="right"/>
        </w:trPr>
        <w:tc>
          <w:tcPr>
            <w:tcW w:w="5272" w:type="dxa"/>
            <w:shd w:val="clear" w:color="auto" w:fill="auto"/>
            <w:noWrap/>
            <w:vAlign w:val="bottom"/>
            <w:hideMark/>
          </w:tcPr>
          <w:p w14:paraId="5A9B6848" w14:textId="77777777" w:rsidR="00F62BF3" w:rsidRPr="0074154F" w:rsidRDefault="00F62BF3"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bottom w:val="single" w:sz="8" w:space="0" w:color="auto"/>
            </w:tcBorders>
            <w:shd w:val="clear" w:color="auto" w:fill="auto"/>
            <w:noWrap/>
            <w:vAlign w:val="bottom"/>
            <w:hideMark/>
          </w:tcPr>
          <w:p w14:paraId="16FC8AB9" w14:textId="1A848706" w:rsidR="00F62BF3" w:rsidRPr="0074154F" w:rsidRDefault="00F62BF3" w:rsidP="000C6452">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w:t>
            </w:r>
            <w:r w:rsidR="00C84674" w:rsidRPr="0074154F">
              <w:rPr>
                <w:rFonts w:ascii="Arial" w:eastAsia="Times New Roman" w:hAnsi="Arial" w:cs="Arial"/>
                <w:b/>
                <w:bCs/>
                <w:color w:val="000000"/>
                <w:sz w:val="20"/>
                <w:szCs w:val="20"/>
                <w:lang w:eastAsia="es-EC"/>
              </w:rPr>
              <w:t>20</w:t>
            </w:r>
          </w:p>
        </w:tc>
        <w:tc>
          <w:tcPr>
            <w:tcW w:w="227" w:type="dxa"/>
            <w:shd w:val="clear" w:color="auto" w:fill="auto"/>
            <w:noWrap/>
            <w:vAlign w:val="bottom"/>
            <w:hideMark/>
          </w:tcPr>
          <w:p w14:paraId="71628949" w14:textId="77777777" w:rsidR="00F62BF3" w:rsidRPr="0074154F" w:rsidRDefault="00F62BF3" w:rsidP="000C6452">
            <w:pPr>
              <w:spacing w:after="0" w:line="240" w:lineRule="auto"/>
              <w:ind w:right="70"/>
              <w:jc w:val="right"/>
              <w:rPr>
                <w:rFonts w:ascii="Arial" w:eastAsia="Times New Roman" w:hAnsi="Arial" w:cs="Arial"/>
                <w:b/>
                <w:bCs/>
                <w:color w:val="000000"/>
                <w:sz w:val="20"/>
                <w:szCs w:val="20"/>
                <w:lang w:eastAsia="es-EC"/>
              </w:rPr>
            </w:pPr>
          </w:p>
        </w:tc>
        <w:tc>
          <w:tcPr>
            <w:tcW w:w="1502" w:type="dxa"/>
            <w:tcBorders>
              <w:bottom w:val="single" w:sz="8" w:space="0" w:color="auto"/>
            </w:tcBorders>
            <w:shd w:val="clear" w:color="auto" w:fill="auto"/>
            <w:noWrap/>
            <w:vAlign w:val="bottom"/>
            <w:hideMark/>
          </w:tcPr>
          <w:p w14:paraId="6C39AA8E" w14:textId="65F03F23" w:rsidR="00F62BF3" w:rsidRPr="0074154F" w:rsidRDefault="00F62BF3" w:rsidP="000C6452">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w:t>
            </w:r>
            <w:r w:rsidR="00C84674" w:rsidRPr="0074154F">
              <w:rPr>
                <w:rFonts w:ascii="Arial" w:eastAsia="Times New Roman" w:hAnsi="Arial" w:cs="Arial"/>
                <w:b/>
                <w:bCs/>
                <w:color w:val="000000"/>
                <w:sz w:val="20"/>
                <w:szCs w:val="20"/>
                <w:lang w:eastAsia="es-EC"/>
              </w:rPr>
              <w:t>9</w:t>
            </w:r>
          </w:p>
        </w:tc>
      </w:tr>
      <w:tr w:rsidR="00F62BF3" w:rsidRPr="0074154F" w14:paraId="0DE3DBB8" w14:textId="77777777" w:rsidTr="00471822">
        <w:trPr>
          <w:trHeight w:val="283"/>
          <w:jc w:val="right"/>
        </w:trPr>
        <w:tc>
          <w:tcPr>
            <w:tcW w:w="5272" w:type="dxa"/>
            <w:shd w:val="clear" w:color="auto" w:fill="auto"/>
            <w:noWrap/>
            <w:vAlign w:val="bottom"/>
            <w:hideMark/>
          </w:tcPr>
          <w:p w14:paraId="6DE655BA" w14:textId="77777777" w:rsidR="00F62BF3" w:rsidRPr="0074154F" w:rsidRDefault="00F62BF3"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tcBorders>
            <w:shd w:val="clear" w:color="auto" w:fill="auto"/>
            <w:noWrap/>
            <w:vAlign w:val="bottom"/>
            <w:hideMark/>
          </w:tcPr>
          <w:p w14:paraId="3873A9FF"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c>
          <w:tcPr>
            <w:tcW w:w="227" w:type="dxa"/>
            <w:shd w:val="clear" w:color="auto" w:fill="auto"/>
            <w:noWrap/>
            <w:vAlign w:val="bottom"/>
            <w:hideMark/>
          </w:tcPr>
          <w:p w14:paraId="484D64FE"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c>
          <w:tcPr>
            <w:tcW w:w="1502" w:type="dxa"/>
            <w:tcBorders>
              <w:top w:val="single" w:sz="8" w:space="0" w:color="auto"/>
            </w:tcBorders>
            <w:shd w:val="clear" w:color="auto" w:fill="auto"/>
            <w:noWrap/>
            <w:vAlign w:val="bottom"/>
            <w:hideMark/>
          </w:tcPr>
          <w:p w14:paraId="5C283771"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r>
      <w:tr w:rsidR="00F62BF3" w:rsidRPr="0074154F" w14:paraId="6107D4B8" w14:textId="77777777" w:rsidTr="000C0B4C">
        <w:trPr>
          <w:trHeight w:val="283"/>
          <w:jc w:val="right"/>
        </w:trPr>
        <w:tc>
          <w:tcPr>
            <w:tcW w:w="5272" w:type="dxa"/>
            <w:shd w:val="clear" w:color="auto" w:fill="auto"/>
            <w:noWrap/>
            <w:vAlign w:val="bottom"/>
          </w:tcPr>
          <w:p w14:paraId="7BDC381E" w14:textId="77777777" w:rsidR="00F62BF3" w:rsidRPr="0074154F" w:rsidRDefault="00F62BF3" w:rsidP="00413455">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i/>
                <w:color w:val="000000"/>
                <w:sz w:val="20"/>
                <w:szCs w:val="20"/>
                <w:u w:val="single"/>
                <w:lang w:eastAsia="es-EC"/>
              </w:rPr>
              <w:t>Activos por impuestos corrientes</w:t>
            </w:r>
            <w:r w:rsidRPr="0074154F">
              <w:rPr>
                <w:rFonts w:ascii="Arial" w:eastAsia="Times New Roman" w:hAnsi="Arial" w:cs="Arial"/>
                <w:color w:val="000000"/>
                <w:sz w:val="20"/>
                <w:szCs w:val="20"/>
                <w:lang w:eastAsia="es-EC"/>
              </w:rPr>
              <w:t>:</w:t>
            </w:r>
          </w:p>
        </w:tc>
        <w:tc>
          <w:tcPr>
            <w:tcW w:w="1502" w:type="dxa"/>
            <w:tcBorders>
              <w:bottom w:val="nil"/>
            </w:tcBorders>
            <w:shd w:val="clear" w:color="auto" w:fill="auto"/>
            <w:noWrap/>
            <w:vAlign w:val="bottom"/>
          </w:tcPr>
          <w:p w14:paraId="4A61CF9C"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c>
          <w:tcPr>
            <w:tcW w:w="227" w:type="dxa"/>
            <w:tcBorders>
              <w:bottom w:val="nil"/>
            </w:tcBorders>
            <w:shd w:val="clear" w:color="auto" w:fill="auto"/>
            <w:noWrap/>
            <w:vAlign w:val="bottom"/>
          </w:tcPr>
          <w:p w14:paraId="25665F20"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635C2517" w14:textId="77777777" w:rsidR="00F62BF3" w:rsidRPr="0074154F" w:rsidRDefault="00F62BF3" w:rsidP="000C6452">
            <w:pPr>
              <w:spacing w:after="0" w:line="240" w:lineRule="auto"/>
              <w:jc w:val="right"/>
              <w:rPr>
                <w:rFonts w:ascii="Arial" w:eastAsia="Times New Roman" w:hAnsi="Arial" w:cs="Arial"/>
                <w:sz w:val="20"/>
                <w:szCs w:val="20"/>
                <w:lang w:eastAsia="es-EC"/>
              </w:rPr>
            </w:pPr>
          </w:p>
        </w:tc>
      </w:tr>
      <w:tr w:rsidR="000C0B4C" w:rsidRPr="0074154F" w14:paraId="0D73D11C" w14:textId="77777777" w:rsidTr="00E661CC">
        <w:trPr>
          <w:trHeight w:val="283"/>
          <w:jc w:val="right"/>
        </w:trPr>
        <w:tc>
          <w:tcPr>
            <w:tcW w:w="5272" w:type="dxa"/>
            <w:tcBorders>
              <w:bottom w:val="nil"/>
            </w:tcBorders>
            <w:shd w:val="clear" w:color="auto" w:fill="auto"/>
            <w:noWrap/>
            <w:vAlign w:val="bottom"/>
          </w:tcPr>
          <w:p w14:paraId="28350C4E" w14:textId="06A54094" w:rsidR="000C0B4C" w:rsidRPr="0074154F" w:rsidRDefault="000C0B4C" w:rsidP="000C0B4C">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 xml:space="preserve">   Crédito tributario Impuesto Valor Agregado</w:t>
            </w:r>
            <w:r w:rsidR="00E661CC">
              <w:rPr>
                <w:rFonts w:ascii="Arial" w:eastAsia="Times New Roman" w:hAnsi="Arial" w:cs="Arial"/>
                <w:color w:val="000000"/>
                <w:sz w:val="20"/>
                <w:szCs w:val="20"/>
                <w:lang w:val="es-MX" w:eastAsia="es-MX"/>
              </w:rPr>
              <w:t xml:space="preserve"> (IVA)</w:t>
            </w:r>
          </w:p>
        </w:tc>
        <w:tc>
          <w:tcPr>
            <w:tcW w:w="1502" w:type="dxa"/>
            <w:tcBorders>
              <w:bottom w:val="nil"/>
            </w:tcBorders>
            <w:shd w:val="clear" w:color="auto" w:fill="auto"/>
            <w:noWrap/>
            <w:vAlign w:val="bottom"/>
          </w:tcPr>
          <w:p w14:paraId="1625DB2A" w14:textId="4FFD917E" w:rsidR="000C0B4C" w:rsidRPr="00E661CC" w:rsidRDefault="00E661CC" w:rsidP="000C0B4C">
            <w:pPr>
              <w:tabs>
                <w:tab w:val="decimal" w:pos="1276"/>
              </w:tabs>
              <w:spacing w:after="0" w:line="240" w:lineRule="auto"/>
              <w:jc w:val="right"/>
              <w:rPr>
                <w:rFonts w:ascii="Arial" w:eastAsia="Times New Roman" w:hAnsi="Arial" w:cs="Arial"/>
                <w:sz w:val="20"/>
                <w:szCs w:val="20"/>
                <w:lang w:val="es-MX" w:eastAsia="es-EC"/>
              </w:rPr>
            </w:pPr>
            <w:r>
              <w:rPr>
                <w:rFonts w:ascii="Arial" w:eastAsia="Times New Roman" w:hAnsi="Arial" w:cs="Arial"/>
                <w:sz w:val="20"/>
                <w:szCs w:val="20"/>
                <w:lang w:val="es-MX" w:eastAsia="es-EC"/>
              </w:rPr>
              <w:t>1,591,306</w:t>
            </w:r>
          </w:p>
        </w:tc>
        <w:tc>
          <w:tcPr>
            <w:tcW w:w="227" w:type="dxa"/>
            <w:tcBorders>
              <w:bottom w:val="nil"/>
            </w:tcBorders>
            <w:shd w:val="clear" w:color="auto" w:fill="auto"/>
            <w:noWrap/>
            <w:vAlign w:val="bottom"/>
          </w:tcPr>
          <w:p w14:paraId="4555A809" w14:textId="77777777" w:rsidR="000C0B4C" w:rsidRPr="0074154F" w:rsidRDefault="000C0B4C" w:rsidP="000C0B4C">
            <w:pPr>
              <w:spacing w:after="0" w:line="240" w:lineRule="auto"/>
              <w:jc w:val="right"/>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21C2994" w14:textId="553CEBB8" w:rsidR="000C0B4C" w:rsidRPr="0074154F" w:rsidRDefault="00875959" w:rsidP="000C0B4C">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1,862,421</w:t>
            </w:r>
          </w:p>
        </w:tc>
      </w:tr>
      <w:tr w:rsidR="000C0B4C" w:rsidRPr="0074154F" w14:paraId="5EE9F042" w14:textId="77777777" w:rsidTr="00E661CC">
        <w:trPr>
          <w:trHeight w:val="283"/>
          <w:jc w:val="right"/>
        </w:trPr>
        <w:tc>
          <w:tcPr>
            <w:tcW w:w="5272" w:type="dxa"/>
            <w:tcBorders>
              <w:bottom w:val="nil"/>
            </w:tcBorders>
            <w:shd w:val="clear" w:color="auto" w:fill="auto"/>
            <w:noWrap/>
            <w:vAlign w:val="bottom"/>
          </w:tcPr>
          <w:p w14:paraId="2BAA0F63" w14:textId="3C5C4C30" w:rsidR="000C0B4C" w:rsidRPr="0074154F" w:rsidRDefault="00E661CC" w:rsidP="000C0B4C">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 xml:space="preserve">   Crédito tributario Impuesto</w:t>
            </w:r>
            <w:r>
              <w:rPr>
                <w:rFonts w:ascii="Arial" w:eastAsia="Times New Roman" w:hAnsi="Arial" w:cs="Arial"/>
                <w:color w:val="000000"/>
                <w:sz w:val="20"/>
                <w:szCs w:val="20"/>
                <w:lang w:val="es-MX" w:eastAsia="es-MX"/>
              </w:rPr>
              <w:t xml:space="preserve"> a la renta (IR)</w:t>
            </w:r>
          </w:p>
        </w:tc>
        <w:tc>
          <w:tcPr>
            <w:tcW w:w="1502" w:type="dxa"/>
            <w:tcBorders>
              <w:top w:val="nil"/>
              <w:bottom w:val="single" w:sz="6" w:space="0" w:color="auto"/>
            </w:tcBorders>
            <w:shd w:val="clear" w:color="auto" w:fill="auto"/>
            <w:noWrap/>
            <w:vAlign w:val="bottom"/>
          </w:tcPr>
          <w:p w14:paraId="361D1385" w14:textId="26890746" w:rsidR="000C0B4C" w:rsidRPr="0074154F" w:rsidRDefault="00E661CC" w:rsidP="000C0B4C">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111,511</w:t>
            </w:r>
          </w:p>
        </w:tc>
        <w:tc>
          <w:tcPr>
            <w:tcW w:w="227" w:type="dxa"/>
            <w:tcBorders>
              <w:bottom w:val="nil"/>
            </w:tcBorders>
            <w:shd w:val="clear" w:color="auto" w:fill="auto"/>
            <w:noWrap/>
            <w:vAlign w:val="bottom"/>
          </w:tcPr>
          <w:p w14:paraId="1482A4E5" w14:textId="77777777" w:rsidR="000C0B4C" w:rsidRPr="0074154F" w:rsidRDefault="000C0B4C" w:rsidP="000C0B4C">
            <w:pPr>
              <w:spacing w:after="0" w:line="240" w:lineRule="auto"/>
              <w:jc w:val="right"/>
              <w:rPr>
                <w:rFonts w:ascii="Arial" w:eastAsia="Times New Roman" w:hAnsi="Arial" w:cs="Arial"/>
                <w:sz w:val="20"/>
                <w:szCs w:val="20"/>
                <w:lang w:eastAsia="es-EC"/>
              </w:rPr>
            </w:pPr>
          </w:p>
        </w:tc>
        <w:tc>
          <w:tcPr>
            <w:tcW w:w="1502" w:type="dxa"/>
            <w:tcBorders>
              <w:top w:val="nil"/>
              <w:bottom w:val="single" w:sz="6" w:space="0" w:color="auto"/>
            </w:tcBorders>
            <w:shd w:val="clear" w:color="auto" w:fill="auto"/>
            <w:noWrap/>
            <w:vAlign w:val="bottom"/>
          </w:tcPr>
          <w:p w14:paraId="72FC94EB" w14:textId="37974DE0" w:rsidR="000C0B4C" w:rsidRPr="0074154F" w:rsidRDefault="00F45C5F" w:rsidP="000C0B4C">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111,511</w:t>
            </w:r>
          </w:p>
        </w:tc>
      </w:tr>
      <w:tr w:rsidR="00E661CC" w:rsidRPr="0074154F" w14:paraId="45ED5696" w14:textId="77777777" w:rsidTr="00945B90">
        <w:trPr>
          <w:trHeight w:val="283"/>
          <w:jc w:val="right"/>
        </w:trPr>
        <w:tc>
          <w:tcPr>
            <w:tcW w:w="5272" w:type="dxa"/>
            <w:tcBorders>
              <w:top w:val="nil"/>
            </w:tcBorders>
            <w:shd w:val="clear" w:color="auto" w:fill="auto"/>
            <w:noWrap/>
            <w:vAlign w:val="bottom"/>
          </w:tcPr>
          <w:p w14:paraId="5AC508DC" w14:textId="77777777" w:rsidR="00E661CC" w:rsidRPr="0074154F" w:rsidRDefault="00E661CC" w:rsidP="000C0B4C">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bottom w:val="nil"/>
            </w:tcBorders>
            <w:shd w:val="clear" w:color="auto" w:fill="auto"/>
            <w:noWrap/>
            <w:vAlign w:val="bottom"/>
          </w:tcPr>
          <w:p w14:paraId="53F1D230" w14:textId="77314040" w:rsidR="00E661CC" w:rsidRPr="0074154F" w:rsidRDefault="00E661CC" w:rsidP="000C0B4C">
            <w:pPr>
              <w:tabs>
                <w:tab w:val="decimal" w:pos="1276"/>
              </w:tabs>
              <w:spacing w:after="0" w:line="240" w:lineRule="auto"/>
              <w:jc w:val="right"/>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7F195559" w14:textId="77777777" w:rsidR="00E661CC" w:rsidRPr="0074154F" w:rsidRDefault="00E661CC" w:rsidP="000C0B4C">
            <w:pPr>
              <w:spacing w:after="0" w:line="240" w:lineRule="auto"/>
              <w:jc w:val="right"/>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09EC3657" w14:textId="27E42A23" w:rsidR="00E661CC" w:rsidRPr="0074154F" w:rsidRDefault="00E661CC" w:rsidP="000C0B4C">
            <w:pPr>
              <w:tabs>
                <w:tab w:val="decimal" w:pos="1276"/>
              </w:tabs>
              <w:spacing w:after="0" w:line="240" w:lineRule="auto"/>
              <w:jc w:val="right"/>
              <w:rPr>
                <w:rFonts w:ascii="Arial" w:eastAsia="Times New Roman" w:hAnsi="Arial" w:cs="Arial"/>
                <w:sz w:val="20"/>
                <w:szCs w:val="20"/>
                <w:lang w:eastAsia="es-EC"/>
              </w:rPr>
            </w:pPr>
          </w:p>
        </w:tc>
      </w:tr>
      <w:tr w:rsidR="00945B90" w:rsidRPr="0074154F" w14:paraId="606FD0C2" w14:textId="77777777" w:rsidTr="00945B90">
        <w:trPr>
          <w:trHeight w:val="283"/>
          <w:jc w:val="right"/>
        </w:trPr>
        <w:tc>
          <w:tcPr>
            <w:tcW w:w="5272" w:type="dxa"/>
            <w:tcBorders>
              <w:top w:val="nil"/>
            </w:tcBorders>
            <w:shd w:val="clear" w:color="auto" w:fill="auto"/>
            <w:noWrap/>
            <w:vAlign w:val="bottom"/>
          </w:tcPr>
          <w:p w14:paraId="6FD5E3D7" w14:textId="77777777" w:rsidR="00945B90" w:rsidRPr="0074154F" w:rsidRDefault="00945B90" w:rsidP="00945B90">
            <w:pPr>
              <w:spacing w:after="0" w:line="240" w:lineRule="auto"/>
              <w:ind w:left="-70"/>
              <w:rPr>
                <w:rFonts w:ascii="Arial" w:eastAsia="Times New Roman" w:hAnsi="Arial" w:cs="Arial"/>
                <w:color w:val="000000"/>
                <w:sz w:val="20"/>
                <w:szCs w:val="20"/>
                <w:lang w:eastAsia="es-EC"/>
              </w:rPr>
            </w:pPr>
          </w:p>
        </w:tc>
        <w:tc>
          <w:tcPr>
            <w:tcW w:w="1502" w:type="dxa"/>
            <w:tcBorders>
              <w:top w:val="nil"/>
              <w:bottom w:val="double" w:sz="4" w:space="0" w:color="auto"/>
            </w:tcBorders>
            <w:shd w:val="clear" w:color="auto" w:fill="auto"/>
            <w:noWrap/>
            <w:vAlign w:val="bottom"/>
          </w:tcPr>
          <w:p w14:paraId="7B92A603" w14:textId="4E2D6653" w:rsidR="00945B90" w:rsidRPr="0074154F" w:rsidRDefault="00945B90" w:rsidP="00945B90">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1,702,817</w:t>
            </w:r>
          </w:p>
        </w:tc>
        <w:tc>
          <w:tcPr>
            <w:tcW w:w="227" w:type="dxa"/>
            <w:tcBorders>
              <w:top w:val="nil"/>
              <w:bottom w:val="nil"/>
            </w:tcBorders>
            <w:shd w:val="clear" w:color="auto" w:fill="auto"/>
            <w:noWrap/>
            <w:vAlign w:val="bottom"/>
          </w:tcPr>
          <w:p w14:paraId="43F7CB7C" w14:textId="77777777" w:rsidR="00945B90" w:rsidRPr="0074154F" w:rsidRDefault="00945B90" w:rsidP="00945B90">
            <w:pPr>
              <w:spacing w:after="0" w:line="240" w:lineRule="auto"/>
              <w:jc w:val="right"/>
              <w:rPr>
                <w:rFonts w:ascii="Arial" w:eastAsia="Times New Roman" w:hAnsi="Arial" w:cs="Arial"/>
                <w:sz w:val="20"/>
                <w:szCs w:val="20"/>
                <w:lang w:eastAsia="es-EC"/>
              </w:rPr>
            </w:pPr>
          </w:p>
        </w:tc>
        <w:tc>
          <w:tcPr>
            <w:tcW w:w="1502" w:type="dxa"/>
            <w:tcBorders>
              <w:top w:val="nil"/>
              <w:bottom w:val="double" w:sz="4" w:space="0" w:color="auto"/>
            </w:tcBorders>
            <w:shd w:val="clear" w:color="auto" w:fill="auto"/>
            <w:noWrap/>
            <w:vAlign w:val="bottom"/>
          </w:tcPr>
          <w:p w14:paraId="14461A68" w14:textId="3EBB54EB" w:rsidR="00945B90" w:rsidRPr="0074154F" w:rsidRDefault="00945B90" w:rsidP="00945B90">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1,973,932</w:t>
            </w:r>
          </w:p>
        </w:tc>
      </w:tr>
      <w:tr w:rsidR="00945B90" w:rsidRPr="0074154F" w14:paraId="19769409" w14:textId="77777777" w:rsidTr="00945B90">
        <w:trPr>
          <w:trHeight w:val="283"/>
          <w:jc w:val="right"/>
        </w:trPr>
        <w:tc>
          <w:tcPr>
            <w:tcW w:w="5272" w:type="dxa"/>
            <w:tcBorders>
              <w:top w:val="nil"/>
            </w:tcBorders>
            <w:shd w:val="clear" w:color="auto" w:fill="auto"/>
            <w:noWrap/>
            <w:vAlign w:val="bottom"/>
          </w:tcPr>
          <w:p w14:paraId="74020AF4" w14:textId="77777777" w:rsidR="00945B90" w:rsidRPr="0074154F" w:rsidRDefault="00945B90" w:rsidP="00945B90">
            <w:pPr>
              <w:spacing w:after="0" w:line="240" w:lineRule="auto"/>
              <w:ind w:left="-70"/>
              <w:rPr>
                <w:rFonts w:ascii="Arial" w:eastAsia="Times New Roman" w:hAnsi="Arial" w:cs="Arial"/>
                <w:color w:val="000000"/>
                <w:sz w:val="20"/>
                <w:szCs w:val="20"/>
                <w:lang w:eastAsia="es-EC"/>
              </w:rPr>
            </w:pPr>
          </w:p>
        </w:tc>
        <w:tc>
          <w:tcPr>
            <w:tcW w:w="1502" w:type="dxa"/>
            <w:tcBorders>
              <w:top w:val="double" w:sz="4" w:space="0" w:color="auto"/>
              <w:bottom w:val="nil"/>
            </w:tcBorders>
            <w:shd w:val="clear" w:color="auto" w:fill="auto"/>
            <w:noWrap/>
            <w:vAlign w:val="bottom"/>
          </w:tcPr>
          <w:p w14:paraId="0D6B237C" w14:textId="77777777" w:rsidR="00945B90" w:rsidRPr="0074154F" w:rsidRDefault="00945B90" w:rsidP="00945B90">
            <w:pPr>
              <w:tabs>
                <w:tab w:val="decimal" w:pos="1276"/>
              </w:tabs>
              <w:spacing w:after="0" w:line="240" w:lineRule="auto"/>
              <w:jc w:val="right"/>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623D14CD" w14:textId="77777777" w:rsidR="00945B90" w:rsidRPr="0074154F" w:rsidRDefault="00945B90" w:rsidP="00945B90">
            <w:pPr>
              <w:spacing w:after="0" w:line="240" w:lineRule="auto"/>
              <w:jc w:val="right"/>
              <w:rPr>
                <w:rFonts w:ascii="Arial" w:eastAsia="Times New Roman" w:hAnsi="Arial" w:cs="Arial"/>
                <w:sz w:val="20"/>
                <w:szCs w:val="20"/>
                <w:lang w:eastAsia="es-EC"/>
              </w:rPr>
            </w:pPr>
          </w:p>
        </w:tc>
        <w:tc>
          <w:tcPr>
            <w:tcW w:w="1502" w:type="dxa"/>
            <w:tcBorders>
              <w:top w:val="double" w:sz="4" w:space="0" w:color="auto"/>
              <w:bottom w:val="nil"/>
            </w:tcBorders>
            <w:shd w:val="clear" w:color="auto" w:fill="auto"/>
            <w:noWrap/>
            <w:vAlign w:val="bottom"/>
          </w:tcPr>
          <w:p w14:paraId="5C53E49F" w14:textId="77777777" w:rsidR="00945B90" w:rsidRPr="0074154F" w:rsidRDefault="00945B90" w:rsidP="00945B90">
            <w:pPr>
              <w:tabs>
                <w:tab w:val="decimal" w:pos="1276"/>
              </w:tabs>
              <w:spacing w:after="0" w:line="240" w:lineRule="auto"/>
              <w:jc w:val="right"/>
              <w:rPr>
                <w:rFonts w:ascii="Arial" w:eastAsia="Times New Roman" w:hAnsi="Arial" w:cs="Arial"/>
                <w:sz w:val="20"/>
                <w:szCs w:val="20"/>
                <w:lang w:eastAsia="es-EC"/>
              </w:rPr>
            </w:pPr>
          </w:p>
        </w:tc>
      </w:tr>
      <w:tr w:rsidR="00945B90" w:rsidRPr="0074154F" w14:paraId="265A95C7" w14:textId="77777777" w:rsidTr="006E0A29">
        <w:trPr>
          <w:trHeight w:val="283"/>
          <w:jc w:val="right"/>
        </w:trPr>
        <w:tc>
          <w:tcPr>
            <w:tcW w:w="5272" w:type="dxa"/>
            <w:tcBorders>
              <w:top w:val="nil"/>
              <w:bottom w:val="nil"/>
            </w:tcBorders>
            <w:shd w:val="clear" w:color="auto" w:fill="auto"/>
            <w:noWrap/>
            <w:vAlign w:val="bottom"/>
          </w:tcPr>
          <w:p w14:paraId="0183360A" w14:textId="77777777" w:rsidR="00945B90" w:rsidRPr="0074154F" w:rsidRDefault="00945B90" w:rsidP="00945B9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i/>
                <w:color w:val="000000"/>
                <w:sz w:val="20"/>
                <w:szCs w:val="20"/>
                <w:u w:val="single"/>
                <w:lang w:eastAsia="es-EC"/>
              </w:rPr>
              <w:t>Pasivos por impuestos corrientes</w:t>
            </w:r>
            <w:r w:rsidRPr="0074154F">
              <w:rPr>
                <w:rFonts w:ascii="Arial" w:eastAsia="Times New Roman" w:hAnsi="Arial" w:cs="Arial"/>
                <w:color w:val="000000"/>
                <w:sz w:val="20"/>
                <w:szCs w:val="20"/>
                <w:lang w:eastAsia="es-EC"/>
              </w:rPr>
              <w:t>:</w:t>
            </w:r>
          </w:p>
        </w:tc>
        <w:tc>
          <w:tcPr>
            <w:tcW w:w="1502" w:type="dxa"/>
            <w:tcBorders>
              <w:top w:val="nil"/>
              <w:bottom w:val="nil"/>
            </w:tcBorders>
            <w:shd w:val="clear" w:color="auto" w:fill="auto"/>
            <w:noWrap/>
            <w:vAlign w:val="bottom"/>
          </w:tcPr>
          <w:p w14:paraId="21BCBC95" w14:textId="77777777"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p>
        </w:tc>
        <w:tc>
          <w:tcPr>
            <w:tcW w:w="227" w:type="dxa"/>
            <w:tcBorders>
              <w:top w:val="nil"/>
              <w:bottom w:val="nil"/>
            </w:tcBorders>
            <w:shd w:val="clear" w:color="auto" w:fill="auto"/>
            <w:noWrap/>
            <w:vAlign w:val="bottom"/>
          </w:tcPr>
          <w:p w14:paraId="609B5447"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nil"/>
              <w:bottom w:val="nil"/>
            </w:tcBorders>
            <w:shd w:val="clear" w:color="auto" w:fill="auto"/>
            <w:noWrap/>
            <w:vAlign w:val="bottom"/>
          </w:tcPr>
          <w:p w14:paraId="41FD1D51" w14:textId="77777777"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p>
        </w:tc>
      </w:tr>
      <w:tr w:rsidR="00945B90" w:rsidRPr="0074154F" w14:paraId="677B4140" w14:textId="77777777" w:rsidTr="006E0A29">
        <w:trPr>
          <w:trHeight w:val="283"/>
          <w:jc w:val="right"/>
        </w:trPr>
        <w:tc>
          <w:tcPr>
            <w:tcW w:w="5272" w:type="dxa"/>
            <w:tcBorders>
              <w:top w:val="nil"/>
              <w:bottom w:val="nil"/>
            </w:tcBorders>
            <w:shd w:val="clear" w:color="auto" w:fill="auto"/>
            <w:noWrap/>
            <w:vAlign w:val="bottom"/>
          </w:tcPr>
          <w:p w14:paraId="418C756D" w14:textId="07A98F8F" w:rsidR="00945B90" w:rsidRPr="0074154F" w:rsidRDefault="00945B90" w:rsidP="00945B90">
            <w:pPr>
              <w:spacing w:after="0" w:line="240" w:lineRule="auto"/>
              <w:ind w:left="-70"/>
              <w:rPr>
                <w:rFonts w:ascii="Arial" w:eastAsia="Times New Roman" w:hAnsi="Arial" w:cs="Arial"/>
                <w:i/>
                <w:color w:val="000000"/>
                <w:sz w:val="20"/>
                <w:szCs w:val="20"/>
                <w:u w:val="single"/>
                <w:lang w:eastAsia="es-EC"/>
              </w:rPr>
            </w:pPr>
            <w:r w:rsidRPr="0074154F">
              <w:rPr>
                <w:rFonts w:ascii="Arial" w:eastAsia="Times New Roman" w:hAnsi="Arial" w:cs="Arial"/>
                <w:color w:val="000000"/>
                <w:sz w:val="20"/>
                <w:szCs w:val="20"/>
                <w:lang w:val="es-MX" w:eastAsia="es-MX"/>
              </w:rPr>
              <w:t xml:space="preserve">   Impuesto al Valor Agregado (IVA)</w:t>
            </w:r>
          </w:p>
        </w:tc>
        <w:tc>
          <w:tcPr>
            <w:tcW w:w="1502" w:type="dxa"/>
            <w:tcBorders>
              <w:top w:val="nil"/>
              <w:bottom w:val="nil"/>
            </w:tcBorders>
            <w:shd w:val="clear" w:color="auto" w:fill="auto"/>
            <w:noWrap/>
            <w:vAlign w:val="bottom"/>
          </w:tcPr>
          <w:p w14:paraId="4481B7A1" w14:textId="0EF51E8B"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4,378,458</w:t>
            </w:r>
          </w:p>
        </w:tc>
        <w:tc>
          <w:tcPr>
            <w:tcW w:w="227" w:type="dxa"/>
            <w:tcBorders>
              <w:top w:val="nil"/>
              <w:bottom w:val="nil"/>
            </w:tcBorders>
            <w:shd w:val="clear" w:color="auto" w:fill="auto"/>
            <w:noWrap/>
            <w:vAlign w:val="bottom"/>
          </w:tcPr>
          <w:p w14:paraId="3F6E7DF2"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nil"/>
              <w:bottom w:val="nil"/>
            </w:tcBorders>
            <w:shd w:val="clear" w:color="auto" w:fill="auto"/>
            <w:noWrap/>
            <w:vAlign w:val="bottom"/>
          </w:tcPr>
          <w:p w14:paraId="0CE27A52" w14:textId="6CA179CF"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3,869,964</w:t>
            </w:r>
          </w:p>
        </w:tc>
      </w:tr>
      <w:tr w:rsidR="00945B90" w:rsidRPr="0074154F" w14:paraId="6AAF2B76" w14:textId="77777777" w:rsidTr="006E0A29">
        <w:trPr>
          <w:trHeight w:val="283"/>
          <w:jc w:val="right"/>
        </w:trPr>
        <w:tc>
          <w:tcPr>
            <w:tcW w:w="5272" w:type="dxa"/>
            <w:tcBorders>
              <w:top w:val="nil"/>
            </w:tcBorders>
            <w:shd w:val="clear" w:color="auto" w:fill="auto"/>
            <w:noWrap/>
            <w:vAlign w:val="bottom"/>
          </w:tcPr>
          <w:p w14:paraId="7C30B59A" w14:textId="1546CC9B" w:rsidR="00945B90" w:rsidRPr="0074154F" w:rsidRDefault="00945B90" w:rsidP="00945B9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 xml:space="preserve">   Impuesto a la renta por pagar</w:t>
            </w:r>
          </w:p>
        </w:tc>
        <w:tc>
          <w:tcPr>
            <w:tcW w:w="1502" w:type="dxa"/>
            <w:tcBorders>
              <w:top w:val="nil"/>
            </w:tcBorders>
            <w:shd w:val="clear" w:color="auto" w:fill="auto"/>
            <w:noWrap/>
            <w:vAlign w:val="bottom"/>
          </w:tcPr>
          <w:p w14:paraId="73B3CBA1" w14:textId="26422645"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3,875,828</w:t>
            </w:r>
          </w:p>
        </w:tc>
        <w:tc>
          <w:tcPr>
            <w:tcW w:w="227" w:type="dxa"/>
            <w:tcBorders>
              <w:top w:val="nil"/>
            </w:tcBorders>
            <w:shd w:val="clear" w:color="auto" w:fill="auto"/>
            <w:noWrap/>
            <w:vAlign w:val="bottom"/>
          </w:tcPr>
          <w:p w14:paraId="5397D4E6"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nil"/>
            </w:tcBorders>
            <w:shd w:val="clear" w:color="auto" w:fill="auto"/>
            <w:noWrap/>
            <w:vAlign w:val="bottom"/>
          </w:tcPr>
          <w:p w14:paraId="02CF6DAD" w14:textId="38977594"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4,164,365</w:t>
            </w:r>
          </w:p>
        </w:tc>
      </w:tr>
      <w:tr w:rsidR="00945B90" w:rsidRPr="0074154F" w14:paraId="7BB4CF66" w14:textId="77777777" w:rsidTr="004132E5">
        <w:trPr>
          <w:trHeight w:val="283"/>
          <w:jc w:val="right"/>
        </w:trPr>
        <w:tc>
          <w:tcPr>
            <w:tcW w:w="5272" w:type="dxa"/>
            <w:shd w:val="clear" w:color="auto" w:fill="auto"/>
            <w:noWrap/>
            <w:vAlign w:val="bottom"/>
          </w:tcPr>
          <w:p w14:paraId="5D232EC0" w14:textId="17598EAE" w:rsidR="00945B90" w:rsidRPr="0074154F" w:rsidRDefault="00945B90" w:rsidP="00945B9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 xml:space="preserve">   Retenciones en la fuente de impuesto a la renta </w:t>
            </w:r>
          </w:p>
        </w:tc>
        <w:tc>
          <w:tcPr>
            <w:tcW w:w="1502" w:type="dxa"/>
            <w:tcBorders>
              <w:bottom w:val="nil"/>
            </w:tcBorders>
            <w:shd w:val="clear" w:color="auto" w:fill="auto"/>
            <w:noWrap/>
            <w:vAlign w:val="bottom"/>
          </w:tcPr>
          <w:p w14:paraId="29C56746" w14:textId="1D79F20D"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1,291,642</w:t>
            </w:r>
          </w:p>
        </w:tc>
        <w:tc>
          <w:tcPr>
            <w:tcW w:w="227" w:type="dxa"/>
            <w:tcBorders>
              <w:bottom w:val="nil"/>
            </w:tcBorders>
            <w:shd w:val="clear" w:color="auto" w:fill="auto"/>
            <w:noWrap/>
            <w:vAlign w:val="bottom"/>
          </w:tcPr>
          <w:p w14:paraId="1517B502"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bottom w:val="nil"/>
            </w:tcBorders>
            <w:shd w:val="clear" w:color="auto" w:fill="auto"/>
            <w:noWrap/>
            <w:vAlign w:val="bottom"/>
          </w:tcPr>
          <w:p w14:paraId="4987D9A1" w14:textId="7B6E4290"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673,039</w:t>
            </w:r>
          </w:p>
        </w:tc>
      </w:tr>
      <w:tr w:rsidR="00945B90" w:rsidRPr="0074154F" w14:paraId="737D5C5A" w14:textId="77777777" w:rsidTr="004132E5">
        <w:trPr>
          <w:trHeight w:val="283"/>
          <w:jc w:val="right"/>
        </w:trPr>
        <w:tc>
          <w:tcPr>
            <w:tcW w:w="5272" w:type="dxa"/>
            <w:shd w:val="clear" w:color="auto" w:fill="auto"/>
            <w:noWrap/>
            <w:vAlign w:val="bottom"/>
          </w:tcPr>
          <w:p w14:paraId="130F7C2E" w14:textId="1B273F7D" w:rsidR="00945B90" w:rsidRPr="0074154F" w:rsidRDefault="00945B90" w:rsidP="00945B90">
            <w:pPr>
              <w:spacing w:after="0" w:line="240" w:lineRule="auto"/>
              <w:ind w:left="72"/>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Provisión retención fuente</w:t>
            </w:r>
          </w:p>
        </w:tc>
        <w:tc>
          <w:tcPr>
            <w:tcW w:w="1502" w:type="dxa"/>
            <w:tcBorders>
              <w:top w:val="nil"/>
              <w:bottom w:val="single" w:sz="6" w:space="0" w:color="auto"/>
            </w:tcBorders>
            <w:shd w:val="clear" w:color="auto" w:fill="auto"/>
            <w:noWrap/>
            <w:vAlign w:val="bottom"/>
          </w:tcPr>
          <w:p w14:paraId="541BBA4A" w14:textId="1E09CE4F"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158,703</w:t>
            </w:r>
          </w:p>
        </w:tc>
        <w:tc>
          <w:tcPr>
            <w:tcW w:w="227" w:type="dxa"/>
            <w:tcBorders>
              <w:top w:val="nil"/>
              <w:bottom w:val="nil"/>
            </w:tcBorders>
            <w:shd w:val="clear" w:color="auto" w:fill="auto"/>
            <w:noWrap/>
            <w:vAlign w:val="bottom"/>
          </w:tcPr>
          <w:p w14:paraId="46C690F5"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nil"/>
              <w:bottom w:val="single" w:sz="6" w:space="0" w:color="auto"/>
            </w:tcBorders>
            <w:shd w:val="clear" w:color="auto" w:fill="auto"/>
            <w:noWrap/>
            <w:vAlign w:val="bottom"/>
          </w:tcPr>
          <w:p w14:paraId="4AB3EC4E" w14:textId="6453359C"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213,877</w:t>
            </w:r>
          </w:p>
        </w:tc>
      </w:tr>
      <w:tr w:rsidR="00945B90" w:rsidRPr="0074154F" w14:paraId="200C2EF7" w14:textId="77777777" w:rsidTr="004132E5">
        <w:trPr>
          <w:trHeight w:val="101"/>
          <w:jc w:val="right"/>
        </w:trPr>
        <w:tc>
          <w:tcPr>
            <w:tcW w:w="5272" w:type="dxa"/>
            <w:tcBorders>
              <w:bottom w:val="nil"/>
            </w:tcBorders>
            <w:shd w:val="clear" w:color="auto" w:fill="auto"/>
            <w:noWrap/>
            <w:vAlign w:val="bottom"/>
          </w:tcPr>
          <w:p w14:paraId="51491EF9" w14:textId="77777777" w:rsidR="00945B90" w:rsidRPr="0074154F" w:rsidRDefault="00945B90" w:rsidP="00945B90">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bottom w:val="nil"/>
            </w:tcBorders>
            <w:shd w:val="clear" w:color="auto" w:fill="auto"/>
            <w:noWrap/>
            <w:vAlign w:val="bottom"/>
          </w:tcPr>
          <w:p w14:paraId="7D360B1F" w14:textId="3E327606"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p>
        </w:tc>
        <w:tc>
          <w:tcPr>
            <w:tcW w:w="227" w:type="dxa"/>
            <w:tcBorders>
              <w:top w:val="nil"/>
              <w:bottom w:val="nil"/>
            </w:tcBorders>
            <w:shd w:val="clear" w:color="auto" w:fill="auto"/>
            <w:noWrap/>
            <w:vAlign w:val="bottom"/>
          </w:tcPr>
          <w:p w14:paraId="1D55AE35"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single" w:sz="6" w:space="0" w:color="auto"/>
              <w:bottom w:val="nil"/>
            </w:tcBorders>
            <w:shd w:val="clear" w:color="auto" w:fill="auto"/>
            <w:noWrap/>
            <w:vAlign w:val="bottom"/>
          </w:tcPr>
          <w:p w14:paraId="7B08EA29" w14:textId="77777777"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p>
        </w:tc>
      </w:tr>
      <w:tr w:rsidR="00945B90" w:rsidRPr="0074154F" w14:paraId="1341F454" w14:textId="77777777" w:rsidTr="00C67EFD">
        <w:trPr>
          <w:trHeight w:val="283"/>
          <w:jc w:val="right"/>
        </w:trPr>
        <w:tc>
          <w:tcPr>
            <w:tcW w:w="5272" w:type="dxa"/>
            <w:tcBorders>
              <w:bottom w:val="nil"/>
            </w:tcBorders>
            <w:shd w:val="clear" w:color="auto" w:fill="auto"/>
            <w:noWrap/>
            <w:vAlign w:val="bottom"/>
          </w:tcPr>
          <w:p w14:paraId="0E728E2E" w14:textId="77777777" w:rsidR="00945B90" w:rsidRPr="0074154F" w:rsidRDefault="00945B90" w:rsidP="00945B90">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top w:val="nil"/>
              <w:bottom w:val="double" w:sz="4" w:space="0" w:color="auto"/>
            </w:tcBorders>
            <w:shd w:val="clear" w:color="auto" w:fill="auto"/>
            <w:noWrap/>
            <w:vAlign w:val="bottom"/>
          </w:tcPr>
          <w:p w14:paraId="5BC52305" w14:textId="4D4F8BDD"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9,704,631</w:t>
            </w:r>
          </w:p>
        </w:tc>
        <w:tc>
          <w:tcPr>
            <w:tcW w:w="227" w:type="dxa"/>
            <w:tcBorders>
              <w:bottom w:val="nil"/>
            </w:tcBorders>
            <w:shd w:val="clear" w:color="auto" w:fill="auto"/>
            <w:noWrap/>
            <w:vAlign w:val="bottom"/>
          </w:tcPr>
          <w:p w14:paraId="34DD6C61" w14:textId="77777777" w:rsidR="00945B90" w:rsidRPr="0074154F" w:rsidRDefault="00945B90" w:rsidP="00945B90">
            <w:pPr>
              <w:spacing w:after="0" w:line="240" w:lineRule="auto"/>
              <w:jc w:val="right"/>
              <w:rPr>
                <w:rFonts w:ascii="Arial" w:eastAsia="Times New Roman" w:hAnsi="Arial" w:cs="Arial"/>
                <w:color w:val="000000"/>
                <w:sz w:val="20"/>
                <w:szCs w:val="20"/>
                <w:lang w:eastAsia="es-EC"/>
              </w:rPr>
            </w:pPr>
          </w:p>
        </w:tc>
        <w:tc>
          <w:tcPr>
            <w:tcW w:w="1502" w:type="dxa"/>
            <w:tcBorders>
              <w:top w:val="nil"/>
            </w:tcBorders>
            <w:shd w:val="clear" w:color="auto" w:fill="auto"/>
            <w:noWrap/>
            <w:vAlign w:val="bottom"/>
          </w:tcPr>
          <w:p w14:paraId="2D939EDB" w14:textId="4BD51302" w:rsidR="00945B90" w:rsidRPr="0074154F" w:rsidRDefault="00945B90" w:rsidP="00945B90">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8,921,245</w:t>
            </w:r>
          </w:p>
        </w:tc>
      </w:tr>
    </w:tbl>
    <w:p w14:paraId="71C742E1" w14:textId="77777777" w:rsidR="00273B65" w:rsidRPr="0074154F" w:rsidRDefault="00273B65" w:rsidP="00867821">
      <w:pPr>
        <w:spacing w:after="0" w:line="240" w:lineRule="auto"/>
        <w:ind w:left="1134"/>
        <w:contextualSpacing/>
        <w:jc w:val="both"/>
        <w:rPr>
          <w:rFonts w:ascii="Arial" w:hAnsi="Arial" w:cs="Arial"/>
          <w:sz w:val="20"/>
          <w:szCs w:val="20"/>
        </w:rPr>
      </w:pPr>
      <w:bookmarkStart w:id="15" w:name="_Hlk66377979"/>
    </w:p>
    <w:p w14:paraId="4DEDE3EE" w14:textId="045DA74E" w:rsidR="00867821" w:rsidRPr="0074154F" w:rsidRDefault="00867821" w:rsidP="00867821">
      <w:pPr>
        <w:spacing w:after="0" w:line="240" w:lineRule="auto"/>
        <w:ind w:left="1134"/>
        <w:contextualSpacing/>
        <w:jc w:val="both"/>
        <w:rPr>
          <w:rFonts w:ascii="Arial" w:hAnsi="Arial" w:cs="Arial"/>
          <w:sz w:val="20"/>
          <w:szCs w:val="20"/>
        </w:rPr>
      </w:pPr>
      <w:r w:rsidRPr="0074154F">
        <w:rPr>
          <w:rFonts w:ascii="Arial" w:hAnsi="Arial" w:cs="Arial"/>
          <w:sz w:val="20"/>
          <w:szCs w:val="20"/>
        </w:rPr>
        <w:t xml:space="preserve">Los ingresos </w:t>
      </w:r>
      <w:r w:rsidRPr="0074154F">
        <w:rPr>
          <w:rFonts w:ascii="Arial" w:eastAsia="Times New Roman" w:hAnsi="Arial" w:cs="Arial"/>
          <w:sz w:val="20"/>
          <w:szCs w:val="20"/>
        </w:rPr>
        <w:t>gravables</w:t>
      </w:r>
      <w:r w:rsidRPr="0074154F">
        <w:rPr>
          <w:rFonts w:ascii="Arial" w:hAnsi="Arial" w:cs="Arial"/>
          <w:sz w:val="20"/>
          <w:szCs w:val="20"/>
        </w:rPr>
        <w:t xml:space="preserve"> obtenidos por sociedades constituidas en el Ecuador, así como por las sucursales de sociedades extranjeras domiciliadas en el país y los establecimientos permanentes de sociedades extranjeras no domiciliadas en el país, aplicarán la tarifa del 25% sobre su base imponible. No obstante, la tarifa impositiva será la correspondiente a sociedades más tres (3) puntos porcentuales cuando: </w:t>
      </w:r>
    </w:p>
    <w:p w14:paraId="3A4DEEF0" w14:textId="77777777" w:rsidR="00867821" w:rsidRPr="0074154F" w:rsidRDefault="00867821" w:rsidP="00867821">
      <w:pPr>
        <w:pStyle w:val="ListParagraph"/>
        <w:spacing w:after="0" w:line="240" w:lineRule="auto"/>
        <w:rPr>
          <w:rFonts w:ascii="Arial" w:hAnsi="Arial" w:cs="Arial"/>
          <w:sz w:val="20"/>
          <w:szCs w:val="20"/>
        </w:rPr>
      </w:pPr>
    </w:p>
    <w:p w14:paraId="5AD43FFB" w14:textId="09CAE6B3" w:rsidR="00867821" w:rsidRDefault="00867821" w:rsidP="00867821">
      <w:pPr>
        <w:pStyle w:val="Bodycopyhanging"/>
        <w:numPr>
          <w:ilvl w:val="0"/>
          <w:numId w:val="11"/>
        </w:numPr>
        <w:spacing w:before="0" w:line="240" w:lineRule="auto"/>
        <w:ind w:left="1418" w:hanging="284"/>
        <w:jc w:val="both"/>
        <w:rPr>
          <w:color w:val="auto"/>
          <w:sz w:val="20"/>
          <w:szCs w:val="20"/>
          <w:lang w:val="es-EC"/>
        </w:rPr>
      </w:pPr>
      <w:r w:rsidRPr="0074154F">
        <w:rPr>
          <w:color w:val="auto"/>
          <w:sz w:val="20"/>
          <w:szCs w:val="20"/>
          <w:lang w:val="es-EC"/>
        </w:rPr>
        <w:t>Las sociedades tengan accionistas, socios, partícipes, sobre cuya composición accionaria se haya incumplido el deber de informar de acuerdo con lo establecido en la Ley.</w:t>
      </w:r>
    </w:p>
    <w:p w14:paraId="4801151A" w14:textId="77777777" w:rsidR="00BC7CE5" w:rsidRPr="0074154F" w:rsidRDefault="00BC7CE5" w:rsidP="00BC7CE5">
      <w:pPr>
        <w:pStyle w:val="Bodycopyhanging"/>
        <w:spacing w:before="0" w:line="240" w:lineRule="auto"/>
        <w:ind w:left="1418" w:firstLine="0"/>
        <w:jc w:val="both"/>
        <w:rPr>
          <w:color w:val="auto"/>
          <w:sz w:val="20"/>
          <w:szCs w:val="20"/>
          <w:lang w:val="es-EC"/>
        </w:rPr>
      </w:pPr>
    </w:p>
    <w:p w14:paraId="024E9AA7" w14:textId="4A41DA43" w:rsidR="00867821" w:rsidRPr="0074154F" w:rsidRDefault="00867821" w:rsidP="00867821">
      <w:pPr>
        <w:pStyle w:val="Bodycopyhanging"/>
        <w:numPr>
          <w:ilvl w:val="0"/>
          <w:numId w:val="11"/>
        </w:numPr>
        <w:spacing w:before="0" w:line="240" w:lineRule="auto"/>
        <w:ind w:left="1418" w:hanging="284"/>
        <w:jc w:val="both"/>
        <w:rPr>
          <w:color w:val="auto"/>
          <w:sz w:val="20"/>
          <w:szCs w:val="20"/>
          <w:lang w:val="es-EC"/>
        </w:rPr>
      </w:pPr>
      <w:r w:rsidRPr="0074154F">
        <w:rPr>
          <w:color w:val="auto"/>
          <w:sz w:val="20"/>
          <w:szCs w:val="20"/>
          <w:lang w:val="es-EC"/>
        </w:rPr>
        <w:t>Dentro de la cadena de propiedad de los respectivos derechos representativos de capital, exista un titular residente, establecido o amparado en un paraíso fiscal, jurisdicción de menor imposición o régimen fiscal preferente y el beneficiario efectivo es residente fiscal del Ecuador.</w:t>
      </w:r>
    </w:p>
    <w:p w14:paraId="1C8FA3AE" w14:textId="74705D0F" w:rsidR="00867821" w:rsidRPr="0074154F" w:rsidRDefault="00867821" w:rsidP="00867821">
      <w:pPr>
        <w:pStyle w:val="Bodycopyhanging"/>
        <w:spacing w:before="0" w:line="240" w:lineRule="auto"/>
        <w:ind w:left="1353" w:firstLine="0"/>
        <w:jc w:val="center"/>
        <w:rPr>
          <w:b/>
          <w:color w:val="auto"/>
          <w:sz w:val="20"/>
          <w:szCs w:val="20"/>
          <w:lang w:val="es-EC"/>
        </w:rPr>
      </w:pPr>
    </w:p>
    <w:p w14:paraId="23E00F9C" w14:textId="4D8707BB" w:rsidR="00867821" w:rsidRPr="0074154F" w:rsidRDefault="00867821" w:rsidP="00867821">
      <w:pPr>
        <w:ind w:left="1134"/>
        <w:jc w:val="both"/>
        <w:rPr>
          <w:lang w:val="es-ES_tradnl"/>
        </w:rPr>
      </w:pPr>
      <w:r w:rsidRPr="0074154F">
        <w:rPr>
          <w:rFonts w:ascii="Arial" w:hAnsi="Arial" w:cs="Arial"/>
          <w:sz w:val="20"/>
          <w:szCs w:val="20"/>
        </w:rPr>
        <w:t>La adición de tres (3) puntos porcentuales aplicará a toda la base imponible de la sociedad, cuando el porcentaje de participación de accionistas, socios, participes, constituyentes, beneficiarios o similares, por quienes se haya incurrido en cualquiera de las causales referidas en este artículo sea igual o superior al 50% del capital social o de aquel que corresponda a la naturaleza de la sociedad. Cuando la mencionada participación sea inferior al 50%), la tarifa correspondiente a sociedades más tres (3).</w:t>
      </w:r>
      <w:bookmarkEnd w:id="15"/>
    </w:p>
    <w:p w14:paraId="3692229C" w14:textId="01115587" w:rsidR="00682A02" w:rsidRPr="002B7C12" w:rsidRDefault="00061D1C" w:rsidP="003C2B5A">
      <w:pPr>
        <w:pStyle w:val="Heading1"/>
        <w:tabs>
          <w:tab w:val="clear" w:pos="6960"/>
          <w:tab w:val="clear" w:pos="7800"/>
          <w:tab w:val="clear" w:pos="8280"/>
          <w:tab w:val="left" w:pos="7655"/>
        </w:tabs>
        <w:ind w:left="567"/>
        <w:jc w:val="both"/>
        <w:rPr>
          <w:rFonts w:ascii="Arial" w:hAnsi="Arial" w:cs="Arial"/>
          <w:bCs/>
          <w:sz w:val="20"/>
          <w:u w:val="single"/>
        </w:rPr>
      </w:pPr>
      <w:r w:rsidRPr="002B7C12">
        <w:rPr>
          <w:rFonts w:ascii="Arial" w:hAnsi="Arial" w:cs="Arial"/>
          <w:bCs/>
          <w:sz w:val="20"/>
          <w:u w:val="single"/>
        </w:rPr>
        <w:t>Impuestos diferidos</w:t>
      </w:r>
    </w:p>
    <w:p w14:paraId="110AC1CF" w14:textId="77777777" w:rsidR="00D25C9C" w:rsidRPr="00BC7CE5" w:rsidRDefault="00D25C9C" w:rsidP="00D25C9C">
      <w:pPr>
        <w:rPr>
          <w:sz w:val="6"/>
          <w:szCs w:val="6"/>
          <w:highlight w:val="yellow"/>
          <w:lang w:val="es-ES_tradnl"/>
        </w:rPr>
      </w:pPr>
    </w:p>
    <w:p w14:paraId="20A6DE03" w14:textId="74CB7012" w:rsidR="003C2B5A" w:rsidRDefault="003C2B5A" w:rsidP="003C2B5A">
      <w:pPr>
        <w:ind w:left="567"/>
        <w:jc w:val="both"/>
        <w:rPr>
          <w:rFonts w:ascii="Arial" w:hAnsi="Arial" w:cs="Arial"/>
          <w:sz w:val="20"/>
          <w:szCs w:val="20"/>
          <w:lang w:val="es-ES_tradnl"/>
        </w:rPr>
      </w:pPr>
      <w:r>
        <w:rPr>
          <w:rFonts w:ascii="Arial" w:hAnsi="Arial" w:cs="Arial"/>
          <w:sz w:val="20"/>
          <w:szCs w:val="20"/>
          <w:lang w:val="es-ES_tradnl"/>
        </w:rPr>
        <w:t xml:space="preserve">Al 31 de diciembre del 2020, corresponden a diferencias temporarias, que surgen de la provisión de jubilación patronal y desahucio y gastos de depreciaciones </w:t>
      </w:r>
      <w:proofErr w:type="gramStart"/>
      <w:r>
        <w:rPr>
          <w:rFonts w:ascii="Arial" w:hAnsi="Arial" w:cs="Arial"/>
          <w:sz w:val="20"/>
          <w:szCs w:val="20"/>
          <w:lang w:val="es-ES_tradnl"/>
        </w:rPr>
        <w:t>e</w:t>
      </w:r>
      <w:proofErr w:type="gramEnd"/>
      <w:r>
        <w:rPr>
          <w:rFonts w:ascii="Arial" w:hAnsi="Arial" w:cs="Arial"/>
          <w:sz w:val="20"/>
          <w:szCs w:val="20"/>
          <w:lang w:val="es-ES_tradnl"/>
        </w:rPr>
        <w:t xml:space="preserve"> conformidad es como sigue: </w:t>
      </w:r>
    </w:p>
    <w:tbl>
      <w:tblPr>
        <w:tblW w:w="9133" w:type="dxa"/>
        <w:tblCellMar>
          <w:left w:w="70" w:type="dxa"/>
          <w:right w:w="70" w:type="dxa"/>
        </w:tblCellMar>
        <w:tblLook w:val="04A0" w:firstRow="1" w:lastRow="0" w:firstColumn="1" w:lastColumn="0" w:noHBand="0" w:noVBand="1"/>
      </w:tblPr>
      <w:tblGrid>
        <w:gridCol w:w="567"/>
        <w:gridCol w:w="5245"/>
        <w:gridCol w:w="1559"/>
        <w:gridCol w:w="284"/>
        <w:gridCol w:w="1478"/>
      </w:tblGrid>
      <w:tr w:rsidR="00D801E0" w:rsidRPr="00810CBA" w14:paraId="2E5CDD3E" w14:textId="77777777" w:rsidTr="003F2703">
        <w:trPr>
          <w:trHeight w:val="300"/>
        </w:trPr>
        <w:tc>
          <w:tcPr>
            <w:tcW w:w="567" w:type="dxa"/>
            <w:tcBorders>
              <w:top w:val="nil"/>
              <w:left w:val="nil"/>
              <w:bottom w:val="nil"/>
              <w:right w:val="nil"/>
            </w:tcBorders>
          </w:tcPr>
          <w:p w14:paraId="3A76E33A" w14:textId="77777777" w:rsidR="00D801E0" w:rsidRPr="00810CBA" w:rsidRDefault="00D801E0" w:rsidP="003F2703">
            <w:pPr>
              <w:spacing w:after="0" w:line="240" w:lineRule="auto"/>
              <w:rPr>
                <w:rFonts w:ascii="Arial" w:eastAsia="Times New Roman" w:hAnsi="Arial" w:cs="Arial"/>
                <w:b/>
                <w:bCs/>
                <w:color w:val="000000"/>
                <w:sz w:val="20"/>
                <w:szCs w:val="20"/>
                <w:u w:val="single"/>
                <w:lang w:eastAsia="es-EC"/>
              </w:rPr>
            </w:pPr>
          </w:p>
        </w:tc>
        <w:tc>
          <w:tcPr>
            <w:tcW w:w="5245" w:type="dxa"/>
            <w:tcBorders>
              <w:top w:val="nil"/>
              <w:left w:val="nil"/>
              <w:bottom w:val="nil"/>
              <w:right w:val="nil"/>
            </w:tcBorders>
            <w:shd w:val="clear" w:color="auto" w:fill="auto"/>
            <w:noWrap/>
            <w:vAlign w:val="center"/>
            <w:hideMark/>
          </w:tcPr>
          <w:p w14:paraId="7DF7F492" w14:textId="77777777" w:rsidR="00D801E0" w:rsidRPr="00810CBA" w:rsidRDefault="00D801E0" w:rsidP="003F2703">
            <w:pPr>
              <w:spacing w:after="0" w:line="240" w:lineRule="auto"/>
              <w:rPr>
                <w:rFonts w:ascii="Arial" w:eastAsia="Times New Roman" w:hAnsi="Arial" w:cs="Arial"/>
                <w:b/>
                <w:bCs/>
                <w:color w:val="000000"/>
                <w:sz w:val="20"/>
                <w:szCs w:val="20"/>
                <w:u w:val="single"/>
                <w:lang w:eastAsia="es-EC"/>
              </w:rPr>
            </w:pPr>
          </w:p>
        </w:tc>
        <w:tc>
          <w:tcPr>
            <w:tcW w:w="1559" w:type="dxa"/>
            <w:tcBorders>
              <w:top w:val="nil"/>
              <w:left w:val="nil"/>
              <w:bottom w:val="single" w:sz="8" w:space="0" w:color="auto"/>
              <w:right w:val="nil"/>
            </w:tcBorders>
            <w:shd w:val="clear" w:color="auto" w:fill="auto"/>
            <w:noWrap/>
            <w:vAlign w:val="center"/>
            <w:hideMark/>
          </w:tcPr>
          <w:p w14:paraId="2C6E7057" w14:textId="77777777" w:rsidR="00D801E0" w:rsidRPr="007F09FE" w:rsidRDefault="00D801E0" w:rsidP="003F2703">
            <w:pPr>
              <w:spacing w:after="0" w:line="240" w:lineRule="auto"/>
              <w:jc w:val="right"/>
              <w:rPr>
                <w:rFonts w:ascii="Arial" w:eastAsia="Times New Roman" w:hAnsi="Arial" w:cs="Arial"/>
                <w:b/>
                <w:bCs/>
                <w:color w:val="000000"/>
                <w:sz w:val="20"/>
                <w:szCs w:val="20"/>
                <w:lang w:eastAsia="es-EC"/>
              </w:rPr>
            </w:pPr>
            <w:r w:rsidRPr="007F09FE">
              <w:rPr>
                <w:rFonts w:ascii="Arial" w:eastAsia="Times New Roman" w:hAnsi="Arial" w:cs="Arial"/>
                <w:b/>
                <w:bCs/>
                <w:color w:val="000000"/>
                <w:sz w:val="20"/>
                <w:szCs w:val="20"/>
                <w:lang w:eastAsia="es-EC"/>
              </w:rPr>
              <w:t>31/12/2020</w:t>
            </w:r>
          </w:p>
        </w:tc>
        <w:tc>
          <w:tcPr>
            <w:tcW w:w="284" w:type="dxa"/>
            <w:tcBorders>
              <w:top w:val="nil"/>
              <w:left w:val="nil"/>
              <w:bottom w:val="nil"/>
              <w:right w:val="nil"/>
            </w:tcBorders>
            <w:shd w:val="clear" w:color="auto" w:fill="auto"/>
            <w:noWrap/>
            <w:vAlign w:val="center"/>
            <w:hideMark/>
          </w:tcPr>
          <w:p w14:paraId="23D87147" w14:textId="77777777" w:rsidR="00D801E0" w:rsidRPr="00810CBA" w:rsidRDefault="00D801E0" w:rsidP="003F2703">
            <w:pPr>
              <w:spacing w:after="0" w:line="240" w:lineRule="auto"/>
              <w:jc w:val="right"/>
              <w:rPr>
                <w:rFonts w:ascii="Arial" w:eastAsia="Times New Roman" w:hAnsi="Arial" w:cs="Arial"/>
                <w:b/>
                <w:bCs/>
                <w:color w:val="000000"/>
                <w:sz w:val="20"/>
                <w:szCs w:val="20"/>
                <w:u w:val="single"/>
                <w:lang w:eastAsia="es-EC"/>
              </w:rPr>
            </w:pPr>
          </w:p>
        </w:tc>
        <w:tc>
          <w:tcPr>
            <w:tcW w:w="1478" w:type="dxa"/>
            <w:tcBorders>
              <w:top w:val="nil"/>
              <w:left w:val="nil"/>
              <w:bottom w:val="single" w:sz="8" w:space="0" w:color="auto"/>
              <w:right w:val="nil"/>
            </w:tcBorders>
            <w:shd w:val="clear" w:color="auto" w:fill="auto"/>
            <w:noWrap/>
            <w:vAlign w:val="center"/>
            <w:hideMark/>
          </w:tcPr>
          <w:p w14:paraId="417E890F" w14:textId="77777777" w:rsidR="00D801E0" w:rsidRPr="007F09FE" w:rsidRDefault="00D801E0" w:rsidP="003F2703">
            <w:pPr>
              <w:spacing w:after="0" w:line="240" w:lineRule="auto"/>
              <w:jc w:val="right"/>
              <w:rPr>
                <w:rFonts w:ascii="Arial" w:eastAsia="Times New Roman" w:hAnsi="Arial" w:cs="Arial"/>
                <w:b/>
                <w:bCs/>
                <w:color w:val="000000"/>
                <w:sz w:val="20"/>
                <w:szCs w:val="20"/>
                <w:lang w:eastAsia="es-EC"/>
              </w:rPr>
            </w:pPr>
            <w:r w:rsidRPr="007F09FE">
              <w:rPr>
                <w:rFonts w:ascii="Arial" w:eastAsia="Times New Roman" w:hAnsi="Arial" w:cs="Arial"/>
                <w:b/>
                <w:bCs/>
                <w:color w:val="000000"/>
                <w:sz w:val="20"/>
                <w:szCs w:val="20"/>
                <w:lang w:eastAsia="es-EC"/>
              </w:rPr>
              <w:t>31/12/2019</w:t>
            </w:r>
          </w:p>
        </w:tc>
      </w:tr>
      <w:tr w:rsidR="00D801E0" w:rsidRPr="00810CBA" w14:paraId="60D05B4F" w14:textId="77777777" w:rsidTr="003F2703">
        <w:trPr>
          <w:trHeight w:val="285"/>
        </w:trPr>
        <w:tc>
          <w:tcPr>
            <w:tcW w:w="567" w:type="dxa"/>
            <w:tcBorders>
              <w:top w:val="nil"/>
              <w:left w:val="nil"/>
              <w:bottom w:val="nil"/>
              <w:right w:val="nil"/>
            </w:tcBorders>
          </w:tcPr>
          <w:p w14:paraId="3BA0505E" w14:textId="77777777" w:rsidR="00D801E0" w:rsidRPr="00810CBA" w:rsidRDefault="00D801E0" w:rsidP="003F2703">
            <w:pPr>
              <w:spacing w:after="0" w:line="240" w:lineRule="auto"/>
              <w:jc w:val="right"/>
              <w:rPr>
                <w:rFonts w:ascii="Arial" w:eastAsia="Times New Roman" w:hAnsi="Arial" w:cs="Arial"/>
                <w:b/>
                <w:bCs/>
                <w:color w:val="000000"/>
                <w:sz w:val="20"/>
                <w:szCs w:val="20"/>
                <w:u w:val="single"/>
                <w:lang w:eastAsia="es-EC"/>
              </w:rPr>
            </w:pPr>
          </w:p>
        </w:tc>
        <w:tc>
          <w:tcPr>
            <w:tcW w:w="5245" w:type="dxa"/>
            <w:tcBorders>
              <w:top w:val="nil"/>
              <w:left w:val="nil"/>
              <w:right w:val="nil"/>
            </w:tcBorders>
            <w:shd w:val="clear" w:color="auto" w:fill="auto"/>
            <w:noWrap/>
            <w:vAlign w:val="center"/>
            <w:hideMark/>
          </w:tcPr>
          <w:p w14:paraId="1037EC82" w14:textId="77777777" w:rsidR="00D801E0" w:rsidRPr="00810CBA" w:rsidRDefault="00D801E0" w:rsidP="003F2703">
            <w:pPr>
              <w:spacing w:after="0" w:line="240" w:lineRule="auto"/>
              <w:jc w:val="right"/>
              <w:rPr>
                <w:rFonts w:ascii="Arial" w:eastAsia="Times New Roman" w:hAnsi="Arial" w:cs="Arial"/>
                <w:b/>
                <w:bCs/>
                <w:color w:val="000000"/>
                <w:sz w:val="20"/>
                <w:szCs w:val="20"/>
                <w:u w:val="single"/>
                <w:lang w:eastAsia="es-EC"/>
              </w:rPr>
            </w:pPr>
          </w:p>
        </w:tc>
        <w:tc>
          <w:tcPr>
            <w:tcW w:w="1559" w:type="dxa"/>
            <w:tcBorders>
              <w:top w:val="single" w:sz="8" w:space="0" w:color="auto"/>
              <w:left w:val="nil"/>
              <w:right w:val="nil"/>
            </w:tcBorders>
            <w:shd w:val="clear" w:color="auto" w:fill="auto"/>
            <w:noWrap/>
            <w:vAlign w:val="center"/>
            <w:hideMark/>
          </w:tcPr>
          <w:p w14:paraId="4C790035" w14:textId="77777777" w:rsidR="00D801E0" w:rsidRPr="00810CBA" w:rsidRDefault="00D801E0" w:rsidP="003F2703">
            <w:pPr>
              <w:spacing w:after="0" w:line="240" w:lineRule="auto"/>
              <w:rPr>
                <w:rFonts w:ascii="Arial" w:eastAsia="Times New Roman" w:hAnsi="Arial" w:cs="Arial"/>
                <w:sz w:val="20"/>
                <w:szCs w:val="20"/>
                <w:lang w:eastAsia="es-EC"/>
              </w:rPr>
            </w:pPr>
          </w:p>
        </w:tc>
        <w:tc>
          <w:tcPr>
            <w:tcW w:w="284" w:type="dxa"/>
            <w:tcBorders>
              <w:top w:val="nil"/>
              <w:left w:val="nil"/>
              <w:right w:val="nil"/>
            </w:tcBorders>
            <w:shd w:val="clear" w:color="auto" w:fill="auto"/>
            <w:noWrap/>
            <w:vAlign w:val="center"/>
            <w:hideMark/>
          </w:tcPr>
          <w:p w14:paraId="5909C7F2" w14:textId="77777777" w:rsidR="00D801E0" w:rsidRPr="00810CBA" w:rsidRDefault="00D801E0" w:rsidP="003F2703">
            <w:pPr>
              <w:spacing w:after="0" w:line="240" w:lineRule="auto"/>
              <w:rPr>
                <w:rFonts w:ascii="Arial" w:eastAsia="Times New Roman" w:hAnsi="Arial" w:cs="Arial"/>
                <w:sz w:val="20"/>
                <w:szCs w:val="20"/>
                <w:lang w:eastAsia="es-EC"/>
              </w:rPr>
            </w:pPr>
          </w:p>
        </w:tc>
        <w:tc>
          <w:tcPr>
            <w:tcW w:w="1478" w:type="dxa"/>
            <w:tcBorders>
              <w:top w:val="single" w:sz="8" w:space="0" w:color="auto"/>
              <w:left w:val="nil"/>
              <w:right w:val="nil"/>
            </w:tcBorders>
            <w:shd w:val="clear" w:color="auto" w:fill="auto"/>
            <w:noWrap/>
            <w:vAlign w:val="center"/>
            <w:hideMark/>
          </w:tcPr>
          <w:p w14:paraId="67486ED2" w14:textId="77777777" w:rsidR="00D801E0" w:rsidRPr="00810CBA" w:rsidRDefault="00D801E0" w:rsidP="003F2703">
            <w:pPr>
              <w:spacing w:after="0" w:line="240" w:lineRule="auto"/>
              <w:rPr>
                <w:rFonts w:ascii="Arial" w:eastAsia="Times New Roman" w:hAnsi="Arial" w:cs="Arial"/>
                <w:sz w:val="20"/>
                <w:szCs w:val="20"/>
                <w:lang w:eastAsia="es-EC"/>
              </w:rPr>
            </w:pPr>
          </w:p>
        </w:tc>
      </w:tr>
      <w:tr w:rsidR="00D801E0" w:rsidRPr="00810CBA" w14:paraId="34AA0B03" w14:textId="77777777" w:rsidTr="003F2703">
        <w:trPr>
          <w:trHeight w:val="285"/>
        </w:trPr>
        <w:tc>
          <w:tcPr>
            <w:tcW w:w="567" w:type="dxa"/>
            <w:tcBorders>
              <w:top w:val="nil"/>
              <w:left w:val="nil"/>
              <w:right w:val="nil"/>
            </w:tcBorders>
          </w:tcPr>
          <w:p w14:paraId="344BCA8E" w14:textId="77777777" w:rsidR="00D801E0" w:rsidRPr="00810CBA" w:rsidRDefault="00D801E0" w:rsidP="003F2703">
            <w:pPr>
              <w:spacing w:after="0" w:line="240" w:lineRule="auto"/>
              <w:rPr>
                <w:rFonts w:ascii="Arial" w:eastAsia="Times New Roman" w:hAnsi="Arial" w:cs="Arial"/>
                <w:color w:val="000000"/>
                <w:sz w:val="20"/>
                <w:szCs w:val="20"/>
                <w:lang w:eastAsia="es-EC"/>
              </w:rPr>
            </w:pPr>
          </w:p>
        </w:tc>
        <w:tc>
          <w:tcPr>
            <w:tcW w:w="5245" w:type="dxa"/>
            <w:tcBorders>
              <w:top w:val="nil"/>
              <w:left w:val="nil"/>
              <w:right w:val="nil"/>
            </w:tcBorders>
            <w:shd w:val="clear" w:color="auto" w:fill="auto"/>
            <w:noWrap/>
            <w:vAlign w:val="center"/>
          </w:tcPr>
          <w:p w14:paraId="5AA66FCB" w14:textId="77777777" w:rsidR="00D801E0" w:rsidRPr="00A642E7" w:rsidRDefault="00D801E0" w:rsidP="003F2703">
            <w:pPr>
              <w:spacing w:after="0" w:line="240" w:lineRule="auto"/>
              <w:rPr>
                <w:rFonts w:ascii="Arial" w:eastAsia="Times New Roman" w:hAnsi="Arial" w:cs="Arial"/>
                <w:b/>
                <w:color w:val="000000"/>
                <w:sz w:val="20"/>
                <w:szCs w:val="20"/>
                <w:lang w:eastAsia="es-EC"/>
              </w:rPr>
            </w:pPr>
            <w:r w:rsidRPr="00A642E7">
              <w:rPr>
                <w:rFonts w:ascii="Arial" w:eastAsia="Times New Roman" w:hAnsi="Arial" w:cs="Arial"/>
                <w:b/>
                <w:color w:val="000000"/>
                <w:sz w:val="20"/>
                <w:szCs w:val="20"/>
                <w:u w:val="single"/>
                <w:lang w:eastAsia="es-EC"/>
              </w:rPr>
              <w:t>Gastos no deducibles</w:t>
            </w:r>
            <w:r>
              <w:rPr>
                <w:rFonts w:ascii="Arial" w:eastAsia="Times New Roman" w:hAnsi="Arial" w:cs="Arial"/>
                <w:b/>
                <w:color w:val="000000"/>
                <w:sz w:val="20"/>
                <w:szCs w:val="20"/>
                <w:lang w:eastAsia="es-EC"/>
              </w:rPr>
              <w:t>:</w:t>
            </w:r>
          </w:p>
        </w:tc>
        <w:tc>
          <w:tcPr>
            <w:tcW w:w="1559" w:type="dxa"/>
            <w:tcBorders>
              <w:top w:val="nil"/>
              <w:left w:val="nil"/>
              <w:right w:val="nil"/>
            </w:tcBorders>
            <w:shd w:val="clear" w:color="auto" w:fill="auto"/>
            <w:noWrap/>
            <w:vAlign w:val="center"/>
          </w:tcPr>
          <w:p w14:paraId="3E1BA027" w14:textId="77777777" w:rsidR="00D801E0" w:rsidRPr="00A642E7" w:rsidRDefault="00D801E0" w:rsidP="003F2703">
            <w:pPr>
              <w:spacing w:after="0" w:line="240" w:lineRule="auto"/>
              <w:jc w:val="right"/>
              <w:rPr>
                <w:rFonts w:ascii="Arial" w:eastAsia="Times New Roman" w:hAnsi="Arial" w:cs="Arial"/>
                <w:sz w:val="20"/>
                <w:szCs w:val="20"/>
                <w:lang w:eastAsia="es-EC"/>
              </w:rPr>
            </w:pPr>
          </w:p>
        </w:tc>
        <w:tc>
          <w:tcPr>
            <w:tcW w:w="284" w:type="dxa"/>
            <w:tcBorders>
              <w:top w:val="nil"/>
              <w:left w:val="nil"/>
              <w:right w:val="nil"/>
            </w:tcBorders>
            <w:shd w:val="clear" w:color="auto" w:fill="auto"/>
            <w:noWrap/>
            <w:vAlign w:val="center"/>
          </w:tcPr>
          <w:p w14:paraId="44DBD71A" w14:textId="77777777" w:rsidR="00D801E0" w:rsidRPr="00A642E7" w:rsidRDefault="00D801E0" w:rsidP="003F2703">
            <w:pPr>
              <w:spacing w:after="0" w:line="240" w:lineRule="auto"/>
              <w:jc w:val="right"/>
              <w:rPr>
                <w:rFonts w:ascii="Arial" w:eastAsia="Times New Roman" w:hAnsi="Arial" w:cs="Arial"/>
                <w:sz w:val="20"/>
                <w:szCs w:val="20"/>
                <w:lang w:eastAsia="es-EC"/>
              </w:rPr>
            </w:pPr>
          </w:p>
        </w:tc>
        <w:tc>
          <w:tcPr>
            <w:tcW w:w="1478" w:type="dxa"/>
            <w:tcBorders>
              <w:top w:val="nil"/>
              <w:left w:val="nil"/>
              <w:right w:val="nil"/>
            </w:tcBorders>
            <w:shd w:val="clear" w:color="auto" w:fill="auto"/>
            <w:noWrap/>
            <w:vAlign w:val="center"/>
          </w:tcPr>
          <w:p w14:paraId="40D7DF9B" w14:textId="77777777" w:rsidR="00D801E0" w:rsidRPr="00A642E7" w:rsidRDefault="00D801E0" w:rsidP="003F2703">
            <w:pPr>
              <w:spacing w:after="0" w:line="240" w:lineRule="auto"/>
              <w:jc w:val="right"/>
              <w:rPr>
                <w:rFonts w:ascii="Arial" w:eastAsia="Times New Roman" w:hAnsi="Arial" w:cs="Arial"/>
                <w:sz w:val="20"/>
                <w:szCs w:val="20"/>
                <w:lang w:eastAsia="es-EC"/>
              </w:rPr>
            </w:pPr>
          </w:p>
        </w:tc>
      </w:tr>
      <w:tr w:rsidR="007F5E16" w:rsidRPr="00810CBA" w14:paraId="3BE604F2" w14:textId="77777777" w:rsidTr="000D534B">
        <w:trPr>
          <w:trHeight w:val="285"/>
        </w:trPr>
        <w:tc>
          <w:tcPr>
            <w:tcW w:w="567" w:type="dxa"/>
            <w:tcBorders>
              <w:top w:val="nil"/>
              <w:left w:val="nil"/>
              <w:right w:val="nil"/>
            </w:tcBorders>
          </w:tcPr>
          <w:p w14:paraId="7725CB93"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right w:val="nil"/>
            </w:tcBorders>
            <w:shd w:val="clear" w:color="auto" w:fill="auto"/>
            <w:noWrap/>
            <w:vAlign w:val="center"/>
          </w:tcPr>
          <w:p w14:paraId="7FFFBCC9" w14:textId="208FB2B0" w:rsidR="007F5E16" w:rsidRPr="00A642E7" w:rsidRDefault="007F5E16" w:rsidP="007F5E16">
            <w:pPr>
              <w:spacing w:after="0" w:line="240" w:lineRule="auto"/>
              <w:rPr>
                <w:rFonts w:ascii="Arial" w:eastAsia="Times New Roman" w:hAnsi="Arial" w:cs="Arial"/>
                <w:b/>
                <w:color w:val="000000"/>
                <w:sz w:val="20"/>
                <w:szCs w:val="20"/>
                <w:u w:val="single"/>
                <w:lang w:eastAsia="es-EC"/>
              </w:rPr>
            </w:pPr>
            <w:r>
              <w:rPr>
                <w:rFonts w:ascii="Arial" w:eastAsia="Times New Roman" w:hAnsi="Arial" w:cs="Arial"/>
                <w:color w:val="000000"/>
                <w:sz w:val="20"/>
                <w:szCs w:val="20"/>
                <w:lang w:eastAsia="es-EC"/>
              </w:rPr>
              <w:t>Eliminación Gastos de depreciación PPE</w:t>
            </w:r>
          </w:p>
        </w:tc>
        <w:tc>
          <w:tcPr>
            <w:tcW w:w="1559" w:type="dxa"/>
            <w:tcBorders>
              <w:top w:val="nil"/>
              <w:left w:val="nil"/>
              <w:right w:val="nil"/>
            </w:tcBorders>
            <w:shd w:val="clear" w:color="auto" w:fill="auto"/>
            <w:noWrap/>
            <w:vAlign w:val="bottom"/>
          </w:tcPr>
          <w:p w14:paraId="10FA6AED" w14:textId="43C6CEDF" w:rsidR="007F5E16" w:rsidRPr="00A642E7" w:rsidRDefault="007F5E16"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5,709,560</w:t>
            </w:r>
          </w:p>
        </w:tc>
        <w:tc>
          <w:tcPr>
            <w:tcW w:w="284" w:type="dxa"/>
            <w:tcBorders>
              <w:top w:val="nil"/>
              <w:left w:val="nil"/>
              <w:right w:val="nil"/>
            </w:tcBorders>
            <w:shd w:val="clear" w:color="auto" w:fill="auto"/>
            <w:noWrap/>
            <w:vAlign w:val="bottom"/>
          </w:tcPr>
          <w:p w14:paraId="71E4BBF8" w14:textId="77777777" w:rsidR="007F5E16" w:rsidRPr="00A642E7" w:rsidRDefault="007F5E16" w:rsidP="007F5E16">
            <w:pPr>
              <w:spacing w:after="0" w:line="240" w:lineRule="auto"/>
              <w:jc w:val="right"/>
              <w:rPr>
                <w:rFonts w:ascii="Arial" w:eastAsia="Times New Roman" w:hAnsi="Arial" w:cs="Arial"/>
                <w:sz w:val="20"/>
                <w:szCs w:val="20"/>
                <w:lang w:eastAsia="es-EC"/>
              </w:rPr>
            </w:pPr>
          </w:p>
        </w:tc>
        <w:tc>
          <w:tcPr>
            <w:tcW w:w="1478" w:type="dxa"/>
            <w:tcBorders>
              <w:top w:val="nil"/>
              <w:left w:val="nil"/>
              <w:right w:val="nil"/>
            </w:tcBorders>
            <w:shd w:val="clear" w:color="auto" w:fill="auto"/>
            <w:noWrap/>
            <w:vAlign w:val="bottom"/>
          </w:tcPr>
          <w:p w14:paraId="6F0C09EF" w14:textId="3CFB1F0C" w:rsidR="007F5E16" w:rsidRPr="00A642E7" w:rsidRDefault="007F5E16"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1,433,081</w:t>
            </w:r>
          </w:p>
        </w:tc>
      </w:tr>
      <w:tr w:rsidR="007F5E16" w:rsidRPr="00810CBA" w14:paraId="03B525EE" w14:textId="77777777" w:rsidTr="007B0458">
        <w:trPr>
          <w:trHeight w:val="285"/>
        </w:trPr>
        <w:tc>
          <w:tcPr>
            <w:tcW w:w="567" w:type="dxa"/>
            <w:tcBorders>
              <w:top w:val="nil"/>
              <w:left w:val="nil"/>
              <w:right w:val="nil"/>
            </w:tcBorders>
          </w:tcPr>
          <w:p w14:paraId="1AC00550"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right w:val="nil"/>
            </w:tcBorders>
            <w:shd w:val="clear" w:color="auto" w:fill="auto"/>
            <w:noWrap/>
            <w:vAlign w:val="center"/>
          </w:tcPr>
          <w:p w14:paraId="53989B3D" w14:textId="5346041F" w:rsidR="007F5E16" w:rsidRPr="007F5E16" w:rsidRDefault="007F5E16" w:rsidP="007F5E16">
            <w:pPr>
              <w:spacing w:after="0" w:line="240" w:lineRule="auto"/>
              <w:rPr>
                <w:rFonts w:ascii="Arial" w:eastAsia="Times New Roman" w:hAnsi="Arial" w:cs="Arial"/>
                <w:bCs/>
                <w:color w:val="000000"/>
                <w:sz w:val="20"/>
                <w:szCs w:val="20"/>
                <w:lang w:eastAsia="es-EC"/>
              </w:rPr>
            </w:pPr>
            <w:r w:rsidRPr="007F5E16">
              <w:rPr>
                <w:rFonts w:ascii="Arial" w:eastAsia="Times New Roman" w:hAnsi="Arial" w:cs="Arial"/>
                <w:bCs/>
                <w:color w:val="000000"/>
                <w:sz w:val="20"/>
                <w:szCs w:val="20"/>
                <w:lang w:eastAsia="es-EC"/>
              </w:rPr>
              <w:t>Jubilaci</w:t>
            </w:r>
            <w:r>
              <w:rPr>
                <w:rFonts w:ascii="Arial" w:eastAsia="Times New Roman" w:hAnsi="Arial" w:cs="Arial"/>
                <w:bCs/>
                <w:color w:val="000000"/>
                <w:sz w:val="20"/>
                <w:szCs w:val="20"/>
                <w:lang w:eastAsia="es-EC"/>
              </w:rPr>
              <w:t>ó</w:t>
            </w:r>
            <w:r w:rsidRPr="007F5E16">
              <w:rPr>
                <w:rFonts w:ascii="Arial" w:eastAsia="Times New Roman" w:hAnsi="Arial" w:cs="Arial"/>
                <w:bCs/>
                <w:color w:val="000000"/>
                <w:sz w:val="20"/>
                <w:szCs w:val="20"/>
                <w:lang w:eastAsia="es-EC"/>
              </w:rPr>
              <w:t>n patronal y desahucio</w:t>
            </w:r>
          </w:p>
        </w:tc>
        <w:tc>
          <w:tcPr>
            <w:tcW w:w="1559" w:type="dxa"/>
            <w:tcBorders>
              <w:top w:val="nil"/>
              <w:left w:val="nil"/>
              <w:right w:val="nil"/>
            </w:tcBorders>
            <w:shd w:val="clear" w:color="auto" w:fill="auto"/>
            <w:noWrap/>
            <w:vAlign w:val="center"/>
          </w:tcPr>
          <w:p w14:paraId="20885073" w14:textId="1F84008A" w:rsidR="007F5E16" w:rsidRPr="00A642E7" w:rsidRDefault="007F5E16"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357,560</w:t>
            </w:r>
          </w:p>
        </w:tc>
        <w:tc>
          <w:tcPr>
            <w:tcW w:w="284" w:type="dxa"/>
            <w:tcBorders>
              <w:top w:val="nil"/>
              <w:left w:val="nil"/>
              <w:right w:val="nil"/>
            </w:tcBorders>
            <w:shd w:val="clear" w:color="auto" w:fill="auto"/>
            <w:noWrap/>
            <w:vAlign w:val="center"/>
          </w:tcPr>
          <w:p w14:paraId="288304B9" w14:textId="77777777" w:rsidR="007F5E16" w:rsidRPr="00A642E7" w:rsidRDefault="007F5E16" w:rsidP="007F5E16">
            <w:pPr>
              <w:spacing w:after="0" w:line="240" w:lineRule="auto"/>
              <w:jc w:val="right"/>
              <w:rPr>
                <w:rFonts w:ascii="Arial" w:eastAsia="Times New Roman" w:hAnsi="Arial" w:cs="Arial"/>
                <w:sz w:val="20"/>
                <w:szCs w:val="20"/>
                <w:lang w:eastAsia="es-EC"/>
              </w:rPr>
            </w:pPr>
          </w:p>
        </w:tc>
        <w:tc>
          <w:tcPr>
            <w:tcW w:w="1478" w:type="dxa"/>
            <w:tcBorders>
              <w:top w:val="nil"/>
              <w:left w:val="nil"/>
              <w:right w:val="nil"/>
            </w:tcBorders>
            <w:shd w:val="clear" w:color="auto" w:fill="auto"/>
            <w:noWrap/>
            <w:vAlign w:val="center"/>
          </w:tcPr>
          <w:p w14:paraId="455908D8" w14:textId="34225065" w:rsidR="007F5E16" w:rsidRPr="00A642E7" w:rsidRDefault="00D96B68"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7F5E16" w:rsidRPr="00810CBA" w14:paraId="6ACADB9A" w14:textId="77777777" w:rsidTr="007B0458">
        <w:trPr>
          <w:trHeight w:val="285"/>
        </w:trPr>
        <w:tc>
          <w:tcPr>
            <w:tcW w:w="567" w:type="dxa"/>
            <w:tcBorders>
              <w:top w:val="nil"/>
              <w:left w:val="nil"/>
              <w:right w:val="nil"/>
            </w:tcBorders>
          </w:tcPr>
          <w:p w14:paraId="5B82331B"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right w:val="nil"/>
            </w:tcBorders>
            <w:shd w:val="clear" w:color="auto" w:fill="auto"/>
            <w:noWrap/>
            <w:vAlign w:val="center"/>
          </w:tcPr>
          <w:p w14:paraId="2CEF7D96" w14:textId="780EFB0D" w:rsidR="007F5E16" w:rsidRPr="007F5E16" w:rsidRDefault="007F5E16" w:rsidP="007F5E16">
            <w:pPr>
              <w:spacing w:after="0" w:line="240" w:lineRule="auto"/>
              <w:rPr>
                <w:rFonts w:ascii="Arial" w:eastAsia="Times New Roman" w:hAnsi="Arial" w:cs="Arial"/>
                <w:bCs/>
                <w:color w:val="000000"/>
                <w:sz w:val="20"/>
                <w:szCs w:val="20"/>
                <w:lang w:eastAsia="es-EC"/>
              </w:rPr>
            </w:pPr>
            <w:r>
              <w:rPr>
                <w:rFonts w:ascii="Arial" w:eastAsia="Times New Roman" w:hAnsi="Arial" w:cs="Arial"/>
                <w:bCs/>
                <w:color w:val="000000"/>
                <w:sz w:val="20"/>
                <w:szCs w:val="20"/>
                <w:lang w:eastAsia="es-EC"/>
              </w:rPr>
              <w:t>Activo por derecho de uso</w:t>
            </w:r>
          </w:p>
        </w:tc>
        <w:tc>
          <w:tcPr>
            <w:tcW w:w="1559" w:type="dxa"/>
            <w:tcBorders>
              <w:top w:val="nil"/>
              <w:left w:val="nil"/>
              <w:bottom w:val="single" w:sz="6" w:space="0" w:color="auto"/>
              <w:right w:val="nil"/>
            </w:tcBorders>
            <w:shd w:val="clear" w:color="auto" w:fill="auto"/>
            <w:noWrap/>
            <w:vAlign w:val="center"/>
          </w:tcPr>
          <w:p w14:paraId="7AB1A7C0" w14:textId="60C84DD7" w:rsidR="007F5E16" w:rsidRDefault="007F5E16"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220,576</w:t>
            </w:r>
          </w:p>
        </w:tc>
        <w:tc>
          <w:tcPr>
            <w:tcW w:w="284" w:type="dxa"/>
            <w:tcBorders>
              <w:top w:val="nil"/>
              <w:left w:val="nil"/>
              <w:right w:val="nil"/>
            </w:tcBorders>
            <w:shd w:val="clear" w:color="auto" w:fill="auto"/>
            <w:noWrap/>
            <w:vAlign w:val="center"/>
          </w:tcPr>
          <w:p w14:paraId="0C7D5CCD" w14:textId="77777777" w:rsidR="007F5E16" w:rsidRPr="00A642E7" w:rsidRDefault="007F5E16" w:rsidP="007F5E16">
            <w:pPr>
              <w:spacing w:after="0" w:line="240" w:lineRule="auto"/>
              <w:jc w:val="right"/>
              <w:rPr>
                <w:rFonts w:ascii="Arial" w:eastAsia="Times New Roman" w:hAnsi="Arial" w:cs="Arial"/>
                <w:sz w:val="20"/>
                <w:szCs w:val="20"/>
                <w:lang w:eastAsia="es-EC"/>
              </w:rPr>
            </w:pPr>
          </w:p>
        </w:tc>
        <w:tc>
          <w:tcPr>
            <w:tcW w:w="1478" w:type="dxa"/>
            <w:tcBorders>
              <w:top w:val="nil"/>
              <w:left w:val="nil"/>
              <w:bottom w:val="single" w:sz="6" w:space="0" w:color="auto"/>
              <w:right w:val="nil"/>
            </w:tcBorders>
            <w:shd w:val="clear" w:color="auto" w:fill="auto"/>
            <w:noWrap/>
            <w:vAlign w:val="center"/>
          </w:tcPr>
          <w:p w14:paraId="405DD540" w14:textId="23730CD5" w:rsidR="007F5E16" w:rsidRPr="00A642E7" w:rsidRDefault="00D96B68" w:rsidP="007F5E16">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7F5E16" w:rsidRPr="00810CBA" w14:paraId="1F3FDEC4" w14:textId="77777777" w:rsidTr="007B0458">
        <w:trPr>
          <w:trHeight w:val="285"/>
        </w:trPr>
        <w:tc>
          <w:tcPr>
            <w:tcW w:w="567" w:type="dxa"/>
            <w:tcBorders>
              <w:top w:val="nil"/>
              <w:left w:val="nil"/>
              <w:right w:val="nil"/>
            </w:tcBorders>
          </w:tcPr>
          <w:p w14:paraId="2D0A2358"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right w:val="nil"/>
            </w:tcBorders>
            <w:shd w:val="clear" w:color="auto" w:fill="auto"/>
            <w:noWrap/>
            <w:vAlign w:val="center"/>
          </w:tcPr>
          <w:p w14:paraId="78FAA0F6" w14:textId="77777777" w:rsidR="007F5E16" w:rsidRPr="00A642E7" w:rsidRDefault="007F5E16" w:rsidP="007F5E16">
            <w:pPr>
              <w:spacing w:after="0" w:line="240" w:lineRule="auto"/>
              <w:rPr>
                <w:rFonts w:ascii="Arial" w:eastAsia="Times New Roman" w:hAnsi="Arial" w:cs="Arial"/>
                <w:b/>
                <w:color w:val="000000"/>
                <w:sz w:val="20"/>
                <w:szCs w:val="20"/>
                <w:u w:val="single"/>
                <w:lang w:eastAsia="es-EC"/>
              </w:rPr>
            </w:pPr>
          </w:p>
        </w:tc>
        <w:tc>
          <w:tcPr>
            <w:tcW w:w="1559" w:type="dxa"/>
            <w:tcBorders>
              <w:top w:val="single" w:sz="6" w:space="0" w:color="auto"/>
              <w:left w:val="nil"/>
              <w:right w:val="nil"/>
            </w:tcBorders>
            <w:shd w:val="clear" w:color="auto" w:fill="auto"/>
            <w:noWrap/>
            <w:vAlign w:val="bottom"/>
          </w:tcPr>
          <w:p w14:paraId="41FDEDD6"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c>
          <w:tcPr>
            <w:tcW w:w="284" w:type="dxa"/>
            <w:tcBorders>
              <w:left w:val="nil"/>
              <w:right w:val="nil"/>
            </w:tcBorders>
            <w:shd w:val="clear" w:color="auto" w:fill="auto"/>
            <w:noWrap/>
            <w:vAlign w:val="center"/>
          </w:tcPr>
          <w:p w14:paraId="4599F6F2"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c>
          <w:tcPr>
            <w:tcW w:w="1478" w:type="dxa"/>
            <w:tcBorders>
              <w:top w:val="single" w:sz="6" w:space="0" w:color="auto"/>
              <w:left w:val="nil"/>
              <w:right w:val="nil"/>
            </w:tcBorders>
            <w:shd w:val="clear" w:color="auto" w:fill="auto"/>
            <w:noWrap/>
            <w:vAlign w:val="bottom"/>
          </w:tcPr>
          <w:p w14:paraId="3EA37157"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r>
      <w:tr w:rsidR="007B0458" w:rsidRPr="00810CBA" w14:paraId="32404676" w14:textId="77777777" w:rsidTr="007B0458">
        <w:trPr>
          <w:trHeight w:val="285"/>
        </w:trPr>
        <w:tc>
          <w:tcPr>
            <w:tcW w:w="567" w:type="dxa"/>
            <w:tcBorders>
              <w:left w:val="nil"/>
              <w:bottom w:val="nil"/>
              <w:right w:val="nil"/>
            </w:tcBorders>
          </w:tcPr>
          <w:p w14:paraId="718DA988" w14:textId="77777777" w:rsidR="007B0458" w:rsidRPr="00810CBA" w:rsidRDefault="007B0458" w:rsidP="007F5E16">
            <w:pPr>
              <w:spacing w:after="0" w:line="240" w:lineRule="auto"/>
              <w:rPr>
                <w:rFonts w:ascii="Arial" w:eastAsia="Times New Roman" w:hAnsi="Arial" w:cs="Arial"/>
                <w:color w:val="000000"/>
                <w:sz w:val="20"/>
                <w:szCs w:val="20"/>
                <w:lang w:eastAsia="es-EC"/>
              </w:rPr>
            </w:pPr>
          </w:p>
        </w:tc>
        <w:tc>
          <w:tcPr>
            <w:tcW w:w="5245" w:type="dxa"/>
            <w:tcBorders>
              <w:left w:val="nil"/>
              <w:bottom w:val="nil"/>
              <w:right w:val="nil"/>
            </w:tcBorders>
            <w:shd w:val="clear" w:color="auto" w:fill="auto"/>
            <w:noWrap/>
            <w:vAlign w:val="center"/>
          </w:tcPr>
          <w:p w14:paraId="62ADB79F" w14:textId="593E1590" w:rsidR="007B0458" w:rsidRPr="007B0458" w:rsidRDefault="007B0458" w:rsidP="007F5E16">
            <w:pPr>
              <w:spacing w:after="0" w:line="240" w:lineRule="auto"/>
              <w:rPr>
                <w:rFonts w:ascii="Arial" w:eastAsia="Times New Roman" w:hAnsi="Arial" w:cs="Arial"/>
                <w:bCs/>
                <w:color w:val="000000"/>
                <w:sz w:val="20"/>
                <w:szCs w:val="20"/>
                <w:lang w:eastAsia="es-EC"/>
              </w:rPr>
            </w:pPr>
            <w:r w:rsidRPr="007B0458">
              <w:rPr>
                <w:rFonts w:ascii="Arial" w:eastAsia="Times New Roman" w:hAnsi="Arial" w:cs="Arial"/>
                <w:bCs/>
                <w:color w:val="000000"/>
                <w:sz w:val="20"/>
                <w:szCs w:val="20"/>
                <w:lang w:eastAsia="es-EC"/>
              </w:rPr>
              <w:t>Total</w:t>
            </w:r>
          </w:p>
        </w:tc>
        <w:tc>
          <w:tcPr>
            <w:tcW w:w="1559" w:type="dxa"/>
            <w:tcBorders>
              <w:left w:val="nil"/>
              <w:bottom w:val="double" w:sz="4" w:space="0" w:color="auto"/>
              <w:right w:val="nil"/>
            </w:tcBorders>
            <w:shd w:val="clear" w:color="auto" w:fill="auto"/>
            <w:noWrap/>
            <w:vAlign w:val="bottom"/>
          </w:tcPr>
          <w:p w14:paraId="3D6A3A49" w14:textId="7ADD2B85" w:rsidR="007B0458" w:rsidRPr="00A642E7" w:rsidRDefault="007B0458" w:rsidP="007F5E16">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6,287,696</w:t>
            </w:r>
          </w:p>
        </w:tc>
        <w:tc>
          <w:tcPr>
            <w:tcW w:w="284" w:type="dxa"/>
            <w:tcBorders>
              <w:left w:val="nil"/>
              <w:right w:val="nil"/>
            </w:tcBorders>
            <w:shd w:val="clear" w:color="auto" w:fill="auto"/>
            <w:noWrap/>
            <w:vAlign w:val="center"/>
          </w:tcPr>
          <w:p w14:paraId="2F4ACF19" w14:textId="77777777" w:rsidR="007B0458" w:rsidRPr="00A642E7" w:rsidRDefault="007B0458" w:rsidP="007F5E16">
            <w:pPr>
              <w:spacing w:after="0" w:line="240" w:lineRule="auto"/>
              <w:jc w:val="right"/>
              <w:rPr>
                <w:rFonts w:ascii="Arial" w:eastAsia="Times New Roman" w:hAnsi="Arial" w:cs="Arial"/>
                <w:color w:val="000000"/>
                <w:sz w:val="20"/>
                <w:szCs w:val="20"/>
                <w:lang w:eastAsia="es-EC"/>
              </w:rPr>
            </w:pPr>
          </w:p>
        </w:tc>
        <w:tc>
          <w:tcPr>
            <w:tcW w:w="1478" w:type="dxa"/>
            <w:tcBorders>
              <w:left w:val="nil"/>
              <w:bottom w:val="double" w:sz="4" w:space="0" w:color="auto"/>
              <w:right w:val="nil"/>
            </w:tcBorders>
            <w:shd w:val="clear" w:color="auto" w:fill="auto"/>
            <w:noWrap/>
            <w:vAlign w:val="bottom"/>
          </w:tcPr>
          <w:p w14:paraId="63F7BDFC" w14:textId="678FE6A3" w:rsidR="007B0458" w:rsidRPr="00A642E7" w:rsidRDefault="007B0458" w:rsidP="007F5E16">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1,433,081</w:t>
            </w:r>
          </w:p>
        </w:tc>
      </w:tr>
      <w:tr w:rsidR="007B0458" w:rsidRPr="00810CBA" w14:paraId="5E60A485" w14:textId="77777777" w:rsidTr="007B0458">
        <w:trPr>
          <w:trHeight w:val="285"/>
        </w:trPr>
        <w:tc>
          <w:tcPr>
            <w:tcW w:w="567" w:type="dxa"/>
            <w:tcBorders>
              <w:left w:val="nil"/>
              <w:bottom w:val="nil"/>
              <w:right w:val="nil"/>
            </w:tcBorders>
          </w:tcPr>
          <w:p w14:paraId="4E56CAB3" w14:textId="77777777" w:rsidR="007B0458" w:rsidRPr="00810CBA" w:rsidRDefault="007B0458" w:rsidP="007F5E16">
            <w:pPr>
              <w:spacing w:after="0" w:line="240" w:lineRule="auto"/>
              <w:rPr>
                <w:rFonts w:ascii="Arial" w:eastAsia="Times New Roman" w:hAnsi="Arial" w:cs="Arial"/>
                <w:color w:val="000000"/>
                <w:sz w:val="20"/>
                <w:szCs w:val="20"/>
                <w:lang w:eastAsia="es-EC"/>
              </w:rPr>
            </w:pPr>
          </w:p>
        </w:tc>
        <w:tc>
          <w:tcPr>
            <w:tcW w:w="5245" w:type="dxa"/>
            <w:tcBorders>
              <w:left w:val="nil"/>
              <w:bottom w:val="nil"/>
              <w:right w:val="nil"/>
            </w:tcBorders>
            <w:shd w:val="clear" w:color="auto" w:fill="auto"/>
            <w:noWrap/>
            <w:vAlign w:val="center"/>
          </w:tcPr>
          <w:p w14:paraId="72AB23B2" w14:textId="77777777" w:rsidR="007B0458" w:rsidRPr="007B0458" w:rsidRDefault="007B0458" w:rsidP="007F5E16">
            <w:pPr>
              <w:spacing w:after="0" w:line="240" w:lineRule="auto"/>
              <w:rPr>
                <w:rFonts w:ascii="Arial" w:eastAsia="Times New Roman" w:hAnsi="Arial" w:cs="Arial"/>
                <w:bCs/>
                <w:color w:val="000000"/>
                <w:sz w:val="20"/>
                <w:szCs w:val="20"/>
                <w:lang w:eastAsia="es-EC"/>
              </w:rPr>
            </w:pPr>
          </w:p>
        </w:tc>
        <w:tc>
          <w:tcPr>
            <w:tcW w:w="1559" w:type="dxa"/>
            <w:tcBorders>
              <w:top w:val="double" w:sz="4" w:space="0" w:color="auto"/>
              <w:left w:val="nil"/>
              <w:right w:val="nil"/>
            </w:tcBorders>
            <w:shd w:val="clear" w:color="auto" w:fill="auto"/>
            <w:noWrap/>
            <w:vAlign w:val="bottom"/>
          </w:tcPr>
          <w:p w14:paraId="2A85485F" w14:textId="77777777" w:rsidR="007B0458" w:rsidRDefault="007B0458" w:rsidP="007F5E16">
            <w:pPr>
              <w:spacing w:after="0" w:line="240" w:lineRule="auto"/>
              <w:jc w:val="right"/>
              <w:rPr>
                <w:rFonts w:ascii="Arial" w:eastAsia="Times New Roman" w:hAnsi="Arial" w:cs="Arial"/>
                <w:color w:val="000000"/>
                <w:sz w:val="20"/>
                <w:szCs w:val="20"/>
                <w:lang w:eastAsia="es-EC"/>
              </w:rPr>
            </w:pPr>
          </w:p>
        </w:tc>
        <w:tc>
          <w:tcPr>
            <w:tcW w:w="284" w:type="dxa"/>
            <w:tcBorders>
              <w:left w:val="nil"/>
              <w:right w:val="nil"/>
            </w:tcBorders>
            <w:shd w:val="clear" w:color="auto" w:fill="auto"/>
            <w:noWrap/>
            <w:vAlign w:val="center"/>
          </w:tcPr>
          <w:p w14:paraId="56361CC8" w14:textId="77777777" w:rsidR="007B0458" w:rsidRPr="00A642E7" w:rsidRDefault="007B0458" w:rsidP="007F5E16">
            <w:pPr>
              <w:spacing w:after="0" w:line="240" w:lineRule="auto"/>
              <w:jc w:val="right"/>
              <w:rPr>
                <w:rFonts w:ascii="Arial" w:eastAsia="Times New Roman" w:hAnsi="Arial" w:cs="Arial"/>
                <w:color w:val="000000"/>
                <w:sz w:val="20"/>
                <w:szCs w:val="20"/>
                <w:lang w:eastAsia="es-EC"/>
              </w:rPr>
            </w:pPr>
          </w:p>
        </w:tc>
        <w:tc>
          <w:tcPr>
            <w:tcW w:w="1478" w:type="dxa"/>
            <w:tcBorders>
              <w:top w:val="double" w:sz="4" w:space="0" w:color="auto"/>
              <w:left w:val="nil"/>
              <w:right w:val="nil"/>
            </w:tcBorders>
            <w:shd w:val="clear" w:color="auto" w:fill="auto"/>
            <w:noWrap/>
            <w:vAlign w:val="bottom"/>
          </w:tcPr>
          <w:p w14:paraId="74FB0E4D" w14:textId="77777777" w:rsidR="007B0458" w:rsidRDefault="007B0458" w:rsidP="007F5E16">
            <w:pPr>
              <w:spacing w:after="0" w:line="240" w:lineRule="auto"/>
              <w:jc w:val="right"/>
              <w:rPr>
                <w:rFonts w:ascii="Arial" w:eastAsia="Times New Roman" w:hAnsi="Arial" w:cs="Arial"/>
                <w:color w:val="000000"/>
                <w:sz w:val="20"/>
                <w:szCs w:val="20"/>
                <w:lang w:eastAsia="es-EC"/>
              </w:rPr>
            </w:pPr>
          </w:p>
        </w:tc>
      </w:tr>
      <w:tr w:rsidR="007F5E16" w:rsidRPr="00810CBA" w14:paraId="7BD34F20" w14:textId="77777777" w:rsidTr="003F2703">
        <w:trPr>
          <w:trHeight w:val="285"/>
        </w:trPr>
        <w:tc>
          <w:tcPr>
            <w:tcW w:w="567" w:type="dxa"/>
            <w:tcBorders>
              <w:top w:val="nil"/>
              <w:left w:val="nil"/>
              <w:bottom w:val="nil"/>
              <w:right w:val="nil"/>
            </w:tcBorders>
          </w:tcPr>
          <w:p w14:paraId="7051B59B"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bottom w:val="nil"/>
              <w:right w:val="nil"/>
            </w:tcBorders>
            <w:shd w:val="clear" w:color="auto" w:fill="auto"/>
            <w:noWrap/>
            <w:vAlign w:val="center"/>
          </w:tcPr>
          <w:p w14:paraId="09B0E230" w14:textId="77777777" w:rsidR="007F5E16" w:rsidRPr="00A642E7" w:rsidRDefault="007F5E16" w:rsidP="007F5E16">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Tarifa de impuesto a la renta 25%</w:t>
            </w:r>
          </w:p>
        </w:tc>
        <w:tc>
          <w:tcPr>
            <w:tcW w:w="1559" w:type="dxa"/>
            <w:tcBorders>
              <w:top w:val="nil"/>
              <w:left w:val="nil"/>
              <w:bottom w:val="double" w:sz="4" w:space="0" w:color="auto"/>
              <w:right w:val="nil"/>
            </w:tcBorders>
            <w:shd w:val="clear" w:color="auto" w:fill="auto"/>
            <w:noWrap/>
            <w:vAlign w:val="bottom"/>
          </w:tcPr>
          <w:p w14:paraId="61E20E0C" w14:textId="49DA36EB" w:rsidR="007F5E16" w:rsidRPr="00A642E7" w:rsidRDefault="007F5E16" w:rsidP="007F5E16">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w:t>
            </w:r>
            <w:r w:rsidR="00E52E2C">
              <w:rPr>
                <w:rFonts w:ascii="Arial" w:eastAsia="Times New Roman" w:hAnsi="Arial" w:cs="Arial"/>
                <w:color w:val="000000"/>
                <w:sz w:val="20"/>
                <w:szCs w:val="20"/>
                <w:lang w:eastAsia="es-EC"/>
              </w:rPr>
              <w:t>571,924</w:t>
            </w:r>
          </w:p>
        </w:tc>
        <w:tc>
          <w:tcPr>
            <w:tcW w:w="284" w:type="dxa"/>
            <w:tcBorders>
              <w:top w:val="nil"/>
              <w:left w:val="nil"/>
              <w:bottom w:val="nil"/>
              <w:right w:val="nil"/>
            </w:tcBorders>
            <w:shd w:val="clear" w:color="auto" w:fill="auto"/>
            <w:noWrap/>
            <w:vAlign w:val="center"/>
          </w:tcPr>
          <w:p w14:paraId="3841CE8E"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c>
          <w:tcPr>
            <w:tcW w:w="1478" w:type="dxa"/>
            <w:tcBorders>
              <w:top w:val="nil"/>
              <w:left w:val="nil"/>
              <w:bottom w:val="double" w:sz="4" w:space="0" w:color="auto"/>
              <w:right w:val="nil"/>
            </w:tcBorders>
            <w:shd w:val="clear" w:color="auto" w:fill="auto"/>
            <w:noWrap/>
            <w:vAlign w:val="bottom"/>
          </w:tcPr>
          <w:p w14:paraId="4F9E0284" w14:textId="28C19438" w:rsidR="007F5E16" w:rsidRPr="00A642E7" w:rsidRDefault="007F5E16" w:rsidP="007F5E16">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358,270</w:t>
            </w:r>
          </w:p>
        </w:tc>
      </w:tr>
      <w:tr w:rsidR="007F5E16" w:rsidRPr="00810CBA" w14:paraId="3BBD3C8A" w14:textId="77777777" w:rsidTr="003F2703">
        <w:trPr>
          <w:trHeight w:val="285"/>
        </w:trPr>
        <w:tc>
          <w:tcPr>
            <w:tcW w:w="567" w:type="dxa"/>
            <w:tcBorders>
              <w:top w:val="nil"/>
              <w:left w:val="nil"/>
              <w:bottom w:val="nil"/>
              <w:right w:val="nil"/>
            </w:tcBorders>
          </w:tcPr>
          <w:p w14:paraId="748F8245" w14:textId="77777777" w:rsidR="007F5E16" w:rsidRPr="00810CBA" w:rsidRDefault="007F5E16" w:rsidP="007F5E16">
            <w:pPr>
              <w:spacing w:after="0" w:line="240" w:lineRule="auto"/>
              <w:rPr>
                <w:rFonts w:ascii="Arial" w:eastAsia="Times New Roman" w:hAnsi="Arial" w:cs="Arial"/>
                <w:color w:val="000000"/>
                <w:sz w:val="20"/>
                <w:szCs w:val="20"/>
                <w:lang w:eastAsia="es-EC"/>
              </w:rPr>
            </w:pPr>
          </w:p>
        </w:tc>
        <w:tc>
          <w:tcPr>
            <w:tcW w:w="5245" w:type="dxa"/>
            <w:tcBorders>
              <w:top w:val="nil"/>
              <w:left w:val="nil"/>
              <w:bottom w:val="nil"/>
              <w:right w:val="nil"/>
            </w:tcBorders>
            <w:shd w:val="clear" w:color="auto" w:fill="auto"/>
            <w:noWrap/>
            <w:vAlign w:val="center"/>
          </w:tcPr>
          <w:p w14:paraId="408596D0" w14:textId="77777777" w:rsidR="007F5E16" w:rsidRPr="00A642E7" w:rsidRDefault="007F5E16" w:rsidP="007F5E16">
            <w:pPr>
              <w:spacing w:after="0" w:line="240" w:lineRule="auto"/>
              <w:rPr>
                <w:rFonts w:ascii="Arial" w:eastAsia="Times New Roman" w:hAnsi="Arial" w:cs="Arial"/>
                <w:color w:val="000000"/>
                <w:sz w:val="20"/>
                <w:szCs w:val="20"/>
                <w:lang w:eastAsia="es-EC"/>
              </w:rPr>
            </w:pPr>
          </w:p>
        </w:tc>
        <w:tc>
          <w:tcPr>
            <w:tcW w:w="1559" w:type="dxa"/>
            <w:tcBorders>
              <w:top w:val="double" w:sz="4" w:space="0" w:color="auto"/>
              <w:left w:val="nil"/>
              <w:bottom w:val="nil"/>
              <w:right w:val="nil"/>
            </w:tcBorders>
            <w:shd w:val="clear" w:color="auto" w:fill="auto"/>
            <w:noWrap/>
            <w:vAlign w:val="bottom"/>
          </w:tcPr>
          <w:p w14:paraId="5FF78C3E"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c>
          <w:tcPr>
            <w:tcW w:w="284" w:type="dxa"/>
            <w:tcBorders>
              <w:top w:val="nil"/>
              <w:left w:val="nil"/>
              <w:bottom w:val="nil"/>
              <w:right w:val="nil"/>
            </w:tcBorders>
            <w:shd w:val="clear" w:color="auto" w:fill="auto"/>
            <w:noWrap/>
            <w:vAlign w:val="center"/>
          </w:tcPr>
          <w:p w14:paraId="36CC08D5"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c>
          <w:tcPr>
            <w:tcW w:w="1478" w:type="dxa"/>
            <w:tcBorders>
              <w:top w:val="double" w:sz="4" w:space="0" w:color="auto"/>
              <w:left w:val="nil"/>
              <w:bottom w:val="nil"/>
              <w:right w:val="nil"/>
            </w:tcBorders>
            <w:shd w:val="clear" w:color="auto" w:fill="auto"/>
            <w:noWrap/>
            <w:vAlign w:val="bottom"/>
          </w:tcPr>
          <w:p w14:paraId="4C7B92D8" w14:textId="77777777" w:rsidR="007F5E16" w:rsidRPr="00A642E7" w:rsidRDefault="007F5E16" w:rsidP="007F5E16">
            <w:pPr>
              <w:spacing w:after="0" w:line="240" w:lineRule="auto"/>
              <w:jc w:val="right"/>
              <w:rPr>
                <w:rFonts w:ascii="Arial" w:eastAsia="Times New Roman" w:hAnsi="Arial" w:cs="Arial"/>
                <w:color w:val="000000"/>
                <w:sz w:val="20"/>
                <w:szCs w:val="20"/>
                <w:lang w:eastAsia="es-EC"/>
              </w:rPr>
            </w:pPr>
          </w:p>
        </w:tc>
      </w:tr>
    </w:tbl>
    <w:p w14:paraId="4F065D71" w14:textId="1EE0F35D" w:rsidR="007F5E16" w:rsidRDefault="007F5E16" w:rsidP="007F5E16">
      <w:pPr>
        <w:spacing w:after="0" w:line="240" w:lineRule="auto"/>
        <w:ind w:left="426"/>
        <w:rPr>
          <w:rFonts w:ascii="Arial" w:hAnsi="Arial" w:cs="Arial"/>
          <w:sz w:val="20"/>
          <w:szCs w:val="20"/>
          <w:lang w:eastAsia="es-EC"/>
        </w:rPr>
      </w:pPr>
      <w:r>
        <w:rPr>
          <w:rFonts w:ascii="Arial" w:hAnsi="Arial" w:cs="Arial"/>
          <w:sz w:val="20"/>
          <w:szCs w:val="20"/>
          <w:lang w:eastAsia="es-EC"/>
        </w:rPr>
        <w:t>Durante el año 2020, el movimiento comparativo de los activos por impuestos diferidos fue como sigue:</w:t>
      </w:r>
    </w:p>
    <w:p w14:paraId="36E4EEAF" w14:textId="77777777" w:rsidR="007F5E16" w:rsidRDefault="007F5E16" w:rsidP="007F5E16">
      <w:pPr>
        <w:spacing w:after="0" w:line="240" w:lineRule="auto"/>
        <w:ind w:left="426"/>
        <w:rPr>
          <w:rFonts w:ascii="Arial" w:hAnsi="Arial" w:cs="Arial"/>
          <w:sz w:val="20"/>
          <w:szCs w:val="20"/>
          <w:lang w:eastAsia="es-EC"/>
        </w:rPr>
      </w:pPr>
    </w:p>
    <w:tbl>
      <w:tblPr>
        <w:tblW w:w="9133" w:type="dxa"/>
        <w:tblCellMar>
          <w:left w:w="70" w:type="dxa"/>
          <w:right w:w="70" w:type="dxa"/>
        </w:tblCellMar>
        <w:tblLook w:val="04A0" w:firstRow="1" w:lastRow="0" w:firstColumn="1" w:lastColumn="0" w:noHBand="0" w:noVBand="1"/>
      </w:tblPr>
      <w:tblGrid>
        <w:gridCol w:w="567"/>
        <w:gridCol w:w="5386"/>
        <w:gridCol w:w="1418"/>
        <w:gridCol w:w="284"/>
        <w:gridCol w:w="1478"/>
      </w:tblGrid>
      <w:tr w:rsidR="007F5E16" w:rsidRPr="00810CBA" w14:paraId="6E231D07" w14:textId="77777777" w:rsidTr="00EA5F8C">
        <w:trPr>
          <w:trHeight w:val="300"/>
        </w:trPr>
        <w:tc>
          <w:tcPr>
            <w:tcW w:w="567" w:type="dxa"/>
            <w:tcBorders>
              <w:top w:val="nil"/>
              <w:left w:val="nil"/>
              <w:bottom w:val="nil"/>
              <w:right w:val="nil"/>
            </w:tcBorders>
          </w:tcPr>
          <w:p w14:paraId="564839CB" w14:textId="77777777" w:rsidR="007F5E16" w:rsidRPr="00810CBA" w:rsidRDefault="007F5E16" w:rsidP="003F2703">
            <w:pPr>
              <w:spacing w:after="0" w:line="240" w:lineRule="auto"/>
              <w:rPr>
                <w:rFonts w:ascii="Arial" w:eastAsia="Times New Roman" w:hAnsi="Arial" w:cs="Arial"/>
                <w:b/>
                <w:bCs/>
                <w:color w:val="000000"/>
                <w:sz w:val="20"/>
                <w:szCs w:val="20"/>
                <w:u w:val="single"/>
                <w:lang w:eastAsia="es-EC"/>
              </w:rPr>
            </w:pPr>
          </w:p>
        </w:tc>
        <w:tc>
          <w:tcPr>
            <w:tcW w:w="5386" w:type="dxa"/>
            <w:tcBorders>
              <w:top w:val="nil"/>
              <w:left w:val="nil"/>
              <w:bottom w:val="nil"/>
              <w:right w:val="nil"/>
            </w:tcBorders>
            <w:shd w:val="clear" w:color="auto" w:fill="auto"/>
            <w:noWrap/>
            <w:vAlign w:val="center"/>
            <w:hideMark/>
          </w:tcPr>
          <w:p w14:paraId="2BDDFA96" w14:textId="77777777" w:rsidR="007F5E16" w:rsidRPr="00810CBA" w:rsidRDefault="007F5E16" w:rsidP="003F2703">
            <w:pPr>
              <w:spacing w:after="0" w:line="240" w:lineRule="auto"/>
              <w:rPr>
                <w:rFonts w:ascii="Arial" w:eastAsia="Times New Roman" w:hAnsi="Arial" w:cs="Arial"/>
                <w:b/>
                <w:bCs/>
                <w:color w:val="000000"/>
                <w:sz w:val="20"/>
                <w:szCs w:val="20"/>
                <w:u w:val="single"/>
                <w:lang w:eastAsia="es-EC"/>
              </w:rPr>
            </w:pPr>
          </w:p>
        </w:tc>
        <w:tc>
          <w:tcPr>
            <w:tcW w:w="1418" w:type="dxa"/>
            <w:tcBorders>
              <w:top w:val="nil"/>
              <w:left w:val="nil"/>
              <w:bottom w:val="single" w:sz="8" w:space="0" w:color="auto"/>
              <w:right w:val="nil"/>
            </w:tcBorders>
            <w:shd w:val="clear" w:color="auto" w:fill="auto"/>
            <w:noWrap/>
            <w:vAlign w:val="center"/>
            <w:hideMark/>
          </w:tcPr>
          <w:p w14:paraId="7DE31E29" w14:textId="77777777" w:rsidR="007F5E16" w:rsidRPr="007F09FE" w:rsidRDefault="007F5E16" w:rsidP="003F2703">
            <w:pPr>
              <w:spacing w:after="0" w:line="240" w:lineRule="auto"/>
              <w:jc w:val="right"/>
              <w:rPr>
                <w:rFonts w:ascii="Arial" w:eastAsia="Times New Roman" w:hAnsi="Arial" w:cs="Arial"/>
                <w:b/>
                <w:bCs/>
                <w:color w:val="000000"/>
                <w:sz w:val="20"/>
                <w:szCs w:val="20"/>
                <w:lang w:eastAsia="es-EC"/>
              </w:rPr>
            </w:pPr>
            <w:r w:rsidRPr="007F09FE">
              <w:rPr>
                <w:rFonts w:ascii="Arial" w:eastAsia="Times New Roman" w:hAnsi="Arial" w:cs="Arial"/>
                <w:b/>
                <w:bCs/>
                <w:color w:val="000000"/>
                <w:sz w:val="20"/>
                <w:szCs w:val="20"/>
                <w:lang w:eastAsia="es-EC"/>
              </w:rPr>
              <w:t>2020</w:t>
            </w:r>
          </w:p>
        </w:tc>
        <w:tc>
          <w:tcPr>
            <w:tcW w:w="284" w:type="dxa"/>
            <w:tcBorders>
              <w:top w:val="nil"/>
              <w:left w:val="nil"/>
              <w:bottom w:val="nil"/>
              <w:right w:val="nil"/>
            </w:tcBorders>
            <w:shd w:val="clear" w:color="auto" w:fill="auto"/>
            <w:noWrap/>
            <w:vAlign w:val="center"/>
            <w:hideMark/>
          </w:tcPr>
          <w:p w14:paraId="0D090AA7" w14:textId="77777777" w:rsidR="007F5E16" w:rsidRPr="00810CBA" w:rsidRDefault="007F5E16" w:rsidP="003F2703">
            <w:pPr>
              <w:spacing w:after="0" w:line="240" w:lineRule="auto"/>
              <w:jc w:val="right"/>
              <w:rPr>
                <w:rFonts w:ascii="Arial" w:eastAsia="Times New Roman" w:hAnsi="Arial" w:cs="Arial"/>
                <w:b/>
                <w:bCs/>
                <w:color w:val="000000"/>
                <w:sz w:val="20"/>
                <w:szCs w:val="20"/>
                <w:u w:val="single"/>
                <w:lang w:eastAsia="es-EC"/>
              </w:rPr>
            </w:pPr>
          </w:p>
        </w:tc>
        <w:tc>
          <w:tcPr>
            <w:tcW w:w="1478" w:type="dxa"/>
            <w:tcBorders>
              <w:top w:val="nil"/>
              <w:left w:val="nil"/>
              <w:bottom w:val="single" w:sz="8" w:space="0" w:color="auto"/>
              <w:right w:val="nil"/>
            </w:tcBorders>
            <w:shd w:val="clear" w:color="auto" w:fill="auto"/>
            <w:noWrap/>
            <w:vAlign w:val="center"/>
            <w:hideMark/>
          </w:tcPr>
          <w:p w14:paraId="2EEA509B" w14:textId="77777777" w:rsidR="007F5E16" w:rsidRPr="007F09FE" w:rsidRDefault="007F5E16" w:rsidP="003F2703">
            <w:pPr>
              <w:spacing w:after="0" w:line="240" w:lineRule="auto"/>
              <w:jc w:val="right"/>
              <w:rPr>
                <w:rFonts w:ascii="Arial" w:eastAsia="Times New Roman" w:hAnsi="Arial" w:cs="Arial"/>
                <w:b/>
                <w:bCs/>
                <w:color w:val="000000"/>
                <w:sz w:val="20"/>
                <w:szCs w:val="20"/>
                <w:lang w:eastAsia="es-EC"/>
              </w:rPr>
            </w:pPr>
            <w:r w:rsidRPr="007F09FE">
              <w:rPr>
                <w:rFonts w:ascii="Arial" w:eastAsia="Times New Roman" w:hAnsi="Arial" w:cs="Arial"/>
                <w:b/>
                <w:bCs/>
                <w:color w:val="000000"/>
                <w:sz w:val="20"/>
                <w:szCs w:val="20"/>
                <w:lang w:eastAsia="es-EC"/>
              </w:rPr>
              <w:t>2019</w:t>
            </w:r>
          </w:p>
        </w:tc>
      </w:tr>
      <w:tr w:rsidR="007F5E16" w:rsidRPr="00810CBA" w14:paraId="644BF8A6" w14:textId="77777777" w:rsidTr="00EA5F8C">
        <w:trPr>
          <w:trHeight w:val="285"/>
        </w:trPr>
        <w:tc>
          <w:tcPr>
            <w:tcW w:w="567" w:type="dxa"/>
            <w:tcBorders>
              <w:top w:val="nil"/>
              <w:left w:val="nil"/>
              <w:bottom w:val="nil"/>
              <w:right w:val="nil"/>
            </w:tcBorders>
          </w:tcPr>
          <w:p w14:paraId="541D83C3" w14:textId="77777777" w:rsidR="007F5E16" w:rsidRPr="00810CBA" w:rsidRDefault="007F5E16" w:rsidP="003F2703">
            <w:pPr>
              <w:spacing w:after="0" w:line="240" w:lineRule="auto"/>
              <w:jc w:val="right"/>
              <w:rPr>
                <w:rFonts w:ascii="Arial" w:eastAsia="Times New Roman" w:hAnsi="Arial" w:cs="Arial"/>
                <w:b/>
                <w:bCs/>
                <w:color w:val="000000"/>
                <w:sz w:val="20"/>
                <w:szCs w:val="20"/>
                <w:u w:val="single"/>
                <w:lang w:eastAsia="es-EC"/>
              </w:rPr>
            </w:pPr>
          </w:p>
        </w:tc>
        <w:tc>
          <w:tcPr>
            <w:tcW w:w="5386" w:type="dxa"/>
            <w:tcBorders>
              <w:top w:val="nil"/>
              <w:left w:val="nil"/>
              <w:right w:val="nil"/>
            </w:tcBorders>
            <w:shd w:val="clear" w:color="auto" w:fill="auto"/>
            <w:noWrap/>
            <w:vAlign w:val="center"/>
            <w:hideMark/>
          </w:tcPr>
          <w:p w14:paraId="0B54B12D" w14:textId="77777777" w:rsidR="007F5E16" w:rsidRPr="00810CBA" w:rsidRDefault="007F5E16" w:rsidP="003F2703">
            <w:pPr>
              <w:spacing w:after="0" w:line="240" w:lineRule="auto"/>
              <w:jc w:val="right"/>
              <w:rPr>
                <w:rFonts w:ascii="Arial" w:eastAsia="Times New Roman" w:hAnsi="Arial" w:cs="Arial"/>
                <w:b/>
                <w:bCs/>
                <w:color w:val="000000"/>
                <w:sz w:val="20"/>
                <w:szCs w:val="20"/>
                <w:u w:val="single"/>
                <w:lang w:eastAsia="es-EC"/>
              </w:rPr>
            </w:pPr>
          </w:p>
        </w:tc>
        <w:tc>
          <w:tcPr>
            <w:tcW w:w="1418" w:type="dxa"/>
            <w:tcBorders>
              <w:top w:val="single" w:sz="8" w:space="0" w:color="auto"/>
              <w:left w:val="nil"/>
              <w:right w:val="nil"/>
            </w:tcBorders>
            <w:shd w:val="clear" w:color="auto" w:fill="auto"/>
            <w:noWrap/>
            <w:vAlign w:val="center"/>
            <w:hideMark/>
          </w:tcPr>
          <w:p w14:paraId="4B1DBCF3" w14:textId="77777777" w:rsidR="007F5E16" w:rsidRPr="00810CBA" w:rsidRDefault="007F5E16" w:rsidP="003F2703">
            <w:pPr>
              <w:spacing w:after="0" w:line="240" w:lineRule="auto"/>
              <w:rPr>
                <w:rFonts w:ascii="Arial" w:eastAsia="Times New Roman" w:hAnsi="Arial" w:cs="Arial"/>
                <w:sz w:val="20"/>
                <w:szCs w:val="20"/>
                <w:lang w:eastAsia="es-EC"/>
              </w:rPr>
            </w:pPr>
          </w:p>
        </w:tc>
        <w:tc>
          <w:tcPr>
            <w:tcW w:w="284" w:type="dxa"/>
            <w:tcBorders>
              <w:top w:val="nil"/>
              <w:left w:val="nil"/>
              <w:right w:val="nil"/>
            </w:tcBorders>
            <w:shd w:val="clear" w:color="auto" w:fill="auto"/>
            <w:noWrap/>
            <w:vAlign w:val="center"/>
            <w:hideMark/>
          </w:tcPr>
          <w:p w14:paraId="4EE6998F" w14:textId="77777777" w:rsidR="007F5E16" w:rsidRPr="00810CBA" w:rsidRDefault="007F5E16" w:rsidP="003F2703">
            <w:pPr>
              <w:spacing w:after="0" w:line="240" w:lineRule="auto"/>
              <w:rPr>
                <w:rFonts w:ascii="Arial" w:eastAsia="Times New Roman" w:hAnsi="Arial" w:cs="Arial"/>
                <w:sz w:val="20"/>
                <w:szCs w:val="20"/>
                <w:lang w:eastAsia="es-EC"/>
              </w:rPr>
            </w:pPr>
          </w:p>
        </w:tc>
        <w:tc>
          <w:tcPr>
            <w:tcW w:w="1478" w:type="dxa"/>
            <w:tcBorders>
              <w:top w:val="single" w:sz="8" w:space="0" w:color="auto"/>
              <w:left w:val="nil"/>
              <w:right w:val="nil"/>
            </w:tcBorders>
            <w:shd w:val="clear" w:color="auto" w:fill="auto"/>
            <w:noWrap/>
            <w:vAlign w:val="center"/>
            <w:hideMark/>
          </w:tcPr>
          <w:p w14:paraId="7F9DD046" w14:textId="77777777" w:rsidR="007F5E16" w:rsidRPr="00810CBA" w:rsidRDefault="007F5E16" w:rsidP="003F2703">
            <w:pPr>
              <w:spacing w:after="0" w:line="240" w:lineRule="auto"/>
              <w:rPr>
                <w:rFonts w:ascii="Arial" w:eastAsia="Times New Roman" w:hAnsi="Arial" w:cs="Arial"/>
                <w:sz w:val="20"/>
                <w:szCs w:val="20"/>
                <w:lang w:eastAsia="es-EC"/>
              </w:rPr>
            </w:pPr>
          </w:p>
        </w:tc>
      </w:tr>
      <w:tr w:rsidR="007F5E16" w:rsidRPr="00810CBA" w14:paraId="07787E9E" w14:textId="77777777" w:rsidTr="00EA5F8C">
        <w:trPr>
          <w:trHeight w:val="285"/>
        </w:trPr>
        <w:tc>
          <w:tcPr>
            <w:tcW w:w="567" w:type="dxa"/>
            <w:tcBorders>
              <w:top w:val="nil"/>
              <w:left w:val="nil"/>
              <w:right w:val="nil"/>
            </w:tcBorders>
          </w:tcPr>
          <w:p w14:paraId="518EF5CF"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top w:val="nil"/>
              <w:left w:val="nil"/>
              <w:right w:val="nil"/>
            </w:tcBorders>
            <w:shd w:val="clear" w:color="auto" w:fill="auto"/>
            <w:noWrap/>
            <w:vAlign w:val="center"/>
          </w:tcPr>
          <w:p w14:paraId="7478E98D" w14:textId="77777777" w:rsidR="007F5E16" w:rsidRPr="00457D4B" w:rsidRDefault="007F5E16" w:rsidP="003F2703">
            <w:pPr>
              <w:spacing w:after="0" w:line="240" w:lineRule="auto"/>
              <w:rPr>
                <w:rFonts w:ascii="Arial" w:eastAsia="Times New Roman" w:hAnsi="Arial" w:cs="Arial"/>
                <w:color w:val="000000"/>
                <w:sz w:val="20"/>
                <w:szCs w:val="20"/>
                <w:lang w:eastAsia="es-EC"/>
              </w:rPr>
            </w:pPr>
            <w:r w:rsidRPr="00457D4B">
              <w:rPr>
                <w:rFonts w:ascii="Arial" w:eastAsia="Times New Roman" w:hAnsi="Arial" w:cs="Arial"/>
                <w:color w:val="000000"/>
                <w:sz w:val="20"/>
                <w:szCs w:val="20"/>
                <w:lang w:eastAsia="es-EC"/>
              </w:rPr>
              <w:t>Saldo al inicio del año</w:t>
            </w:r>
          </w:p>
        </w:tc>
        <w:tc>
          <w:tcPr>
            <w:tcW w:w="1418" w:type="dxa"/>
            <w:tcBorders>
              <w:top w:val="nil"/>
              <w:left w:val="nil"/>
              <w:right w:val="nil"/>
            </w:tcBorders>
            <w:shd w:val="clear" w:color="auto" w:fill="auto"/>
            <w:noWrap/>
            <w:vAlign w:val="bottom"/>
          </w:tcPr>
          <w:p w14:paraId="5DA4C0E1" w14:textId="20707A93" w:rsidR="007F5E16" w:rsidRPr="00A642E7" w:rsidRDefault="0048303D" w:rsidP="003F2703">
            <w:pPr>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eastAsia="es-EC"/>
              </w:rPr>
              <w:t>3,561,499</w:t>
            </w:r>
          </w:p>
        </w:tc>
        <w:tc>
          <w:tcPr>
            <w:tcW w:w="284" w:type="dxa"/>
            <w:tcBorders>
              <w:top w:val="nil"/>
              <w:left w:val="nil"/>
              <w:right w:val="nil"/>
            </w:tcBorders>
            <w:shd w:val="clear" w:color="auto" w:fill="auto"/>
            <w:noWrap/>
            <w:vAlign w:val="bottom"/>
          </w:tcPr>
          <w:p w14:paraId="14885EEB"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c>
          <w:tcPr>
            <w:tcW w:w="1478" w:type="dxa"/>
            <w:tcBorders>
              <w:top w:val="nil"/>
              <w:left w:val="nil"/>
              <w:right w:val="nil"/>
            </w:tcBorders>
            <w:shd w:val="clear" w:color="auto" w:fill="auto"/>
            <w:noWrap/>
            <w:vAlign w:val="bottom"/>
          </w:tcPr>
          <w:p w14:paraId="4EAE156B" w14:textId="38265957" w:rsidR="007F5E16" w:rsidRPr="00A642E7" w:rsidRDefault="0048303D" w:rsidP="003F2703">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323,575</w:t>
            </w:r>
          </w:p>
        </w:tc>
      </w:tr>
      <w:tr w:rsidR="007F5E16" w:rsidRPr="00810CBA" w14:paraId="15A6BA85" w14:textId="77777777" w:rsidTr="00EA5F8C">
        <w:trPr>
          <w:trHeight w:val="285"/>
        </w:trPr>
        <w:tc>
          <w:tcPr>
            <w:tcW w:w="567" w:type="dxa"/>
            <w:tcBorders>
              <w:top w:val="nil"/>
              <w:left w:val="nil"/>
              <w:right w:val="nil"/>
            </w:tcBorders>
          </w:tcPr>
          <w:p w14:paraId="349E3796"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top w:val="nil"/>
              <w:left w:val="nil"/>
              <w:right w:val="nil"/>
            </w:tcBorders>
            <w:shd w:val="clear" w:color="auto" w:fill="auto"/>
            <w:noWrap/>
            <w:vAlign w:val="center"/>
          </w:tcPr>
          <w:p w14:paraId="34C73435" w14:textId="6E049B6B" w:rsidR="007F5E16" w:rsidRPr="00A642E7" w:rsidRDefault="00E52E2C" w:rsidP="003F2703">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Ajustes año</w:t>
            </w:r>
            <w:r w:rsidR="0048303D">
              <w:rPr>
                <w:rFonts w:ascii="Arial" w:eastAsia="Times New Roman" w:hAnsi="Arial" w:cs="Arial"/>
                <w:color w:val="000000"/>
                <w:sz w:val="20"/>
                <w:szCs w:val="20"/>
                <w:lang w:eastAsia="es-EC"/>
              </w:rPr>
              <w:t>s anteriores</w:t>
            </w:r>
          </w:p>
        </w:tc>
        <w:tc>
          <w:tcPr>
            <w:tcW w:w="1418" w:type="dxa"/>
            <w:tcBorders>
              <w:top w:val="nil"/>
              <w:left w:val="nil"/>
              <w:right w:val="nil"/>
            </w:tcBorders>
            <w:shd w:val="clear" w:color="auto" w:fill="auto"/>
            <w:noWrap/>
            <w:vAlign w:val="bottom"/>
          </w:tcPr>
          <w:p w14:paraId="592AB05E" w14:textId="29D4E25D" w:rsidR="007F5E16" w:rsidRPr="00A642E7" w:rsidRDefault="0048303D" w:rsidP="003F2703">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84" w:type="dxa"/>
            <w:tcBorders>
              <w:top w:val="nil"/>
              <w:left w:val="nil"/>
              <w:right w:val="nil"/>
            </w:tcBorders>
            <w:shd w:val="clear" w:color="auto" w:fill="auto"/>
            <w:noWrap/>
            <w:vAlign w:val="bottom"/>
          </w:tcPr>
          <w:p w14:paraId="55BCDB31"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c>
          <w:tcPr>
            <w:tcW w:w="1478" w:type="dxa"/>
            <w:tcBorders>
              <w:top w:val="nil"/>
              <w:left w:val="nil"/>
              <w:right w:val="nil"/>
            </w:tcBorders>
            <w:shd w:val="clear" w:color="auto" w:fill="auto"/>
            <w:noWrap/>
            <w:vAlign w:val="bottom"/>
          </w:tcPr>
          <w:p w14:paraId="4931C6DC" w14:textId="21706506" w:rsidR="007F5E16" w:rsidRPr="00A642E7" w:rsidRDefault="0048303D" w:rsidP="003F2703">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2,806,067</w:t>
            </w:r>
          </w:p>
        </w:tc>
      </w:tr>
      <w:tr w:rsidR="007F5E16" w:rsidRPr="00810CBA" w14:paraId="218CA77B" w14:textId="77777777" w:rsidTr="00EA5F8C">
        <w:trPr>
          <w:trHeight w:val="285"/>
        </w:trPr>
        <w:tc>
          <w:tcPr>
            <w:tcW w:w="567" w:type="dxa"/>
            <w:tcBorders>
              <w:top w:val="nil"/>
              <w:left w:val="nil"/>
              <w:right w:val="nil"/>
            </w:tcBorders>
          </w:tcPr>
          <w:p w14:paraId="384E3691"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left w:val="nil"/>
              <w:right w:val="nil"/>
            </w:tcBorders>
            <w:shd w:val="clear" w:color="auto" w:fill="auto"/>
            <w:noWrap/>
            <w:vAlign w:val="center"/>
          </w:tcPr>
          <w:p w14:paraId="2B901FA2" w14:textId="77777777" w:rsidR="007F5E16" w:rsidRPr="00A642E7" w:rsidRDefault="007F5E16" w:rsidP="003F2703">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Cargado a los resultados</w:t>
            </w:r>
          </w:p>
        </w:tc>
        <w:tc>
          <w:tcPr>
            <w:tcW w:w="1418" w:type="dxa"/>
            <w:tcBorders>
              <w:left w:val="nil"/>
              <w:bottom w:val="single" w:sz="4" w:space="0" w:color="auto"/>
              <w:right w:val="nil"/>
            </w:tcBorders>
            <w:shd w:val="clear" w:color="auto" w:fill="auto"/>
            <w:noWrap/>
            <w:vAlign w:val="bottom"/>
          </w:tcPr>
          <w:p w14:paraId="531A6437" w14:textId="31E62F23" w:rsidR="007F5E16" w:rsidRPr="00A642E7" w:rsidRDefault="00E52E2C" w:rsidP="003F2703">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1,571,924</w:t>
            </w:r>
          </w:p>
        </w:tc>
        <w:tc>
          <w:tcPr>
            <w:tcW w:w="284" w:type="dxa"/>
            <w:tcBorders>
              <w:left w:val="nil"/>
              <w:right w:val="nil"/>
            </w:tcBorders>
            <w:shd w:val="clear" w:color="auto" w:fill="auto"/>
            <w:noWrap/>
            <w:vAlign w:val="bottom"/>
          </w:tcPr>
          <w:p w14:paraId="36836E11"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c>
          <w:tcPr>
            <w:tcW w:w="1478" w:type="dxa"/>
            <w:tcBorders>
              <w:left w:val="nil"/>
              <w:bottom w:val="single" w:sz="4" w:space="0" w:color="auto"/>
              <w:right w:val="nil"/>
            </w:tcBorders>
            <w:shd w:val="clear" w:color="auto" w:fill="auto"/>
            <w:noWrap/>
            <w:vAlign w:val="bottom"/>
          </w:tcPr>
          <w:p w14:paraId="6B226514" w14:textId="78B8E168" w:rsidR="007F5E16" w:rsidRPr="00A642E7" w:rsidRDefault="0048303D" w:rsidP="003F2703">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431,857</w:t>
            </w:r>
          </w:p>
        </w:tc>
      </w:tr>
      <w:tr w:rsidR="007F5E16" w:rsidRPr="00810CBA" w14:paraId="26F5F456" w14:textId="77777777" w:rsidTr="00EA5F8C">
        <w:trPr>
          <w:trHeight w:val="285"/>
        </w:trPr>
        <w:tc>
          <w:tcPr>
            <w:tcW w:w="567" w:type="dxa"/>
            <w:tcBorders>
              <w:left w:val="nil"/>
              <w:right w:val="nil"/>
            </w:tcBorders>
          </w:tcPr>
          <w:p w14:paraId="2C01CCDC"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left w:val="nil"/>
              <w:right w:val="nil"/>
            </w:tcBorders>
            <w:shd w:val="clear" w:color="auto" w:fill="auto"/>
            <w:noWrap/>
            <w:vAlign w:val="center"/>
          </w:tcPr>
          <w:p w14:paraId="5C1CF015" w14:textId="77777777" w:rsidR="007F5E16" w:rsidRPr="00A642E7" w:rsidRDefault="007F5E16" w:rsidP="003F2703">
            <w:pPr>
              <w:spacing w:after="0" w:line="240" w:lineRule="auto"/>
              <w:rPr>
                <w:rFonts w:ascii="Arial" w:eastAsia="Times New Roman" w:hAnsi="Arial" w:cs="Arial"/>
                <w:color w:val="000000"/>
                <w:sz w:val="20"/>
                <w:szCs w:val="20"/>
                <w:lang w:eastAsia="es-EC"/>
              </w:rPr>
            </w:pPr>
          </w:p>
        </w:tc>
        <w:tc>
          <w:tcPr>
            <w:tcW w:w="1418" w:type="dxa"/>
            <w:tcBorders>
              <w:top w:val="single" w:sz="4" w:space="0" w:color="auto"/>
              <w:left w:val="nil"/>
              <w:right w:val="nil"/>
            </w:tcBorders>
            <w:shd w:val="clear" w:color="auto" w:fill="auto"/>
            <w:noWrap/>
            <w:vAlign w:val="bottom"/>
          </w:tcPr>
          <w:p w14:paraId="5D333F80"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c>
          <w:tcPr>
            <w:tcW w:w="284" w:type="dxa"/>
            <w:tcBorders>
              <w:left w:val="nil"/>
              <w:right w:val="nil"/>
            </w:tcBorders>
            <w:shd w:val="clear" w:color="auto" w:fill="auto"/>
            <w:noWrap/>
            <w:vAlign w:val="bottom"/>
          </w:tcPr>
          <w:p w14:paraId="12180498"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c>
          <w:tcPr>
            <w:tcW w:w="1478" w:type="dxa"/>
            <w:tcBorders>
              <w:top w:val="single" w:sz="4" w:space="0" w:color="auto"/>
              <w:left w:val="nil"/>
              <w:right w:val="nil"/>
            </w:tcBorders>
            <w:shd w:val="clear" w:color="auto" w:fill="auto"/>
            <w:noWrap/>
            <w:vAlign w:val="bottom"/>
          </w:tcPr>
          <w:p w14:paraId="3E74EEB2" w14:textId="77777777" w:rsidR="007F5E16" w:rsidRPr="00A642E7" w:rsidRDefault="007F5E16" w:rsidP="003F2703">
            <w:pPr>
              <w:spacing w:after="0" w:line="240" w:lineRule="auto"/>
              <w:jc w:val="right"/>
              <w:rPr>
                <w:rFonts w:ascii="Arial" w:eastAsia="Times New Roman" w:hAnsi="Arial" w:cs="Arial"/>
                <w:sz w:val="20"/>
                <w:szCs w:val="20"/>
                <w:lang w:eastAsia="es-EC"/>
              </w:rPr>
            </w:pPr>
          </w:p>
        </w:tc>
      </w:tr>
      <w:tr w:rsidR="007F5E16" w:rsidRPr="00810CBA" w14:paraId="58771A0C" w14:textId="77777777" w:rsidTr="00EA5F8C">
        <w:trPr>
          <w:trHeight w:val="285"/>
        </w:trPr>
        <w:tc>
          <w:tcPr>
            <w:tcW w:w="567" w:type="dxa"/>
            <w:tcBorders>
              <w:top w:val="nil"/>
              <w:left w:val="nil"/>
              <w:right w:val="nil"/>
            </w:tcBorders>
          </w:tcPr>
          <w:p w14:paraId="44AB60A2"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left w:val="nil"/>
              <w:right w:val="nil"/>
            </w:tcBorders>
            <w:shd w:val="clear" w:color="auto" w:fill="auto"/>
            <w:noWrap/>
            <w:vAlign w:val="center"/>
          </w:tcPr>
          <w:p w14:paraId="7DA6F513" w14:textId="77777777" w:rsidR="007F5E16" w:rsidRPr="00A642E7" w:rsidRDefault="007F5E16" w:rsidP="003F2703">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Saldo al final del año </w:t>
            </w:r>
          </w:p>
        </w:tc>
        <w:tc>
          <w:tcPr>
            <w:tcW w:w="1418" w:type="dxa"/>
            <w:tcBorders>
              <w:left w:val="nil"/>
              <w:bottom w:val="double" w:sz="4" w:space="0" w:color="auto"/>
              <w:right w:val="nil"/>
            </w:tcBorders>
            <w:shd w:val="clear" w:color="auto" w:fill="auto"/>
            <w:noWrap/>
            <w:vAlign w:val="bottom"/>
          </w:tcPr>
          <w:p w14:paraId="0914CC06" w14:textId="42B61ACA" w:rsidR="007F5E16" w:rsidRPr="00A642E7" w:rsidRDefault="00E52E2C" w:rsidP="003F2703">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5,133,423</w:t>
            </w:r>
          </w:p>
        </w:tc>
        <w:tc>
          <w:tcPr>
            <w:tcW w:w="284" w:type="dxa"/>
            <w:tcBorders>
              <w:left w:val="nil"/>
              <w:right w:val="nil"/>
            </w:tcBorders>
            <w:shd w:val="clear" w:color="auto" w:fill="auto"/>
            <w:noWrap/>
            <w:vAlign w:val="center"/>
          </w:tcPr>
          <w:p w14:paraId="7DE3A7DD" w14:textId="77777777" w:rsidR="007F5E16" w:rsidRPr="00A642E7" w:rsidRDefault="007F5E16" w:rsidP="003F2703">
            <w:pPr>
              <w:spacing w:after="0" w:line="240" w:lineRule="auto"/>
              <w:jc w:val="right"/>
              <w:rPr>
                <w:rFonts w:ascii="Arial" w:eastAsia="Times New Roman" w:hAnsi="Arial" w:cs="Arial"/>
                <w:color w:val="000000"/>
                <w:sz w:val="20"/>
                <w:szCs w:val="20"/>
                <w:lang w:eastAsia="es-EC"/>
              </w:rPr>
            </w:pPr>
          </w:p>
        </w:tc>
        <w:tc>
          <w:tcPr>
            <w:tcW w:w="1478" w:type="dxa"/>
            <w:tcBorders>
              <w:left w:val="nil"/>
              <w:bottom w:val="double" w:sz="4" w:space="0" w:color="auto"/>
              <w:right w:val="nil"/>
            </w:tcBorders>
            <w:shd w:val="clear" w:color="auto" w:fill="auto"/>
            <w:noWrap/>
            <w:vAlign w:val="bottom"/>
          </w:tcPr>
          <w:p w14:paraId="21ABD780" w14:textId="2071AD2B" w:rsidR="007F5E16" w:rsidRPr="00A642E7" w:rsidRDefault="00E52E2C" w:rsidP="003F2703">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3,561,499</w:t>
            </w:r>
          </w:p>
        </w:tc>
      </w:tr>
      <w:tr w:rsidR="007F5E16" w:rsidRPr="00810CBA" w14:paraId="319E68CB" w14:textId="77777777" w:rsidTr="00EA5F8C">
        <w:trPr>
          <w:trHeight w:val="285"/>
        </w:trPr>
        <w:tc>
          <w:tcPr>
            <w:tcW w:w="567" w:type="dxa"/>
            <w:tcBorders>
              <w:left w:val="nil"/>
              <w:bottom w:val="nil"/>
              <w:right w:val="nil"/>
            </w:tcBorders>
          </w:tcPr>
          <w:p w14:paraId="6C2F2250" w14:textId="77777777" w:rsidR="007F5E16" w:rsidRPr="00810CBA" w:rsidRDefault="007F5E16" w:rsidP="003F2703">
            <w:pPr>
              <w:spacing w:after="0" w:line="240" w:lineRule="auto"/>
              <w:rPr>
                <w:rFonts w:ascii="Arial" w:eastAsia="Times New Roman" w:hAnsi="Arial" w:cs="Arial"/>
                <w:color w:val="000000"/>
                <w:sz w:val="20"/>
                <w:szCs w:val="20"/>
                <w:lang w:eastAsia="es-EC"/>
              </w:rPr>
            </w:pPr>
          </w:p>
        </w:tc>
        <w:tc>
          <w:tcPr>
            <w:tcW w:w="5386" w:type="dxa"/>
            <w:tcBorders>
              <w:left w:val="nil"/>
              <w:bottom w:val="nil"/>
              <w:right w:val="nil"/>
            </w:tcBorders>
            <w:shd w:val="clear" w:color="auto" w:fill="auto"/>
            <w:noWrap/>
            <w:vAlign w:val="center"/>
          </w:tcPr>
          <w:p w14:paraId="67443CBD" w14:textId="77777777" w:rsidR="007F5E16" w:rsidRPr="00A642E7" w:rsidRDefault="007F5E16" w:rsidP="003F2703">
            <w:pPr>
              <w:spacing w:after="0" w:line="240" w:lineRule="auto"/>
              <w:rPr>
                <w:rFonts w:ascii="Arial" w:eastAsia="Times New Roman" w:hAnsi="Arial" w:cs="Arial"/>
                <w:b/>
                <w:color w:val="000000"/>
                <w:sz w:val="20"/>
                <w:szCs w:val="20"/>
                <w:u w:val="single"/>
                <w:lang w:eastAsia="es-EC"/>
              </w:rPr>
            </w:pPr>
          </w:p>
        </w:tc>
        <w:tc>
          <w:tcPr>
            <w:tcW w:w="1418" w:type="dxa"/>
            <w:tcBorders>
              <w:top w:val="double" w:sz="4" w:space="0" w:color="auto"/>
              <w:left w:val="nil"/>
              <w:right w:val="nil"/>
            </w:tcBorders>
            <w:shd w:val="clear" w:color="auto" w:fill="auto"/>
            <w:noWrap/>
            <w:vAlign w:val="bottom"/>
          </w:tcPr>
          <w:p w14:paraId="3FDB0B3B" w14:textId="77777777" w:rsidR="007F5E16" w:rsidRPr="00A642E7" w:rsidRDefault="007F5E16" w:rsidP="003F2703">
            <w:pPr>
              <w:spacing w:after="0" w:line="240" w:lineRule="auto"/>
              <w:jc w:val="right"/>
              <w:rPr>
                <w:rFonts w:ascii="Arial" w:eastAsia="Times New Roman" w:hAnsi="Arial" w:cs="Arial"/>
                <w:color w:val="000000"/>
                <w:sz w:val="20"/>
                <w:szCs w:val="20"/>
                <w:lang w:eastAsia="es-EC"/>
              </w:rPr>
            </w:pPr>
          </w:p>
        </w:tc>
        <w:tc>
          <w:tcPr>
            <w:tcW w:w="284" w:type="dxa"/>
            <w:tcBorders>
              <w:left w:val="nil"/>
              <w:right w:val="nil"/>
            </w:tcBorders>
            <w:shd w:val="clear" w:color="auto" w:fill="auto"/>
            <w:noWrap/>
            <w:vAlign w:val="center"/>
          </w:tcPr>
          <w:p w14:paraId="514AB7D7" w14:textId="77777777" w:rsidR="007F5E16" w:rsidRPr="00A642E7" w:rsidRDefault="007F5E16" w:rsidP="003F2703">
            <w:pPr>
              <w:spacing w:after="0" w:line="240" w:lineRule="auto"/>
              <w:jc w:val="right"/>
              <w:rPr>
                <w:rFonts w:ascii="Arial" w:eastAsia="Times New Roman" w:hAnsi="Arial" w:cs="Arial"/>
                <w:color w:val="000000"/>
                <w:sz w:val="20"/>
                <w:szCs w:val="20"/>
                <w:lang w:eastAsia="es-EC"/>
              </w:rPr>
            </w:pPr>
          </w:p>
        </w:tc>
        <w:tc>
          <w:tcPr>
            <w:tcW w:w="1478" w:type="dxa"/>
            <w:tcBorders>
              <w:top w:val="double" w:sz="4" w:space="0" w:color="auto"/>
              <w:left w:val="nil"/>
              <w:right w:val="nil"/>
            </w:tcBorders>
            <w:shd w:val="clear" w:color="auto" w:fill="auto"/>
            <w:noWrap/>
            <w:vAlign w:val="bottom"/>
          </w:tcPr>
          <w:p w14:paraId="3A7B920A" w14:textId="77777777" w:rsidR="007F5E16" w:rsidRPr="00A642E7" w:rsidRDefault="007F5E16" w:rsidP="003F2703">
            <w:pPr>
              <w:spacing w:after="0" w:line="240" w:lineRule="auto"/>
              <w:jc w:val="right"/>
              <w:rPr>
                <w:rFonts w:ascii="Arial" w:eastAsia="Times New Roman" w:hAnsi="Arial" w:cs="Arial"/>
                <w:color w:val="000000"/>
                <w:sz w:val="20"/>
                <w:szCs w:val="20"/>
                <w:lang w:eastAsia="es-EC"/>
              </w:rPr>
            </w:pPr>
          </w:p>
        </w:tc>
      </w:tr>
    </w:tbl>
    <w:p w14:paraId="55FFD5CB" w14:textId="13B4B611" w:rsidR="00FE0950" w:rsidRPr="0074154F" w:rsidRDefault="00FE0950" w:rsidP="00FE0950">
      <w:pPr>
        <w:spacing w:after="0" w:line="240" w:lineRule="auto"/>
        <w:ind w:firstLine="567"/>
        <w:jc w:val="both"/>
        <w:rPr>
          <w:rFonts w:ascii="Arial" w:hAnsi="Arial" w:cs="Arial"/>
          <w:b/>
          <w:bCs/>
          <w:sz w:val="20"/>
          <w:szCs w:val="20"/>
        </w:rPr>
      </w:pPr>
      <w:bookmarkStart w:id="16" w:name="_Hlk66379140"/>
      <w:r w:rsidRPr="0074154F">
        <w:rPr>
          <w:rFonts w:ascii="Arial" w:hAnsi="Arial" w:cs="Arial"/>
          <w:b/>
          <w:bCs/>
          <w:sz w:val="20"/>
          <w:szCs w:val="20"/>
          <w:u w:val="single"/>
        </w:rPr>
        <w:t>ASPECTOS TRIBUTARIOS</w:t>
      </w:r>
      <w:r w:rsidRPr="0074154F">
        <w:rPr>
          <w:rFonts w:ascii="Arial" w:hAnsi="Arial" w:cs="Arial"/>
          <w:b/>
          <w:bCs/>
          <w:sz w:val="20"/>
          <w:szCs w:val="20"/>
        </w:rPr>
        <w:t>:</w:t>
      </w:r>
    </w:p>
    <w:p w14:paraId="52B9B8DE" w14:textId="77777777" w:rsidR="00FE0950" w:rsidRPr="0074154F" w:rsidRDefault="00FE0950" w:rsidP="00FE0950">
      <w:pPr>
        <w:spacing w:after="0" w:line="240" w:lineRule="auto"/>
        <w:ind w:firstLine="567"/>
        <w:jc w:val="both"/>
        <w:rPr>
          <w:rFonts w:ascii="Arial" w:hAnsi="Arial" w:cs="Arial"/>
          <w:b/>
          <w:bCs/>
          <w:sz w:val="20"/>
          <w:szCs w:val="20"/>
        </w:rPr>
      </w:pPr>
    </w:p>
    <w:p w14:paraId="39F5FA9C" w14:textId="77777777" w:rsidR="00FE0950" w:rsidRPr="0074154F" w:rsidRDefault="00FE0950" w:rsidP="00FE0950">
      <w:pPr>
        <w:pStyle w:val="Ttulo1"/>
        <w:keepNext/>
        <w:shd w:val="clear" w:color="auto" w:fill="auto"/>
        <w:spacing w:after="0" w:line="240" w:lineRule="auto"/>
        <w:ind w:left="567"/>
        <w:jc w:val="both"/>
        <w:rPr>
          <w:rFonts w:ascii="Arial" w:hAnsi="Arial" w:cs="Arial"/>
          <w:b w:val="0"/>
          <w:bCs w:val="0"/>
          <w:spacing w:val="0"/>
          <w:sz w:val="20"/>
          <w:szCs w:val="20"/>
          <w:lang w:val="es-EC"/>
        </w:rPr>
      </w:pPr>
      <w:r w:rsidRPr="0074154F">
        <w:rPr>
          <w:rFonts w:ascii="Arial" w:hAnsi="Arial" w:cs="Arial"/>
          <w:b w:val="0"/>
          <w:bCs w:val="0"/>
          <w:spacing w:val="0"/>
          <w:sz w:val="20"/>
          <w:szCs w:val="20"/>
          <w:lang w:val="es-EC"/>
        </w:rPr>
        <w:t>Durante el año 2020, el Organismo de Control Tributario no realizó reformas o emisión de leyes para entidades jurídicas y/o personas naturales.  Sin embargo, hubo emisión de resoluciones en suplementos y circulares formalizadas en el Registro Oficial, que regularon el tratamiento fiscal de transacciones y tasas aplicables a la transaccionalidad de las industrias.</w:t>
      </w:r>
    </w:p>
    <w:p w14:paraId="2C9C03F8" w14:textId="59D84338" w:rsidR="00FE0950" w:rsidRDefault="00FE0950" w:rsidP="00FE0950">
      <w:pPr>
        <w:pStyle w:val="NormalWeb"/>
        <w:shd w:val="clear" w:color="auto" w:fill="FFFFFF"/>
        <w:spacing w:before="0" w:beforeAutospacing="0" w:after="0" w:afterAutospacing="0"/>
        <w:ind w:left="1080"/>
        <w:jc w:val="both"/>
        <w:rPr>
          <w:rFonts w:ascii="Arial" w:hAnsi="Arial" w:cs="Arial"/>
          <w:b/>
          <w:bCs/>
          <w:color w:val="000000"/>
          <w:sz w:val="20"/>
          <w:szCs w:val="20"/>
          <w:lang w:val="es-ES"/>
        </w:rPr>
      </w:pPr>
    </w:p>
    <w:p w14:paraId="5897AD15" w14:textId="4DD7F47E" w:rsidR="001D0E04" w:rsidRDefault="001D0E04" w:rsidP="00FE0950">
      <w:pPr>
        <w:pStyle w:val="NormalWeb"/>
        <w:shd w:val="clear" w:color="auto" w:fill="FFFFFF"/>
        <w:spacing w:before="0" w:beforeAutospacing="0" w:after="0" w:afterAutospacing="0"/>
        <w:ind w:left="1080"/>
        <w:jc w:val="both"/>
        <w:rPr>
          <w:rFonts w:ascii="Arial" w:hAnsi="Arial" w:cs="Arial"/>
          <w:b/>
          <w:bCs/>
          <w:color w:val="000000"/>
          <w:sz w:val="20"/>
          <w:szCs w:val="20"/>
          <w:lang w:val="es-ES"/>
        </w:rPr>
      </w:pPr>
    </w:p>
    <w:p w14:paraId="70CB54E5" w14:textId="4384CE33" w:rsidR="001D0E04" w:rsidRDefault="001D0E04" w:rsidP="00FE0950">
      <w:pPr>
        <w:pStyle w:val="NormalWeb"/>
        <w:shd w:val="clear" w:color="auto" w:fill="FFFFFF"/>
        <w:spacing w:before="0" w:beforeAutospacing="0" w:after="0" w:afterAutospacing="0"/>
        <w:ind w:left="1080"/>
        <w:jc w:val="both"/>
        <w:rPr>
          <w:rFonts w:ascii="Arial" w:hAnsi="Arial" w:cs="Arial"/>
          <w:b/>
          <w:bCs/>
          <w:color w:val="000000"/>
          <w:sz w:val="20"/>
          <w:szCs w:val="20"/>
          <w:lang w:val="es-ES"/>
        </w:rPr>
      </w:pPr>
    </w:p>
    <w:p w14:paraId="58E761DA" w14:textId="3FA1D48B" w:rsidR="001D0E04" w:rsidRDefault="001D0E04" w:rsidP="00FE0950">
      <w:pPr>
        <w:pStyle w:val="NormalWeb"/>
        <w:shd w:val="clear" w:color="auto" w:fill="FFFFFF"/>
        <w:spacing w:before="0" w:beforeAutospacing="0" w:after="0" w:afterAutospacing="0"/>
        <w:ind w:left="1080"/>
        <w:jc w:val="both"/>
        <w:rPr>
          <w:rFonts w:ascii="Arial" w:hAnsi="Arial" w:cs="Arial"/>
          <w:b/>
          <w:bCs/>
          <w:color w:val="000000"/>
          <w:sz w:val="20"/>
          <w:szCs w:val="20"/>
          <w:lang w:val="es-ES"/>
        </w:rPr>
      </w:pPr>
    </w:p>
    <w:p w14:paraId="3E63A500" w14:textId="5198D8C5" w:rsidR="001D0E04" w:rsidRDefault="001D0E04" w:rsidP="001D0E04">
      <w:pPr>
        <w:pStyle w:val="NormalWeb"/>
        <w:shd w:val="clear" w:color="auto" w:fill="FFFFFF"/>
        <w:spacing w:before="0" w:beforeAutospacing="0" w:after="0" w:afterAutospacing="0"/>
        <w:ind w:left="1080"/>
        <w:jc w:val="center"/>
        <w:rPr>
          <w:rFonts w:ascii="Arial" w:hAnsi="Arial" w:cs="Arial"/>
          <w:b/>
          <w:bCs/>
          <w:color w:val="000000"/>
          <w:sz w:val="20"/>
          <w:szCs w:val="20"/>
          <w:lang w:val="es-ES"/>
        </w:rPr>
      </w:pPr>
      <w:r>
        <w:rPr>
          <w:rFonts w:ascii="Arial" w:hAnsi="Arial" w:cs="Arial"/>
          <w:b/>
          <w:bCs/>
          <w:color w:val="000000"/>
          <w:sz w:val="20"/>
          <w:szCs w:val="20"/>
          <w:lang w:val="es-ES"/>
        </w:rPr>
        <w:t>ESPACIO EN BLANCO</w:t>
      </w:r>
    </w:p>
    <w:p w14:paraId="7BF96FDB" w14:textId="77777777" w:rsidR="001D0E04" w:rsidRPr="0074154F" w:rsidRDefault="001D0E04" w:rsidP="00FE0950">
      <w:pPr>
        <w:pStyle w:val="NormalWeb"/>
        <w:shd w:val="clear" w:color="auto" w:fill="FFFFFF"/>
        <w:spacing w:before="0" w:beforeAutospacing="0" w:after="0" w:afterAutospacing="0"/>
        <w:ind w:left="1080"/>
        <w:jc w:val="both"/>
        <w:rPr>
          <w:rFonts w:ascii="Arial" w:hAnsi="Arial" w:cs="Arial"/>
          <w:b/>
          <w:bCs/>
          <w:color w:val="000000"/>
          <w:sz w:val="20"/>
          <w:szCs w:val="20"/>
          <w:lang w:val="es-ES"/>
        </w:rPr>
      </w:pPr>
    </w:p>
    <w:p w14:paraId="78511E00" w14:textId="77777777" w:rsidR="00FE0950" w:rsidRPr="0074154F" w:rsidRDefault="00FE0950" w:rsidP="00FE0950">
      <w:pPr>
        <w:pStyle w:val="NormalWeb"/>
        <w:shd w:val="clear" w:color="auto" w:fill="FFFFFF"/>
        <w:spacing w:before="0" w:beforeAutospacing="0" w:after="0" w:afterAutospacing="0"/>
        <w:ind w:left="567"/>
        <w:jc w:val="both"/>
        <w:rPr>
          <w:rFonts w:ascii="Arial" w:hAnsi="Arial" w:cs="Arial"/>
          <w:color w:val="000000"/>
          <w:sz w:val="20"/>
          <w:szCs w:val="20"/>
          <w:lang w:val="es-ES"/>
        </w:rPr>
      </w:pPr>
      <w:r w:rsidRPr="0074154F">
        <w:rPr>
          <w:rFonts w:ascii="Arial" w:hAnsi="Arial" w:cs="Arial"/>
          <w:color w:val="000000"/>
          <w:sz w:val="20"/>
          <w:szCs w:val="20"/>
          <w:u w:val="single"/>
          <w:lang w:val="es-ES"/>
        </w:rPr>
        <w:t>Ley Orgánica de Simplificación y Progresividad Tributaria</w:t>
      </w:r>
      <w:r w:rsidRPr="0074154F">
        <w:rPr>
          <w:rFonts w:ascii="Arial" w:hAnsi="Arial" w:cs="Arial"/>
          <w:b/>
          <w:bCs/>
          <w:color w:val="FF0000"/>
          <w:sz w:val="20"/>
          <w:szCs w:val="20"/>
          <w:lang w:val="es-ES"/>
        </w:rPr>
        <w:t xml:space="preserve"> </w:t>
      </w:r>
    </w:p>
    <w:p w14:paraId="5AF8EF31" w14:textId="77777777" w:rsidR="00FE0950" w:rsidRPr="0074154F" w:rsidRDefault="00FE0950" w:rsidP="00FE0950">
      <w:pPr>
        <w:pStyle w:val="NormalWeb"/>
        <w:shd w:val="clear" w:color="auto" w:fill="FFFFFF"/>
        <w:spacing w:before="0" w:beforeAutospacing="0" w:after="0" w:afterAutospacing="0"/>
        <w:ind w:left="567"/>
        <w:jc w:val="both"/>
        <w:rPr>
          <w:rFonts w:ascii="Arial" w:hAnsi="Arial" w:cs="Arial"/>
          <w:color w:val="000000"/>
          <w:sz w:val="20"/>
          <w:szCs w:val="20"/>
          <w:lang w:val="es-ES"/>
        </w:rPr>
      </w:pPr>
    </w:p>
    <w:p w14:paraId="1AFD1B1F" w14:textId="3C5BCE8F" w:rsidR="00FE0950" w:rsidRPr="0074154F" w:rsidRDefault="00FE0950" w:rsidP="00FE0950">
      <w:pPr>
        <w:pStyle w:val="NormalWeb"/>
        <w:shd w:val="clear" w:color="auto" w:fill="FFFFFF"/>
        <w:spacing w:before="0" w:beforeAutospacing="0" w:after="0" w:afterAutospacing="0"/>
        <w:ind w:left="567"/>
        <w:jc w:val="both"/>
        <w:rPr>
          <w:rFonts w:ascii="Arial" w:hAnsi="Arial" w:cs="Arial"/>
          <w:color w:val="000000"/>
          <w:sz w:val="20"/>
          <w:szCs w:val="20"/>
          <w:lang w:val="es-ES"/>
        </w:rPr>
      </w:pPr>
      <w:r w:rsidRPr="0074154F">
        <w:rPr>
          <w:rFonts w:ascii="Arial" w:hAnsi="Arial" w:cs="Arial"/>
          <w:color w:val="000000"/>
          <w:sz w:val="20"/>
          <w:szCs w:val="20"/>
          <w:lang w:val="es-ES"/>
        </w:rPr>
        <w:t>El 31 de diciembre del año 2019, se publicó en el Registro Oficial la “Ley Orgánica de Simplificación y Progresividad Tributaria”, que contenía reformas tributarias de impuestos directos e indirectos que apuntan a simplificar el sistema tributario y aumentar los ingresos fiscales; y, el 4 de agosto del año 2020, se publicó mediante Decreto Ejecutivo 1114 el respectivo reglamento.  Un detalle de los principales cambios es como sigue:</w:t>
      </w:r>
    </w:p>
    <w:p w14:paraId="29102B47" w14:textId="77777777" w:rsidR="008679E3" w:rsidRPr="0074154F" w:rsidRDefault="008679E3" w:rsidP="00FE0950">
      <w:pPr>
        <w:pStyle w:val="NormalWeb"/>
        <w:shd w:val="clear" w:color="auto" w:fill="FFFFFF"/>
        <w:spacing w:before="0" w:beforeAutospacing="0" w:after="0" w:afterAutospacing="0"/>
        <w:ind w:left="567"/>
        <w:jc w:val="both"/>
        <w:rPr>
          <w:rFonts w:ascii="Arial" w:hAnsi="Arial" w:cs="Arial"/>
          <w:color w:val="000000"/>
          <w:sz w:val="20"/>
          <w:szCs w:val="20"/>
          <w:lang w:val="es-ES"/>
        </w:rPr>
      </w:pPr>
    </w:p>
    <w:p w14:paraId="37CA5CD7" w14:textId="77777777" w:rsidR="00FE0950" w:rsidRPr="0074154F" w:rsidRDefault="00FE0950" w:rsidP="00FE0950">
      <w:pPr>
        <w:spacing w:after="0" w:line="240" w:lineRule="auto"/>
        <w:ind w:left="567"/>
        <w:jc w:val="both"/>
        <w:rPr>
          <w:rFonts w:ascii="Arial" w:hAnsi="Arial" w:cs="Arial"/>
          <w:b/>
          <w:bCs/>
          <w:sz w:val="20"/>
          <w:szCs w:val="20"/>
        </w:rPr>
      </w:pPr>
      <w:r w:rsidRPr="0074154F">
        <w:rPr>
          <w:rFonts w:ascii="Arial" w:hAnsi="Arial" w:cs="Arial"/>
          <w:i/>
          <w:iCs/>
          <w:sz w:val="20"/>
          <w:szCs w:val="20"/>
          <w:u w:val="single"/>
        </w:rPr>
        <w:t>Impuesto a la renta</w:t>
      </w:r>
      <w:r w:rsidRPr="0074154F">
        <w:rPr>
          <w:rFonts w:ascii="Arial" w:hAnsi="Arial" w:cs="Arial"/>
          <w:b/>
          <w:bCs/>
          <w:sz w:val="20"/>
          <w:szCs w:val="20"/>
        </w:rPr>
        <w:t xml:space="preserve"> </w:t>
      </w:r>
    </w:p>
    <w:p w14:paraId="69586FB5" w14:textId="77777777" w:rsidR="00FE0950" w:rsidRPr="0074154F" w:rsidRDefault="00FE0950" w:rsidP="00FE0950">
      <w:pPr>
        <w:spacing w:after="0" w:line="240" w:lineRule="auto"/>
        <w:ind w:left="567"/>
        <w:jc w:val="both"/>
        <w:rPr>
          <w:rFonts w:ascii="Arial" w:hAnsi="Arial" w:cs="Arial"/>
          <w:b/>
          <w:bCs/>
          <w:sz w:val="20"/>
          <w:szCs w:val="20"/>
        </w:rPr>
      </w:pPr>
    </w:p>
    <w:p w14:paraId="00C25729" w14:textId="77777777" w:rsidR="00FE0950" w:rsidRPr="0074154F" w:rsidRDefault="00FE0950" w:rsidP="00735775">
      <w:pPr>
        <w:pStyle w:val="ListParagraph"/>
        <w:numPr>
          <w:ilvl w:val="0"/>
          <w:numId w:val="33"/>
        </w:numPr>
        <w:ind w:left="851"/>
        <w:jc w:val="both"/>
        <w:rPr>
          <w:rFonts w:ascii="Arial" w:hAnsi="Arial" w:cs="Arial"/>
          <w:sz w:val="20"/>
          <w:szCs w:val="20"/>
          <w:lang w:val="es-ES" w:eastAsia="es-ES"/>
        </w:rPr>
      </w:pPr>
      <w:r w:rsidRPr="0074154F">
        <w:rPr>
          <w:rFonts w:ascii="Arial" w:hAnsi="Arial" w:cs="Arial"/>
          <w:i/>
          <w:iCs/>
          <w:sz w:val="20"/>
          <w:szCs w:val="20"/>
        </w:rPr>
        <w:t>Deducciones</w:t>
      </w:r>
    </w:p>
    <w:p w14:paraId="3A9682A8" w14:textId="77777777" w:rsidR="00FE0950" w:rsidRPr="0074154F" w:rsidRDefault="00FE0950" w:rsidP="00FE0950">
      <w:pPr>
        <w:pStyle w:val="ListParagraph"/>
        <w:spacing w:after="0" w:line="240" w:lineRule="auto"/>
        <w:ind w:left="993"/>
        <w:jc w:val="both"/>
        <w:rPr>
          <w:rFonts w:ascii="Arial" w:hAnsi="Arial" w:cs="Arial"/>
          <w:sz w:val="20"/>
          <w:szCs w:val="20"/>
          <w:lang w:val="es-ES" w:eastAsia="es-ES"/>
        </w:rPr>
      </w:pPr>
    </w:p>
    <w:p w14:paraId="33146A09" w14:textId="6522F4B1" w:rsidR="00FE0950" w:rsidRPr="0074154F" w:rsidRDefault="00FE0950" w:rsidP="00A85BF0">
      <w:pPr>
        <w:spacing w:after="0" w:line="240" w:lineRule="auto"/>
        <w:ind w:left="851"/>
        <w:jc w:val="both"/>
        <w:rPr>
          <w:rFonts w:ascii="Arial" w:hAnsi="Arial" w:cs="Arial"/>
          <w:color w:val="000000"/>
          <w:sz w:val="20"/>
          <w:szCs w:val="20"/>
        </w:rPr>
      </w:pPr>
      <w:r w:rsidRPr="0074154F">
        <w:rPr>
          <w:rFonts w:ascii="Arial" w:hAnsi="Arial" w:cs="Arial"/>
          <w:sz w:val="20"/>
          <w:szCs w:val="20"/>
        </w:rPr>
        <w:t xml:space="preserve">A partir del 2021, </w:t>
      </w:r>
      <w:r w:rsidRPr="0074154F">
        <w:rPr>
          <w:rFonts w:ascii="Arial" w:hAnsi="Arial" w:cs="Arial"/>
          <w:color w:val="000000"/>
          <w:sz w:val="20"/>
          <w:szCs w:val="20"/>
        </w:rPr>
        <w:t>las provisiones de jubilación patronal y desahucio actuarialmente formuladas, por empresas especializadas o profesionales en la materia, serán deducibles en el período en que se registren.</w:t>
      </w:r>
      <w:r w:rsidR="00A85BF0" w:rsidRPr="0074154F">
        <w:rPr>
          <w:rFonts w:ascii="Arial" w:hAnsi="Arial" w:cs="Arial"/>
          <w:color w:val="000000"/>
          <w:sz w:val="20"/>
          <w:szCs w:val="20"/>
        </w:rPr>
        <w:t xml:space="preserve"> </w:t>
      </w:r>
      <w:r w:rsidRPr="0074154F">
        <w:rPr>
          <w:rFonts w:ascii="Arial" w:hAnsi="Arial" w:cs="Arial"/>
          <w:color w:val="000000"/>
          <w:sz w:val="20"/>
          <w:szCs w:val="20"/>
        </w:rPr>
        <w:t>Para la deducibilidad de las provisiones de jubilación patronal se deberá atender las siguientes condiciones:</w:t>
      </w:r>
    </w:p>
    <w:p w14:paraId="3134A0CE" w14:textId="77777777" w:rsidR="00FE0950" w:rsidRPr="0074154F" w:rsidRDefault="00FE0950" w:rsidP="00FE0950">
      <w:pPr>
        <w:pStyle w:val="ListParagraph"/>
        <w:spacing w:after="0" w:line="240" w:lineRule="auto"/>
        <w:ind w:left="851"/>
        <w:jc w:val="both"/>
        <w:rPr>
          <w:rFonts w:ascii="Arial" w:hAnsi="Arial" w:cs="Arial"/>
          <w:color w:val="000000"/>
          <w:sz w:val="20"/>
          <w:szCs w:val="20"/>
          <w:lang w:val="es-ES"/>
        </w:rPr>
      </w:pPr>
    </w:p>
    <w:p w14:paraId="4B09C7E4" w14:textId="77777777" w:rsidR="00FE0950" w:rsidRPr="0074154F" w:rsidRDefault="00FE0950" w:rsidP="00735775">
      <w:pPr>
        <w:pStyle w:val="ListParagraph"/>
        <w:numPr>
          <w:ilvl w:val="0"/>
          <w:numId w:val="33"/>
        </w:numPr>
        <w:ind w:left="851"/>
        <w:jc w:val="both"/>
        <w:rPr>
          <w:rFonts w:ascii="Arial" w:hAnsi="Arial" w:cs="Arial"/>
          <w:color w:val="000000"/>
          <w:sz w:val="20"/>
          <w:szCs w:val="20"/>
          <w:lang w:val="es-ES"/>
        </w:rPr>
      </w:pPr>
      <w:r w:rsidRPr="0074154F">
        <w:rPr>
          <w:rFonts w:ascii="Arial" w:hAnsi="Arial" w:cs="Arial"/>
          <w:sz w:val="20"/>
          <w:szCs w:val="20"/>
        </w:rPr>
        <w:t xml:space="preserve">Que corresponda a </w:t>
      </w:r>
      <w:r w:rsidRPr="0074154F">
        <w:rPr>
          <w:rFonts w:ascii="Arial" w:hAnsi="Arial" w:cs="Arial"/>
          <w:color w:val="000000"/>
          <w:sz w:val="20"/>
          <w:szCs w:val="20"/>
        </w:rPr>
        <w:t>los trabajadores que hayan cumplido 10 o más años de trabajo; y,</w:t>
      </w:r>
    </w:p>
    <w:p w14:paraId="5146537D" w14:textId="77777777" w:rsidR="00FE0950" w:rsidRPr="0074154F" w:rsidRDefault="00FE0950" w:rsidP="00FE0950">
      <w:pPr>
        <w:pStyle w:val="ListParagraph"/>
        <w:spacing w:after="0" w:line="240" w:lineRule="auto"/>
        <w:ind w:left="993" w:hanging="426"/>
        <w:jc w:val="both"/>
        <w:rPr>
          <w:rFonts w:ascii="Arial" w:hAnsi="Arial" w:cs="Arial"/>
          <w:color w:val="000000"/>
          <w:sz w:val="20"/>
          <w:szCs w:val="20"/>
          <w:lang w:val="es-ES"/>
        </w:rPr>
      </w:pPr>
    </w:p>
    <w:p w14:paraId="0D70BFA3" w14:textId="54783F59" w:rsidR="008C3E27" w:rsidRPr="0074154F" w:rsidRDefault="00FE0950" w:rsidP="008C3E27">
      <w:pPr>
        <w:pStyle w:val="ListParagraph"/>
        <w:numPr>
          <w:ilvl w:val="0"/>
          <w:numId w:val="33"/>
        </w:numPr>
        <w:ind w:left="851"/>
        <w:jc w:val="both"/>
        <w:rPr>
          <w:rFonts w:ascii="Arial" w:hAnsi="Arial" w:cs="Arial"/>
          <w:color w:val="000000"/>
          <w:sz w:val="20"/>
          <w:szCs w:val="20"/>
        </w:rPr>
      </w:pPr>
      <w:r w:rsidRPr="0074154F">
        <w:rPr>
          <w:rFonts w:ascii="Arial" w:hAnsi="Arial" w:cs="Arial"/>
          <w:color w:val="000000"/>
          <w:sz w:val="20"/>
          <w:szCs w:val="20"/>
        </w:rPr>
        <w:t>Que los aportes en efectivo de estas provisiones sean administrados por empresas especializadas en administración de fondos.  Si no se atiende esta condición, se podrá generar impuestos diferidos y utilizar la deducción cuando se realice el pago.</w:t>
      </w:r>
    </w:p>
    <w:p w14:paraId="71DF826D" w14:textId="6C936980" w:rsidR="008C3E27" w:rsidRDefault="008C3E27" w:rsidP="008C3E27">
      <w:pPr>
        <w:pStyle w:val="ListParagraph"/>
        <w:rPr>
          <w:rFonts w:ascii="Arial" w:hAnsi="Arial" w:cs="Arial"/>
          <w:color w:val="000000"/>
          <w:sz w:val="20"/>
          <w:szCs w:val="20"/>
        </w:rPr>
      </w:pPr>
    </w:p>
    <w:p w14:paraId="30EF5C48" w14:textId="77777777" w:rsidR="00FE0950" w:rsidRPr="0074154F" w:rsidRDefault="00FE0950" w:rsidP="00735775">
      <w:pPr>
        <w:pStyle w:val="ListParagraph"/>
        <w:numPr>
          <w:ilvl w:val="0"/>
          <w:numId w:val="33"/>
        </w:numPr>
        <w:ind w:left="851"/>
        <w:jc w:val="both"/>
        <w:rPr>
          <w:rFonts w:ascii="Arial" w:hAnsi="Arial" w:cs="Arial"/>
          <w:color w:val="000000"/>
          <w:sz w:val="20"/>
          <w:szCs w:val="20"/>
          <w:lang w:val="es-ES"/>
        </w:rPr>
      </w:pPr>
      <w:r w:rsidRPr="0074154F">
        <w:rPr>
          <w:rFonts w:ascii="Arial" w:hAnsi="Arial" w:cs="Arial"/>
          <w:color w:val="000000"/>
          <w:sz w:val="20"/>
          <w:szCs w:val="20"/>
        </w:rPr>
        <w:t>Deducción de intereses con empresas relacionadas, los intereses pagados o devengados con partes relacionadas residentes o no en el país, que no sean banco, compañía aseguradora o entidad del sector financiero, no deberán ser mayor al veinte por ciento (20%), del resultado de sumar a la utilidad antes de participación laboral, intereses, depreciaciones y amortizaciones correspondientes al respectivo ejercicio fiscal.  Los intereses pagados o devengados respecto del exceso de las relaciones indicadas no serán deducibles, en base a definiciones y procedimientos establecidos en el reglamento.</w:t>
      </w:r>
    </w:p>
    <w:p w14:paraId="3B8E9E8B" w14:textId="1F554D90" w:rsidR="00FE0950" w:rsidRPr="0074154F" w:rsidRDefault="00FE0950" w:rsidP="00FE0950">
      <w:pPr>
        <w:spacing w:after="0" w:line="240" w:lineRule="auto"/>
        <w:ind w:left="993" w:hanging="426"/>
        <w:jc w:val="both"/>
        <w:rPr>
          <w:rFonts w:ascii="Arial" w:hAnsi="Arial" w:cs="Arial"/>
          <w:i/>
          <w:iCs/>
          <w:color w:val="000000"/>
          <w:sz w:val="20"/>
          <w:szCs w:val="20"/>
          <w:u w:val="single"/>
        </w:rPr>
      </w:pPr>
      <w:r w:rsidRPr="0074154F">
        <w:rPr>
          <w:rFonts w:ascii="Arial" w:hAnsi="Arial" w:cs="Arial"/>
          <w:i/>
          <w:iCs/>
          <w:sz w:val="20"/>
          <w:szCs w:val="20"/>
          <w:u w:val="single"/>
        </w:rPr>
        <w:t>Distribución de dividendos</w:t>
      </w:r>
    </w:p>
    <w:p w14:paraId="696507D2" w14:textId="77777777" w:rsidR="00FE0950" w:rsidRPr="0074154F" w:rsidRDefault="00FE0950" w:rsidP="00FE0950">
      <w:pPr>
        <w:pStyle w:val="ListParagraph"/>
        <w:spacing w:after="0" w:line="240" w:lineRule="auto"/>
        <w:ind w:left="851"/>
        <w:jc w:val="both"/>
        <w:rPr>
          <w:rFonts w:ascii="Arial" w:hAnsi="Arial" w:cs="Arial"/>
          <w:color w:val="000000"/>
          <w:sz w:val="20"/>
          <w:szCs w:val="20"/>
          <w:lang w:val="es-ES"/>
        </w:rPr>
      </w:pPr>
    </w:p>
    <w:p w14:paraId="63E9EE82" w14:textId="77777777" w:rsidR="00FE0950" w:rsidRPr="0074154F" w:rsidRDefault="00FE0950" w:rsidP="00735775">
      <w:pPr>
        <w:pStyle w:val="ListParagraph"/>
        <w:numPr>
          <w:ilvl w:val="0"/>
          <w:numId w:val="33"/>
        </w:numPr>
        <w:ind w:left="851"/>
        <w:jc w:val="both"/>
        <w:rPr>
          <w:rFonts w:ascii="Arial" w:hAnsi="Arial" w:cs="Arial"/>
          <w:color w:val="000000"/>
          <w:sz w:val="20"/>
          <w:szCs w:val="20"/>
          <w:lang w:val="es-ES"/>
        </w:rPr>
      </w:pPr>
      <w:r w:rsidRPr="0074154F">
        <w:rPr>
          <w:rFonts w:ascii="Arial" w:hAnsi="Arial" w:cs="Arial"/>
          <w:color w:val="000000"/>
          <w:sz w:val="20"/>
          <w:szCs w:val="20"/>
        </w:rPr>
        <w:t>La distribución de dividendos constituye el hecho generador del impuesto a la renta y se gravará en el ejercicio fiscal en el que se produzca la distribución, con independencia del período en el que se hayan generado los dividendos.  La distribución de dividendos nace de la decisión de la Junta de Accionistas o del órgano correspondiente, que resuelva la obligación de la distribución, fecha y valor según lo que indique el Acta.</w:t>
      </w:r>
    </w:p>
    <w:p w14:paraId="206FEEA9" w14:textId="77777777" w:rsidR="00FE0950" w:rsidRPr="0074154F" w:rsidRDefault="00FE0950" w:rsidP="00FE0950">
      <w:pPr>
        <w:pStyle w:val="ListParagraph"/>
        <w:spacing w:after="0" w:line="240" w:lineRule="auto"/>
        <w:ind w:left="851" w:hanging="284"/>
        <w:jc w:val="both"/>
        <w:rPr>
          <w:rFonts w:ascii="Arial" w:hAnsi="Arial" w:cs="Arial"/>
          <w:color w:val="000000"/>
          <w:sz w:val="20"/>
          <w:szCs w:val="20"/>
        </w:rPr>
      </w:pPr>
    </w:p>
    <w:p w14:paraId="01237F6C" w14:textId="77777777" w:rsidR="00FE0950" w:rsidRPr="0074154F" w:rsidRDefault="00FE0950" w:rsidP="00735775">
      <w:pPr>
        <w:pStyle w:val="ListParagraph"/>
        <w:numPr>
          <w:ilvl w:val="0"/>
          <w:numId w:val="33"/>
        </w:numPr>
        <w:ind w:left="851"/>
        <w:jc w:val="both"/>
        <w:rPr>
          <w:rFonts w:ascii="Arial" w:hAnsi="Arial" w:cs="Arial"/>
          <w:color w:val="000000"/>
          <w:sz w:val="20"/>
          <w:szCs w:val="20"/>
        </w:rPr>
      </w:pPr>
      <w:r w:rsidRPr="0074154F">
        <w:rPr>
          <w:rFonts w:ascii="Arial" w:hAnsi="Arial" w:cs="Arial"/>
          <w:color w:val="000000"/>
          <w:sz w:val="20"/>
          <w:szCs w:val="20"/>
        </w:rPr>
        <w:t>Cuando la distribución de dividendos se realice a personas naturales residentes en el Ecuador, se procederá con la retención sobre el ingreso gravado de hasta el 25%.</w:t>
      </w:r>
    </w:p>
    <w:p w14:paraId="49DC0449" w14:textId="77777777" w:rsidR="00FE0950" w:rsidRPr="0074154F" w:rsidRDefault="00FE0950" w:rsidP="00FE0950">
      <w:pPr>
        <w:pStyle w:val="ListParagraph"/>
        <w:spacing w:after="0" w:line="240" w:lineRule="auto"/>
        <w:ind w:left="851" w:hanging="284"/>
        <w:jc w:val="both"/>
        <w:rPr>
          <w:rFonts w:ascii="Arial" w:hAnsi="Arial" w:cs="Arial"/>
          <w:color w:val="000000"/>
          <w:sz w:val="20"/>
          <w:szCs w:val="20"/>
        </w:rPr>
      </w:pPr>
    </w:p>
    <w:p w14:paraId="189D4B40" w14:textId="77777777" w:rsidR="00FE0950" w:rsidRPr="0074154F" w:rsidRDefault="00FE0950" w:rsidP="00735775">
      <w:pPr>
        <w:pStyle w:val="ListParagraph"/>
        <w:numPr>
          <w:ilvl w:val="0"/>
          <w:numId w:val="33"/>
        </w:numPr>
        <w:ind w:left="851"/>
        <w:jc w:val="both"/>
        <w:rPr>
          <w:rFonts w:ascii="Arial" w:hAnsi="Arial" w:cs="Arial"/>
          <w:color w:val="000000"/>
          <w:sz w:val="20"/>
          <w:szCs w:val="20"/>
        </w:rPr>
      </w:pPr>
      <w:r w:rsidRPr="0074154F">
        <w:rPr>
          <w:rFonts w:ascii="Arial" w:hAnsi="Arial" w:cs="Arial"/>
          <w:color w:val="000000"/>
          <w:sz w:val="20"/>
          <w:szCs w:val="20"/>
        </w:rPr>
        <w:t>Cuando la distribución de dividendos se realice a personas naturales o sociedades no residentes fiscales en el Ecuador, se procederá con la retención, aplicando la tarifa general prevista para no residentes.</w:t>
      </w:r>
    </w:p>
    <w:p w14:paraId="2BFF6084" w14:textId="0EE1C23A" w:rsidR="00FE0950" w:rsidRPr="0074154F" w:rsidRDefault="00FE0950" w:rsidP="00FE0950">
      <w:pPr>
        <w:pStyle w:val="NoSpacing"/>
        <w:ind w:left="567"/>
        <w:jc w:val="both"/>
        <w:rPr>
          <w:rFonts w:ascii="Arial" w:hAnsi="Arial" w:cs="Arial"/>
          <w:sz w:val="20"/>
          <w:szCs w:val="20"/>
          <w:u w:val="single"/>
          <w:lang w:val="es-ES" w:eastAsia="es-ES"/>
        </w:rPr>
      </w:pPr>
      <w:r w:rsidRPr="0074154F">
        <w:rPr>
          <w:rFonts w:ascii="Arial" w:hAnsi="Arial" w:cs="Arial"/>
          <w:sz w:val="20"/>
          <w:szCs w:val="20"/>
          <w:u w:val="single"/>
          <w:lang w:val="es-ES"/>
        </w:rPr>
        <w:t>Normas para la calificación, presentación de declaraciones y pago de impuestos de los agentes de retención y de contribuyentes especiales</w:t>
      </w:r>
    </w:p>
    <w:p w14:paraId="7F267F8A" w14:textId="77777777" w:rsidR="00FE0950" w:rsidRPr="0074154F" w:rsidRDefault="00FE0950" w:rsidP="00FE0950">
      <w:pPr>
        <w:pStyle w:val="NoSpacing"/>
        <w:ind w:left="567"/>
        <w:jc w:val="both"/>
        <w:rPr>
          <w:rFonts w:ascii="Arial" w:hAnsi="Arial" w:cs="Arial"/>
          <w:sz w:val="20"/>
          <w:szCs w:val="20"/>
        </w:rPr>
      </w:pPr>
    </w:p>
    <w:p w14:paraId="02F7DE4D" w14:textId="77777777" w:rsidR="00FE0950" w:rsidRPr="0074154F" w:rsidRDefault="00FE0950" w:rsidP="00FE0950">
      <w:pPr>
        <w:pStyle w:val="NormalWeb"/>
        <w:shd w:val="clear" w:color="auto" w:fill="FFFFFF"/>
        <w:tabs>
          <w:tab w:val="left" w:pos="5529"/>
        </w:tabs>
        <w:spacing w:before="0" w:beforeAutospacing="0" w:after="0" w:afterAutospacing="0"/>
        <w:ind w:left="567"/>
        <w:jc w:val="both"/>
        <w:rPr>
          <w:rFonts w:ascii="Arial" w:hAnsi="Arial" w:cs="Arial"/>
          <w:color w:val="000000"/>
          <w:sz w:val="20"/>
          <w:szCs w:val="20"/>
          <w:lang w:val="es-ES" w:eastAsia="es-ES"/>
        </w:rPr>
      </w:pPr>
      <w:r w:rsidRPr="0074154F">
        <w:rPr>
          <w:rFonts w:ascii="Arial" w:hAnsi="Arial" w:cs="Arial"/>
          <w:color w:val="000000"/>
          <w:sz w:val="20"/>
          <w:szCs w:val="20"/>
          <w:lang w:val="es-ES" w:eastAsia="es-ES"/>
        </w:rPr>
        <w:t>Mediante Resolución No. NAC-DGERCGC20-00000057 del 14 de septiembre del 2020 se resuelve que los contribuyentes especiales, deberán presentar sus declaraciones y realizar el pago del impuesto a la renta, y otros impuestos a pagar hasta el día nueve (9) del respectivo mes de vencimiento de cada obligación, sin atender al noveno dígito de su Registro Único de Contribuyentes; cuando esta fecha coincida con días de descanso obligatorio o feriados nacionales o locales, aquella se trasladará al día hábil anterior a ésta.</w:t>
      </w:r>
    </w:p>
    <w:p w14:paraId="2802BA11" w14:textId="6FC0D395" w:rsidR="001A321F" w:rsidRDefault="001A321F" w:rsidP="00FE0950">
      <w:pPr>
        <w:spacing w:after="0" w:line="240" w:lineRule="auto"/>
        <w:ind w:left="851" w:hanging="284"/>
        <w:rPr>
          <w:rFonts w:ascii="Arial" w:hAnsi="Arial" w:cs="Arial"/>
          <w:b/>
          <w:bCs/>
          <w:sz w:val="20"/>
          <w:szCs w:val="20"/>
        </w:rPr>
      </w:pPr>
    </w:p>
    <w:p w14:paraId="5381E90C" w14:textId="77777777" w:rsidR="001D0E04" w:rsidRPr="0074154F" w:rsidRDefault="001D0E04" w:rsidP="00FE0950">
      <w:pPr>
        <w:spacing w:after="0" w:line="240" w:lineRule="auto"/>
        <w:ind w:left="851" w:hanging="284"/>
        <w:rPr>
          <w:rFonts w:ascii="Arial" w:hAnsi="Arial" w:cs="Arial"/>
          <w:b/>
          <w:bCs/>
          <w:sz w:val="20"/>
          <w:szCs w:val="20"/>
        </w:rPr>
      </w:pPr>
    </w:p>
    <w:p w14:paraId="02B3F67D" w14:textId="4E798C28" w:rsidR="00FE0950" w:rsidRPr="0074154F" w:rsidRDefault="00FE0950" w:rsidP="00FE0950">
      <w:pPr>
        <w:spacing w:after="0" w:line="240" w:lineRule="auto"/>
        <w:ind w:left="851" w:hanging="284"/>
        <w:rPr>
          <w:rFonts w:ascii="Arial" w:hAnsi="Arial" w:cs="Arial"/>
          <w:b/>
          <w:bCs/>
          <w:sz w:val="20"/>
          <w:szCs w:val="20"/>
        </w:rPr>
      </w:pPr>
      <w:r w:rsidRPr="0074154F">
        <w:rPr>
          <w:rFonts w:ascii="Arial" w:hAnsi="Arial" w:cs="Arial"/>
          <w:b/>
          <w:bCs/>
          <w:sz w:val="20"/>
          <w:szCs w:val="20"/>
        </w:rPr>
        <w:t>Ley Orgánica de Apoyo Humanitario</w:t>
      </w:r>
    </w:p>
    <w:p w14:paraId="4D03CC70" w14:textId="77777777" w:rsidR="00FE0950" w:rsidRPr="0074154F" w:rsidRDefault="00FE0950" w:rsidP="00FE0950">
      <w:pPr>
        <w:pStyle w:val="NoSpacing"/>
        <w:ind w:left="567"/>
        <w:jc w:val="both"/>
        <w:rPr>
          <w:rFonts w:ascii="Arial" w:hAnsi="Arial" w:cs="Arial"/>
          <w:sz w:val="20"/>
          <w:szCs w:val="20"/>
        </w:rPr>
      </w:pPr>
    </w:p>
    <w:p w14:paraId="25C6B2EB" w14:textId="77777777" w:rsidR="00FE0950" w:rsidRPr="0074154F" w:rsidRDefault="00FE0950" w:rsidP="00FE0950">
      <w:pPr>
        <w:pStyle w:val="NoSpacing"/>
        <w:ind w:left="567"/>
        <w:jc w:val="both"/>
        <w:rPr>
          <w:rFonts w:ascii="Arial" w:hAnsi="Arial" w:cs="Arial"/>
          <w:sz w:val="20"/>
          <w:szCs w:val="20"/>
        </w:rPr>
      </w:pPr>
      <w:r w:rsidRPr="0074154F">
        <w:rPr>
          <w:rFonts w:ascii="Arial" w:hAnsi="Arial" w:cs="Arial"/>
          <w:sz w:val="20"/>
          <w:szCs w:val="20"/>
        </w:rPr>
        <w:t xml:space="preserve">El 22 de junio del año 2020, se publicó en el Registro Oficial la “Ley Orgánica de Apoyo Humanitario” para combatir la crisis sanitaria derivada del </w:t>
      </w:r>
      <w:proofErr w:type="spellStart"/>
      <w:r w:rsidRPr="0074154F">
        <w:rPr>
          <w:rFonts w:ascii="Arial" w:hAnsi="Arial" w:cs="Arial"/>
          <w:sz w:val="20"/>
          <w:szCs w:val="20"/>
        </w:rPr>
        <w:t>Covid</w:t>
      </w:r>
      <w:proofErr w:type="spellEnd"/>
      <w:r w:rsidRPr="0074154F">
        <w:rPr>
          <w:rFonts w:ascii="Arial" w:hAnsi="Arial" w:cs="Arial"/>
          <w:sz w:val="20"/>
          <w:szCs w:val="20"/>
        </w:rPr>
        <w:t xml:space="preserve"> - 19, la cual busca dar un alivio a la ciudadanía, al sector productivo y a la economía popular y solidaria para hacer frente a la actual situación económica y sanitaria del país.  Las principales disposiciones son las siguientes:</w:t>
      </w:r>
    </w:p>
    <w:p w14:paraId="52CA9DC3" w14:textId="0BA8E85C" w:rsidR="00FE0950" w:rsidRPr="0074154F" w:rsidRDefault="00FE0950" w:rsidP="00FE0950">
      <w:pPr>
        <w:pStyle w:val="NoSpacing"/>
        <w:ind w:left="567"/>
        <w:jc w:val="both"/>
        <w:rPr>
          <w:rFonts w:ascii="Arial" w:hAnsi="Arial" w:cs="Arial"/>
          <w:sz w:val="20"/>
          <w:szCs w:val="20"/>
        </w:rPr>
      </w:pPr>
    </w:p>
    <w:p w14:paraId="42132B1D" w14:textId="39D65D2F" w:rsidR="00FE0950" w:rsidRDefault="00FE0950" w:rsidP="00FE0950">
      <w:pPr>
        <w:spacing w:after="0" w:line="240" w:lineRule="auto"/>
        <w:ind w:left="567"/>
        <w:jc w:val="both"/>
        <w:rPr>
          <w:lang w:eastAsia="es-EC"/>
        </w:rPr>
      </w:pPr>
      <w:r w:rsidRPr="0074154F">
        <w:rPr>
          <w:rFonts w:ascii="Arial" w:hAnsi="Arial" w:cs="Arial"/>
          <w:i/>
          <w:iCs/>
          <w:sz w:val="20"/>
          <w:szCs w:val="20"/>
          <w:u w:val="single"/>
        </w:rPr>
        <w:t xml:space="preserve">Reducción de la jornada </w:t>
      </w:r>
      <w:proofErr w:type="gramStart"/>
      <w:r w:rsidRPr="0074154F">
        <w:rPr>
          <w:rFonts w:ascii="Arial" w:hAnsi="Arial" w:cs="Arial"/>
          <w:i/>
          <w:iCs/>
          <w:sz w:val="20"/>
          <w:szCs w:val="20"/>
          <w:u w:val="single"/>
        </w:rPr>
        <w:t>laboral</w:t>
      </w:r>
      <w:r w:rsidRPr="0074154F">
        <w:rPr>
          <w:rFonts w:ascii="Arial" w:hAnsi="Arial" w:cs="Arial"/>
          <w:b/>
          <w:bCs/>
          <w:sz w:val="20"/>
          <w:szCs w:val="20"/>
        </w:rPr>
        <w:t>.-</w:t>
      </w:r>
      <w:proofErr w:type="gramEnd"/>
      <w:r w:rsidRPr="0074154F">
        <w:rPr>
          <w:rFonts w:ascii="Arial" w:hAnsi="Arial" w:cs="Arial"/>
          <w:b/>
          <w:bCs/>
          <w:sz w:val="20"/>
          <w:szCs w:val="20"/>
        </w:rPr>
        <w:t xml:space="preserve"> </w:t>
      </w:r>
      <w:r w:rsidRPr="0074154F">
        <w:rPr>
          <w:rFonts w:ascii="Arial" w:hAnsi="Arial" w:cs="Arial"/>
          <w:sz w:val="20"/>
          <w:szCs w:val="20"/>
          <w:lang w:eastAsia="es-EC"/>
        </w:rPr>
        <w:t>Por eventos de fuerza mayor o caso fortuito debidamente justificados, el empleador podrá reducir la jornada laboral, hasta un máximo del 50%.</w:t>
      </w:r>
      <w:r w:rsidRPr="0074154F">
        <w:rPr>
          <w:lang w:eastAsia="es-EC"/>
        </w:rPr>
        <w:t xml:space="preserve"> </w:t>
      </w:r>
    </w:p>
    <w:p w14:paraId="6FC19629" w14:textId="77777777" w:rsidR="001D0E04" w:rsidRPr="0074154F" w:rsidRDefault="001D0E04" w:rsidP="00FE0950">
      <w:pPr>
        <w:spacing w:after="0" w:line="240" w:lineRule="auto"/>
        <w:ind w:left="567"/>
        <w:jc w:val="both"/>
        <w:rPr>
          <w:lang w:eastAsia="es-EC"/>
        </w:rPr>
      </w:pPr>
    </w:p>
    <w:p w14:paraId="1BBFF3F8" w14:textId="38F76392" w:rsidR="00FE0950" w:rsidRPr="0074154F" w:rsidRDefault="00FE0950" w:rsidP="00FE0950">
      <w:pPr>
        <w:pStyle w:val="ListParagraph"/>
        <w:spacing w:after="0" w:line="240" w:lineRule="auto"/>
        <w:ind w:left="567" w:right="-98"/>
        <w:jc w:val="both"/>
        <w:outlineLvl w:val="0"/>
        <w:rPr>
          <w:rFonts w:ascii="Arial" w:hAnsi="Arial" w:cs="Arial"/>
          <w:b/>
          <w:bCs/>
          <w:sz w:val="20"/>
          <w:szCs w:val="20"/>
          <w:u w:val="single"/>
        </w:rPr>
      </w:pPr>
      <w:r w:rsidRPr="0074154F">
        <w:rPr>
          <w:rFonts w:ascii="Arial" w:hAnsi="Arial" w:cs="Arial"/>
          <w:b/>
          <w:bCs/>
          <w:sz w:val="20"/>
          <w:szCs w:val="20"/>
          <w:u w:val="single"/>
        </w:rPr>
        <w:t>Ejercicios fiscales sujetos a revisión de la Administración Tributaria</w:t>
      </w:r>
    </w:p>
    <w:p w14:paraId="7B381C88" w14:textId="77777777" w:rsidR="00A85BF0" w:rsidRPr="0074154F" w:rsidRDefault="00A85BF0" w:rsidP="00FE0950">
      <w:pPr>
        <w:pStyle w:val="ListParagraph"/>
        <w:spacing w:after="0" w:line="240" w:lineRule="auto"/>
        <w:ind w:left="567" w:right="-98"/>
        <w:jc w:val="both"/>
        <w:outlineLvl w:val="0"/>
        <w:rPr>
          <w:rFonts w:ascii="Arial" w:hAnsi="Arial" w:cs="Arial"/>
          <w:b/>
          <w:bCs/>
          <w:sz w:val="20"/>
          <w:szCs w:val="20"/>
          <w:u w:val="single"/>
        </w:rPr>
      </w:pPr>
    </w:p>
    <w:p w14:paraId="2DFF3FD8" w14:textId="48170B86" w:rsidR="00FE0950" w:rsidRPr="0074154F" w:rsidRDefault="00FE0950" w:rsidP="00FE0950">
      <w:pPr>
        <w:pStyle w:val="Bodycopyhanging"/>
        <w:spacing w:before="0" w:line="240" w:lineRule="auto"/>
        <w:ind w:left="567" w:firstLine="0"/>
        <w:jc w:val="both"/>
        <w:rPr>
          <w:color w:val="auto"/>
          <w:sz w:val="20"/>
          <w:szCs w:val="20"/>
          <w:lang w:val="es-EC"/>
        </w:rPr>
      </w:pPr>
      <w:r w:rsidRPr="0074154F">
        <w:rPr>
          <w:color w:val="auto"/>
          <w:sz w:val="20"/>
          <w:szCs w:val="20"/>
          <w:lang w:val="es-EC"/>
        </w:rPr>
        <w:t>Las declaraciones de impuestos han sido revisadas por las autoridades tributarias y son susceptibles de revisión las declaraciones de los años 2017 al 2020, sobre las cuales podrían existir diferencias de criterio en cuanto a la determinación de gastos deducibles, ingresos exentos y otros.</w:t>
      </w:r>
    </w:p>
    <w:bookmarkEnd w:id="16"/>
    <w:p w14:paraId="1AF83FCC" w14:textId="40B44881" w:rsidR="000825BD" w:rsidRPr="0074154F" w:rsidRDefault="000825BD" w:rsidP="00FE0950">
      <w:pPr>
        <w:pStyle w:val="ListParagraph"/>
        <w:widowControl w:val="0"/>
        <w:spacing w:after="0" w:line="240" w:lineRule="auto"/>
        <w:ind w:left="1560"/>
        <w:jc w:val="both"/>
        <w:rPr>
          <w:rFonts w:ascii="Arial" w:hAnsi="Arial" w:cs="Arial"/>
          <w:sz w:val="20"/>
          <w:szCs w:val="20"/>
        </w:rPr>
      </w:pPr>
    </w:p>
    <w:p w14:paraId="5C555E12" w14:textId="5FDFB86C" w:rsidR="000825BD" w:rsidRPr="0074154F" w:rsidRDefault="000825BD" w:rsidP="000825BD">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 xml:space="preserve">PASIVOS </w:t>
      </w:r>
      <w:r w:rsidR="0063764D" w:rsidRPr="0074154F">
        <w:rPr>
          <w:rFonts w:ascii="Arial" w:hAnsi="Arial" w:cs="Arial"/>
          <w:sz w:val="20"/>
          <w:u w:val="single"/>
          <w:lang w:val="es-EC" w:eastAsia="es-EC"/>
        </w:rPr>
        <w:t>DE CONTRATOS</w:t>
      </w:r>
    </w:p>
    <w:p w14:paraId="18069222" w14:textId="77777777" w:rsidR="00EE181F" w:rsidRPr="0074154F" w:rsidRDefault="00EE181F" w:rsidP="00A03087">
      <w:pPr>
        <w:tabs>
          <w:tab w:val="left" w:pos="1560"/>
        </w:tabs>
        <w:ind w:left="567"/>
        <w:jc w:val="both"/>
        <w:rPr>
          <w:rFonts w:ascii="Arial" w:hAnsi="Arial" w:cs="Arial"/>
          <w:sz w:val="8"/>
          <w:szCs w:val="8"/>
          <w:lang w:eastAsia="es-EC"/>
        </w:rPr>
      </w:pPr>
    </w:p>
    <w:p w14:paraId="4EE5B46A" w14:textId="04D9B790" w:rsidR="00F03E58" w:rsidRPr="0074154F" w:rsidRDefault="00BA14DB" w:rsidP="00A03087">
      <w:pPr>
        <w:tabs>
          <w:tab w:val="left" w:pos="1560"/>
        </w:tabs>
        <w:ind w:left="567"/>
        <w:jc w:val="both"/>
        <w:rPr>
          <w:rFonts w:ascii="Arial" w:hAnsi="Arial" w:cs="Arial"/>
          <w:b/>
          <w:bCs/>
          <w:color w:val="FF0000"/>
          <w:sz w:val="20"/>
          <w:szCs w:val="20"/>
          <w:lang w:eastAsia="es-EC"/>
        </w:rPr>
      </w:pPr>
      <w:r w:rsidRPr="0074154F">
        <w:rPr>
          <w:rFonts w:ascii="Arial" w:hAnsi="Arial" w:cs="Arial"/>
          <w:sz w:val="20"/>
          <w:szCs w:val="20"/>
          <w:lang w:eastAsia="es-EC"/>
        </w:rPr>
        <w:t xml:space="preserve">Al 31 de diciembre del 2020, corresponden a valores por concepto de preventas de servicios de internet, instalaciones de accesorios y </w:t>
      </w:r>
      <w:r w:rsidR="00A03087" w:rsidRPr="0074154F">
        <w:rPr>
          <w:rFonts w:ascii="Arial" w:hAnsi="Arial" w:cs="Arial"/>
          <w:sz w:val="20"/>
          <w:szCs w:val="20"/>
          <w:lang w:eastAsia="es-EC"/>
        </w:rPr>
        <w:t xml:space="preserve">mantenimiento de red de fibra óptica de </w:t>
      </w:r>
      <w:r w:rsidRPr="0074154F">
        <w:rPr>
          <w:rFonts w:ascii="Arial" w:hAnsi="Arial" w:cs="Arial"/>
          <w:sz w:val="20"/>
          <w:szCs w:val="20"/>
          <w:lang w:eastAsia="es-EC"/>
        </w:rPr>
        <w:t>capacidades</w:t>
      </w:r>
      <w:r w:rsidR="001C4677" w:rsidRPr="0074154F">
        <w:rPr>
          <w:rFonts w:ascii="Arial" w:hAnsi="Arial" w:cs="Arial"/>
          <w:sz w:val="20"/>
          <w:szCs w:val="20"/>
          <w:lang w:eastAsia="es-EC"/>
        </w:rPr>
        <w:t xml:space="preserve"> incluyendo materiales suministros y equipos</w:t>
      </w:r>
      <w:r w:rsidR="00A03087" w:rsidRPr="0074154F">
        <w:rPr>
          <w:rFonts w:ascii="Arial" w:hAnsi="Arial" w:cs="Arial"/>
          <w:sz w:val="20"/>
          <w:szCs w:val="20"/>
          <w:lang w:eastAsia="es-EC"/>
        </w:rPr>
        <w:t xml:space="preserve"> que se encuentran pendientes de facturar</w:t>
      </w:r>
      <w:r w:rsidR="001C4677" w:rsidRPr="0074154F">
        <w:rPr>
          <w:rFonts w:ascii="Arial" w:hAnsi="Arial" w:cs="Arial"/>
          <w:sz w:val="20"/>
          <w:szCs w:val="20"/>
          <w:lang w:eastAsia="es-EC"/>
        </w:rPr>
        <w:t xml:space="preserve"> por US$</w:t>
      </w:r>
      <w:r w:rsidR="004132E5">
        <w:rPr>
          <w:rFonts w:ascii="Arial" w:hAnsi="Arial" w:cs="Arial"/>
          <w:sz w:val="20"/>
          <w:szCs w:val="20"/>
          <w:lang w:eastAsia="es-EC"/>
        </w:rPr>
        <w:t>19</w:t>
      </w:r>
      <w:r w:rsidR="0063764D" w:rsidRPr="0074154F">
        <w:rPr>
          <w:rFonts w:ascii="Arial" w:hAnsi="Arial" w:cs="Arial"/>
          <w:sz w:val="20"/>
          <w:szCs w:val="20"/>
          <w:lang w:eastAsia="es-EC"/>
        </w:rPr>
        <w:t>.</w:t>
      </w:r>
      <w:r w:rsidR="004132E5">
        <w:rPr>
          <w:rFonts w:ascii="Arial" w:hAnsi="Arial" w:cs="Arial"/>
          <w:sz w:val="20"/>
          <w:szCs w:val="20"/>
          <w:lang w:eastAsia="es-EC"/>
        </w:rPr>
        <w:t>2</w:t>
      </w:r>
      <w:r w:rsidR="0063764D" w:rsidRPr="0074154F">
        <w:rPr>
          <w:rFonts w:ascii="Arial" w:hAnsi="Arial" w:cs="Arial"/>
          <w:sz w:val="20"/>
          <w:szCs w:val="20"/>
          <w:lang w:eastAsia="es-EC"/>
        </w:rPr>
        <w:t xml:space="preserve"> millones </w:t>
      </w:r>
      <w:r w:rsidR="001C4677" w:rsidRPr="0074154F">
        <w:rPr>
          <w:rFonts w:ascii="Arial" w:hAnsi="Arial" w:cs="Arial"/>
          <w:sz w:val="20"/>
          <w:szCs w:val="20"/>
          <w:lang w:eastAsia="es-EC"/>
        </w:rPr>
        <w:t>(</w:t>
      </w:r>
      <w:r w:rsidR="0063764D" w:rsidRPr="0074154F">
        <w:rPr>
          <w:rFonts w:ascii="Arial" w:hAnsi="Arial" w:cs="Arial"/>
          <w:sz w:val="20"/>
          <w:szCs w:val="20"/>
          <w:lang w:eastAsia="es-EC"/>
        </w:rPr>
        <w:t>US$</w:t>
      </w:r>
      <w:r w:rsidR="004132E5">
        <w:rPr>
          <w:rFonts w:ascii="Arial" w:hAnsi="Arial" w:cs="Arial"/>
          <w:sz w:val="20"/>
          <w:szCs w:val="20"/>
          <w:lang w:eastAsia="es-EC"/>
        </w:rPr>
        <w:t>21</w:t>
      </w:r>
      <w:r w:rsidR="0063764D" w:rsidRPr="0074154F">
        <w:rPr>
          <w:rFonts w:ascii="Arial" w:hAnsi="Arial" w:cs="Arial"/>
          <w:sz w:val="20"/>
          <w:szCs w:val="20"/>
          <w:lang w:eastAsia="es-EC"/>
        </w:rPr>
        <w:t>.</w:t>
      </w:r>
      <w:r w:rsidR="004132E5">
        <w:rPr>
          <w:rFonts w:ascii="Arial" w:hAnsi="Arial" w:cs="Arial"/>
          <w:sz w:val="20"/>
          <w:szCs w:val="20"/>
          <w:lang w:eastAsia="es-EC"/>
        </w:rPr>
        <w:t>7</w:t>
      </w:r>
      <w:r w:rsidR="0063764D" w:rsidRPr="0074154F">
        <w:rPr>
          <w:rFonts w:ascii="Arial" w:hAnsi="Arial" w:cs="Arial"/>
          <w:sz w:val="20"/>
          <w:szCs w:val="20"/>
          <w:lang w:eastAsia="es-EC"/>
        </w:rPr>
        <w:t xml:space="preserve"> millones </w:t>
      </w:r>
      <w:r w:rsidR="001C4677" w:rsidRPr="0074154F">
        <w:rPr>
          <w:rFonts w:ascii="Arial" w:hAnsi="Arial" w:cs="Arial"/>
          <w:sz w:val="20"/>
          <w:szCs w:val="20"/>
          <w:lang w:eastAsia="es-EC"/>
        </w:rPr>
        <w:t>para el año 2019)</w:t>
      </w:r>
      <w:r w:rsidRPr="0074154F">
        <w:rPr>
          <w:rFonts w:ascii="Arial" w:hAnsi="Arial" w:cs="Arial"/>
          <w:sz w:val="20"/>
          <w:szCs w:val="20"/>
          <w:lang w:eastAsia="es-EC"/>
        </w:rPr>
        <w:t xml:space="preserve">, con </w:t>
      </w:r>
      <w:r w:rsidR="001C4677" w:rsidRPr="0074154F">
        <w:rPr>
          <w:rFonts w:ascii="Arial" w:hAnsi="Arial" w:cs="Arial"/>
          <w:sz w:val="20"/>
          <w:szCs w:val="20"/>
          <w:lang w:eastAsia="es-EC"/>
        </w:rPr>
        <w:t>vencimientos de 15 años promedios, de acuerdo con los términos de los contratos suscritos con cada uno</w:t>
      </w:r>
      <w:r w:rsidR="003322E2" w:rsidRPr="0074154F">
        <w:rPr>
          <w:rFonts w:ascii="Arial" w:hAnsi="Arial" w:cs="Arial"/>
          <w:sz w:val="20"/>
          <w:szCs w:val="20"/>
          <w:lang w:eastAsia="es-EC"/>
        </w:rPr>
        <w:t xml:space="preserve">, </w:t>
      </w:r>
      <w:r w:rsidR="001C4677" w:rsidRPr="0074154F">
        <w:rPr>
          <w:rFonts w:ascii="Arial" w:hAnsi="Arial" w:cs="Arial"/>
          <w:sz w:val="20"/>
          <w:szCs w:val="20"/>
          <w:lang w:eastAsia="es-EC"/>
        </w:rPr>
        <w:t xml:space="preserve">ver </w:t>
      </w:r>
      <w:r w:rsidR="008A49FF" w:rsidRPr="0074154F">
        <w:rPr>
          <w:rFonts w:ascii="Arial" w:hAnsi="Arial" w:cs="Arial"/>
          <w:sz w:val="20"/>
          <w:szCs w:val="20"/>
          <w:lang w:eastAsia="es-EC"/>
        </w:rPr>
        <w:t>N</w:t>
      </w:r>
      <w:r w:rsidR="001C4677" w:rsidRPr="0074154F">
        <w:rPr>
          <w:rFonts w:ascii="Arial" w:hAnsi="Arial" w:cs="Arial"/>
          <w:sz w:val="20"/>
          <w:szCs w:val="20"/>
          <w:lang w:eastAsia="es-EC"/>
        </w:rPr>
        <w:t xml:space="preserve">ota </w:t>
      </w:r>
      <w:r w:rsidR="007B231C" w:rsidRPr="0074154F">
        <w:rPr>
          <w:rFonts w:ascii="Arial" w:hAnsi="Arial" w:cs="Arial"/>
          <w:sz w:val="20"/>
          <w:szCs w:val="20"/>
          <w:lang w:eastAsia="es-EC"/>
        </w:rPr>
        <w:t>29</w:t>
      </w:r>
      <w:r w:rsidR="001C4677" w:rsidRPr="0074154F">
        <w:rPr>
          <w:rFonts w:ascii="Arial" w:hAnsi="Arial" w:cs="Arial"/>
          <w:sz w:val="20"/>
          <w:szCs w:val="20"/>
          <w:lang w:eastAsia="es-EC"/>
        </w:rPr>
        <w:t>.</w:t>
      </w:r>
      <w:r w:rsidR="0063764D" w:rsidRPr="0074154F">
        <w:rPr>
          <w:rFonts w:ascii="Arial" w:hAnsi="Arial" w:cs="Arial"/>
          <w:b/>
          <w:bCs/>
          <w:color w:val="FF0000"/>
          <w:sz w:val="20"/>
          <w:szCs w:val="20"/>
          <w:lang w:eastAsia="es-EC"/>
        </w:rPr>
        <w:t xml:space="preserve"> </w:t>
      </w:r>
    </w:p>
    <w:p w14:paraId="73FCDA77" w14:textId="028D372E" w:rsidR="00F03E58" w:rsidRPr="0074154F" w:rsidRDefault="00F03E58" w:rsidP="00A03087">
      <w:pPr>
        <w:tabs>
          <w:tab w:val="left" w:pos="1560"/>
        </w:tabs>
        <w:ind w:left="567"/>
        <w:jc w:val="both"/>
        <w:rPr>
          <w:rFonts w:ascii="Arial" w:hAnsi="Arial" w:cs="Arial"/>
          <w:color w:val="000000" w:themeColor="text1"/>
          <w:sz w:val="20"/>
          <w:szCs w:val="20"/>
          <w:lang w:eastAsia="es-EC"/>
        </w:rPr>
      </w:pPr>
      <w:r w:rsidRPr="0074154F">
        <w:rPr>
          <w:rFonts w:ascii="Arial" w:hAnsi="Arial" w:cs="Arial"/>
          <w:color w:val="000000" w:themeColor="text1"/>
          <w:sz w:val="20"/>
          <w:szCs w:val="20"/>
          <w:lang w:eastAsia="es-EC"/>
        </w:rPr>
        <w:t>La composición de los ingresos diferidos no corrientes se muestra a continuación:</w:t>
      </w:r>
    </w:p>
    <w:tbl>
      <w:tblPr>
        <w:tblW w:w="8503" w:type="dxa"/>
        <w:jc w:val="right"/>
        <w:tblBorders>
          <w:bottom w:val="double" w:sz="4" w:space="0" w:color="auto"/>
        </w:tblBorders>
        <w:tblCellMar>
          <w:left w:w="70" w:type="dxa"/>
          <w:right w:w="70" w:type="dxa"/>
        </w:tblCellMar>
        <w:tblLook w:val="04A0" w:firstRow="1" w:lastRow="0" w:firstColumn="1" w:lastColumn="0" w:noHBand="0" w:noVBand="1"/>
      </w:tblPr>
      <w:tblGrid>
        <w:gridCol w:w="4821"/>
        <w:gridCol w:w="2015"/>
        <w:gridCol w:w="219"/>
        <w:gridCol w:w="2015"/>
      </w:tblGrid>
      <w:tr w:rsidR="00F03E58" w:rsidRPr="0074154F" w14:paraId="74303351" w14:textId="77777777" w:rsidTr="00851C94">
        <w:trPr>
          <w:trHeight w:val="283"/>
          <w:jc w:val="right"/>
        </w:trPr>
        <w:tc>
          <w:tcPr>
            <w:tcW w:w="5272" w:type="dxa"/>
            <w:shd w:val="clear" w:color="auto" w:fill="auto"/>
            <w:noWrap/>
            <w:vAlign w:val="bottom"/>
          </w:tcPr>
          <w:p w14:paraId="6DE2A048" w14:textId="0EBD8D5B" w:rsidR="00F03E58" w:rsidRPr="0074154F" w:rsidRDefault="00F03E58" w:rsidP="004C20D4">
            <w:pPr>
              <w:spacing w:after="0" w:line="240" w:lineRule="auto"/>
              <w:ind w:left="-70"/>
              <w:rPr>
                <w:rFonts w:ascii="Arial" w:eastAsia="Times New Roman" w:hAnsi="Arial" w:cs="Arial"/>
                <w:b/>
                <w:bCs/>
                <w:i/>
                <w:iCs/>
                <w:color w:val="000000"/>
                <w:sz w:val="20"/>
                <w:szCs w:val="20"/>
                <w:u w:val="single"/>
                <w:lang w:eastAsia="es-EC"/>
              </w:rPr>
            </w:pPr>
          </w:p>
        </w:tc>
        <w:tc>
          <w:tcPr>
            <w:tcW w:w="1502" w:type="dxa"/>
            <w:tcBorders>
              <w:bottom w:val="single" w:sz="8" w:space="0" w:color="auto"/>
            </w:tcBorders>
            <w:shd w:val="clear" w:color="auto" w:fill="auto"/>
            <w:noWrap/>
            <w:vAlign w:val="bottom"/>
          </w:tcPr>
          <w:p w14:paraId="2A2BDC46" w14:textId="225AEB4E" w:rsidR="00F03E58" w:rsidRPr="0074154F" w:rsidRDefault="00DC06F4" w:rsidP="004C20D4">
            <w:pPr>
              <w:tabs>
                <w:tab w:val="decimal" w:pos="1276"/>
              </w:tabs>
              <w:spacing w:after="0" w:line="240" w:lineRule="auto"/>
              <w:rPr>
                <w:rFonts w:ascii="Arial" w:eastAsia="Times New Roman" w:hAnsi="Arial" w:cs="Arial"/>
                <w:b/>
                <w:bCs/>
                <w:sz w:val="20"/>
                <w:szCs w:val="20"/>
                <w:lang w:eastAsia="es-EC"/>
              </w:rPr>
            </w:pPr>
            <w:r w:rsidRPr="0074154F">
              <w:rPr>
                <w:rFonts w:ascii="Arial" w:eastAsia="Times New Roman" w:hAnsi="Arial" w:cs="Arial"/>
                <w:b/>
                <w:bCs/>
                <w:sz w:val="20"/>
                <w:szCs w:val="20"/>
                <w:lang w:eastAsia="es-EC"/>
              </w:rPr>
              <w:t>2020</w:t>
            </w:r>
          </w:p>
        </w:tc>
        <w:tc>
          <w:tcPr>
            <w:tcW w:w="227" w:type="dxa"/>
            <w:shd w:val="clear" w:color="auto" w:fill="auto"/>
            <w:noWrap/>
            <w:vAlign w:val="bottom"/>
          </w:tcPr>
          <w:p w14:paraId="6FAE357B" w14:textId="77777777" w:rsidR="00F03E58" w:rsidRPr="0074154F" w:rsidRDefault="00F03E58" w:rsidP="004C20D4">
            <w:pPr>
              <w:spacing w:after="0" w:line="240" w:lineRule="auto"/>
              <w:rPr>
                <w:rFonts w:ascii="Arial" w:eastAsia="Times New Roman" w:hAnsi="Arial" w:cs="Arial"/>
                <w:sz w:val="20"/>
                <w:szCs w:val="20"/>
                <w:lang w:eastAsia="es-EC"/>
              </w:rPr>
            </w:pPr>
          </w:p>
        </w:tc>
        <w:tc>
          <w:tcPr>
            <w:tcW w:w="1502" w:type="dxa"/>
            <w:tcBorders>
              <w:bottom w:val="single" w:sz="8" w:space="0" w:color="auto"/>
            </w:tcBorders>
            <w:shd w:val="clear" w:color="auto" w:fill="auto"/>
            <w:noWrap/>
            <w:vAlign w:val="bottom"/>
          </w:tcPr>
          <w:p w14:paraId="0946978A" w14:textId="764C8206" w:rsidR="00F03E58" w:rsidRPr="0074154F" w:rsidRDefault="00DC06F4" w:rsidP="004C20D4">
            <w:pPr>
              <w:tabs>
                <w:tab w:val="decimal" w:pos="1276"/>
              </w:tabs>
              <w:spacing w:after="0" w:line="240" w:lineRule="auto"/>
              <w:rPr>
                <w:rFonts w:ascii="Arial" w:eastAsia="Times New Roman" w:hAnsi="Arial" w:cs="Arial"/>
                <w:b/>
                <w:bCs/>
                <w:sz w:val="20"/>
                <w:szCs w:val="20"/>
                <w:lang w:eastAsia="es-EC"/>
              </w:rPr>
            </w:pPr>
            <w:r w:rsidRPr="0074154F">
              <w:rPr>
                <w:rFonts w:ascii="Arial" w:eastAsia="Times New Roman" w:hAnsi="Arial" w:cs="Arial"/>
                <w:b/>
                <w:bCs/>
                <w:sz w:val="20"/>
                <w:szCs w:val="20"/>
                <w:lang w:eastAsia="es-EC"/>
              </w:rPr>
              <w:t>2019</w:t>
            </w:r>
          </w:p>
        </w:tc>
      </w:tr>
      <w:tr w:rsidR="00DC06F4" w:rsidRPr="0074154F" w14:paraId="54FA458F" w14:textId="77777777" w:rsidTr="00851C94">
        <w:trPr>
          <w:trHeight w:val="283"/>
          <w:jc w:val="right"/>
        </w:trPr>
        <w:tc>
          <w:tcPr>
            <w:tcW w:w="5272" w:type="dxa"/>
            <w:shd w:val="clear" w:color="auto" w:fill="auto"/>
            <w:noWrap/>
            <w:vAlign w:val="bottom"/>
          </w:tcPr>
          <w:p w14:paraId="6F7D9459" w14:textId="77777777" w:rsidR="00DC06F4" w:rsidRPr="0074154F" w:rsidRDefault="00DC06F4" w:rsidP="004C20D4">
            <w:pPr>
              <w:spacing w:after="0" w:line="240" w:lineRule="auto"/>
              <w:ind w:left="-70"/>
              <w:rPr>
                <w:rFonts w:ascii="Arial" w:eastAsia="Times New Roman" w:hAnsi="Arial" w:cs="Arial"/>
                <w:b/>
                <w:bCs/>
                <w:i/>
                <w:iCs/>
                <w:color w:val="000000"/>
                <w:sz w:val="20"/>
                <w:szCs w:val="20"/>
                <w:u w:val="single"/>
                <w:lang w:eastAsia="es-EC"/>
              </w:rPr>
            </w:pPr>
          </w:p>
        </w:tc>
        <w:tc>
          <w:tcPr>
            <w:tcW w:w="1502" w:type="dxa"/>
            <w:tcBorders>
              <w:top w:val="single" w:sz="8" w:space="0" w:color="auto"/>
            </w:tcBorders>
            <w:shd w:val="clear" w:color="auto" w:fill="auto"/>
            <w:noWrap/>
            <w:vAlign w:val="bottom"/>
          </w:tcPr>
          <w:p w14:paraId="3FB10A0D" w14:textId="77777777" w:rsidR="00DC06F4" w:rsidRPr="0074154F" w:rsidRDefault="00DC06F4" w:rsidP="004C20D4">
            <w:pPr>
              <w:tabs>
                <w:tab w:val="decimal" w:pos="1276"/>
              </w:tabs>
              <w:spacing w:after="0" w:line="240" w:lineRule="auto"/>
              <w:rPr>
                <w:rFonts w:ascii="Arial" w:eastAsia="Times New Roman" w:hAnsi="Arial" w:cs="Arial"/>
                <w:b/>
                <w:bCs/>
                <w:sz w:val="20"/>
                <w:szCs w:val="20"/>
                <w:lang w:eastAsia="es-EC"/>
              </w:rPr>
            </w:pPr>
          </w:p>
        </w:tc>
        <w:tc>
          <w:tcPr>
            <w:tcW w:w="227" w:type="dxa"/>
            <w:shd w:val="clear" w:color="auto" w:fill="auto"/>
            <w:noWrap/>
            <w:vAlign w:val="bottom"/>
          </w:tcPr>
          <w:p w14:paraId="05DB67F9" w14:textId="77777777" w:rsidR="00DC06F4" w:rsidRPr="0074154F" w:rsidRDefault="00DC06F4" w:rsidP="004C20D4">
            <w:pPr>
              <w:spacing w:after="0" w:line="240" w:lineRule="auto"/>
              <w:rPr>
                <w:rFonts w:ascii="Arial" w:eastAsia="Times New Roman" w:hAnsi="Arial" w:cs="Arial"/>
                <w:sz w:val="20"/>
                <w:szCs w:val="20"/>
                <w:lang w:eastAsia="es-EC"/>
              </w:rPr>
            </w:pPr>
          </w:p>
        </w:tc>
        <w:tc>
          <w:tcPr>
            <w:tcW w:w="1502" w:type="dxa"/>
            <w:tcBorders>
              <w:top w:val="single" w:sz="8" w:space="0" w:color="auto"/>
            </w:tcBorders>
            <w:shd w:val="clear" w:color="auto" w:fill="auto"/>
            <w:noWrap/>
            <w:vAlign w:val="bottom"/>
          </w:tcPr>
          <w:p w14:paraId="4D30675D" w14:textId="77777777" w:rsidR="00DC06F4" w:rsidRPr="0074154F" w:rsidRDefault="00DC06F4" w:rsidP="004C20D4">
            <w:pPr>
              <w:tabs>
                <w:tab w:val="decimal" w:pos="1276"/>
              </w:tabs>
              <w:spacing w:after="0" w:line="240" w:lineRule="auto"/>
              <w:rPr>
                <w:rFonts w:ascii="Arial" w:eastAsia="Times New Roman" w:hAnsi="Arial" w:cs="Arial"/>
                <w:b/>
                <w:bCs/>
                <w:sz w:val="20"/>
                <w:szCs w:val="20"/>
                <w:lang w:eastAsia="es-EC"/>
              </w:rPr>
            </w:pPr>
          </w:p>
        </w:tc>
      </w:tr>
      <w:tr w:rsidR="00F03E58" w:rsidRPr="0074154F" w14:paraId="4C918648" w14:textId="77777777" w:rsidTr="00851C94">
        <w:trPr>
          <w:trHeight w:val="283"/>
          <w:jc w:val="right"/>
        </w:trPr>
        <w:tc>
          <w:tcPr>
            <w:tcW w:w="5272" w:type="dxa"/>
            <w:shd w:val="clear" w:color="auto" w:fill="auto"/>
            <w:noWrap/>
            <w:vAlign w:val="bottom"/>
          </w:tcPr>
          <w:p w14:paraId="755A5F02" w14:textId="04F2FB97" w:rsidR="00F03E58" w:rsidRPr="0074154F" w:rsidRDefault="004057F9" w:rsidP="004C20D4">
            <w:pPr>
              <w:tabs>
                <w:tab w:val="left" w:pos="210"/>
              </w:tabs>
              <w:spacing w:after="0" w:line="240" w:lineRule="auto"/>
              <w:ind w:left="-70"/>
              <w:rPr>
                <w:rFonts w:ascii="Arial" w:eastAsia="Times New Roman" w:hAnsi="Arial" w:cs="Arial"/>
                <w:sz w:val="20"/>
                <w:szCs w:val="20"/>
                <w:lang w:eastAsia="es-EC"/>
              </w:rPr>
            </w:pPr>
            <w:proofErr w:type="spellStart"/>
            <w:r w:rsidRPr="0074154F">
              <w:rPr>
                <w:rFonts w:ascii="Arial" w:eastAsia="Times New Roman" w:hAnsi="Arial" w:cs="Arial"/>
                <w:sz w:val="20"/>
                <w:szCs w:val="20"/>
                <w:lang w:eastAsia="es-EC"/>
              </w:rPr>
              <w:t>Conecel</w:t>
            </w:r>
            <w:proofErr w:type="spellEnd"/>
            <w:r w:rsidRPr="0074154F">
              <w:rPr>
                <w:rFonts w:ascii="Arial" w:eastAsia="Times New Roman" w:hAnsi="Arial" w:cs="Arial"/>
                <w:sz w:val="20"/>
                <w:szCs w:val="20"/>
                <w:lang w:eastAsia="es-EC"/>
              </w:rPr>
              <w:t xml:space="preserve"> </w:t>
            </w:r>
            <w:r w:rsidR="00F87010" w:rsidRPr="0074154F">
              <w:rPr>
                <w:rFonts w:ascii="Arial" w:eastAsia="Times New Roman" w:hAnsi="Arial" w:cs="Arial"/>
                <w:sz w:val="20"/>
                <w:szCs w:val="20"/>
                <w:lang w:eastAsia="es-EC"/>
              </w:rPr>
              <w:t>S.A.</w:t>
            </w:r>
            <w:r w:rsidR="00F03E58" w:rsidRPr="0074154F">
              <w:rPr>
                <w:rFonts w:ascii="Arial" w:eastAsia="Times New Roman" w:hAnsi="Arial" w:cs="Arial"/>
                <w:sz w:val="20"/>
                <w:szCs w:val="20"/>
                <w:lang w:eastAsia="es-EC"/>
              </w:rPr>
              <w:t xml:space="preserve"> </w:t>
            </w:r>
          </w:p>
        </w:tc>
        <w:tc>
          <w:tcPr>
            <w:tcW w:w="1502" w:type="dxa"/>
            <w:shd w:val="clear" w:color="auto" w:fill="auto"/>
            <w:noWrap/>
            <w:vAlign w:val="bottom"/>
          </w:tcPr>
          <w:p w14:paraId="26FBB8B4" w14:textId="5A376B50" w:rsidR="00F03E58" w:rsidRPr="0074154F" w:rsidRDefault="00F03E58" w:rsidP="004C20D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8,986,35</w:t>
            </w:r>
            <w:r w:rsidR="00C632A7" w:rsidRPr="0074154F">
              <w:rPr>
                <w:rFonts w:ascii="Arial" w:eastAsia="Times New Roman" w:hAnsi="Arial" w:cs="Arial"/>
                <w:sz w:val="20"/>
                <w:szCs w:val="20"/>
                <w:lang w:eastAsia="es-EC"/>
              </w:rPr>
              <w:t>3</w:t>
            </w:r>
          </w:p>
        </w:tc>
        <w:tc>
          <w:tcPr>
            <w:tcW w:w="227" w:type="dxa"/>
            <w:shd w:val="clear" w:color="auto" w:fill="auto"/>
            <w:noWrap/>
            <w:vAlign w:val="bottom"/>
          </w:tcPr>
          <w:p w14:paraId="21E9974D" w14:textId="77777777" w:rsidR="00F03E58" w:rsidRPr="0074154F" w:rsidRDefault="00F03E58" w:rsidP="004C20D4">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195E2A82" w14:textId="40E72503" w:rsidR="00F03E58" w:rsidRPr="0074154F" w:rsidRDefault="00D01E50" w:rsidP="004C20D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10,308,614</w:t>
            </w:r>
          </w:p>
        </w:tc>
      </w:tr>
      <w:tr w:rsidR="00DC06F4" w:rsidRPr="0074154F" w14:paraId="2874981E" w14:textId="77777777" w:rsidTr="00851C94">
        <w:trPr>
          <w:trHeight w:val="283"/>
          <w:jc w:val="right"/>
        </w:trPr>
        <w:tc>
          <w:tcPr>
            <w:tcW w:w="5272" w:type="dxa"/>
            <w:shd w:val="clear" w:color="auto" w:fill="auto"/>
            <w:noWrap/>
            <w:vAlign w:val="bottom"/>
          </w:tcPr>
          <w:p w14:paraId="7432DCA4" w14:textId="41CAACC5" w:rsidR="00DC06F4" w:rsidRPr="0074154F" w:rsidRDefault="00DC06F4" w:rsidP="004C20D4">
            <w:pPr>
              <w:tabs>
                <w:tab w:val="left" w:pos="210"/>
              </w:tabs>
              <w:spacing w:after="0" w:line="240" w:lineRule="auto"/>
              <w:ind w:left="-70"/>
              <w:rPr>
                <w:rFonts w:ascii="Arial" w:eastAsia="Times New Roman" w:hAnsi="Arial" w:cs="Arial"/>
                <w:sz w:val="20"/>
                <w:szCs w:val="20"/>
                <w:lang w:eastAsia="es-EC"/>
              </w:rPr>
            </w:pPr>
            <w:proofErr w:type="spellStart"/>
            <w:r w:rsidRPr="0074154F">
              <w:rPr>
                <w:rFonts w:ascii="Arial" w:eastAsia="Times New Roman" w:hAnsi="Arial" w:cs="Arial"/>
                <w:sz w:val="20"/>
                <w:szCs w:val="20"/>
                <w:lang w:eastAsia="es-EC"/>
              </w:rPr>
              <w:t>Nedetel</w:t>
            </w:r>
            <w:proofErr w:type="spellEnd"/>
            <w:r w:rsidR="00851C94" w:rsidRPr="0074154F">
              <w:rPr>
                <w:rFonts w:ascii="Arial" w:eastAsia="Times New Roman" w:hAnsi="Arial" w:cs="Arial"/>
                <w:sz w:val="20"/>
                <w:szCs w:val="20"/>
                <w:lang w:eastAsia="es-EC"/>
              </w:rPr>
              <w:t xml:space="preserve"> S.A.</w:t>
            </w:r>
          </w:p>
        </w:tc>
        <w:tc>
          <w:tcPr>
            <w:tcW w:w="1502" w:type="dxa"/>
            <w:shd w:val="clear" w:color="auto" w:fill="auto"/>
            <w:noWrap/>
            <w:vAlign w:val="bottom"/>
          </w:tcPr>
          <w:p w14:paraId="5E47719E" w14:textId="4282E751" w:rsidR="00DC06F4" w:rsidRPr="0074154F" w:rsidRDefault="00DC06F4" w:rsidP="004C20D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3,925,838</w:t>
            </w:r>
          </w:p>
        </w:tc>
        <w:tc>
          <w:tcPr>
            <w:tcW w:w="227" w:type="dxa"/>
            <w:shd w:val="clear" w:color="auto" w:fill="auto"/>
            <w:noWrap/>
            <w:vAlign w:val="bottom"/>
          </w:tcPr>
          <w:p w14:paraId="75DEA5EB" w14:textId="77777777" w:rsidR="00DC06F4" w:rsidRPr="0074154F" w:rsidRDefault="00DC06F4" w:rsidP="004C20D4">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79901B4F" w14:textId="34036A83" w:rsidR="00DC06F4" w:rsidRPr="0074154F" w:rsidRDefault="00D01E50" w:rsidP="004C20D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4,443,231</w:t>
            </w:r>
          </w:p>
        </w:tc>
      </w:tr>
      <w:tr w:rsidR="00DC06F4" w:rsidRPr="0074154F" w14:paraId="32FD927D" w14:textId="77777777" w:rsidTr="00851C94">
        <w:trPr>
          <w:trHeight w:val="283"/>
          <w:jc w:val="right"/>
        </w:trPr>
        <w:tc>
          <w:tcPr>
            <w:tcW w:w="5272" w:type="dxa"/>
            <w:shd w:val="clear" w:color="auto" w:fill="auto"/>
            <w:noWrap/>
            <w:vAlign w:val="bottom"/>
          </w:tcPr>
          <w:p w14:paraId="2A17A074" w14:textId="492F1BFC" w:rsidR="00DC06F4" w:rsidRPr="0074154F" w:rsidRDefault="00DC06F4" w:rsidP="00DC06F4">
            <w:pPr>
              <w:tabs>
                <w:tab w:val="left" w:pos="210"/>
              </w:tabs>
              <w:spacing w:after="0" w:line="240" w:lineRule="auto"/>
              <w:ind w:left="-70"/>
              <w:rPr>
                <w:rFonts w:ascii="Arial" w:eastAsia="Times New Roman" w:hAnsi="Arial" w:cs="Arial"/>
                <w:sz w:val="20"/>
                <w:szCs w:val="20"/>
                <w:lang w:eastAsia="es-EC"/>
              </w:rPr>
            </w:pPr>
            <w:proofErr w:type="spellStart"/>
            <w:r w:rsidRPr="0074154F">
              <w:rPr>
                <w:rFonts w:ascii="Arial" w:eastAsia="Times New Roman" w:hAnsi="Arial" w:cs="Arial"/>
                <w:sz w:val="20"/>
                <w:szCs w:val="20"/>
                <w:lang w:eastAsia="es-EC"/>
              </w:rPr>
              <w:t>Cedia</w:t>
            </w:r>
            <w:proofErr w:type="spellEnd"/>
            <w:r w:rsidR="00F11163" w:rsidRPr="0074154F">
              <w:rPr>
                <w:rFonts w:ascii="Arial" w:eastAsia="Times New Roman" w:hAnsi="Arial" w:cs="Arial"/>
                <w:sz w:val="20"/>
                <w:szCs w:val="20"/>
                <w:lang w:eastAsia="es-EC"/>
              </w:rPr>
              <w:t xml:space="preserve"> S.A.</w:t>
            </w:r>
          </w:p>
        </w:tc>
        <w:tc>
          <w:tcPr>
            <w:tcW w:w="1502" w:type="dxa"/>
            <w:shd w:val="clear" w:color="auto" w:fill="auto"/>
            <w:noWrap/>
            <w:vAlign w:val="bottom"/>
          </w:tcPr>
          <w:p w14:paraId="67734B58" w14:textId="19CDFF82" w:rsidR="00DC06F4" w:rsidRPr="0074154F" w:rsidRDefault="00DC06F4" w:rsidP="00DC06F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2,223,507</w:t>
            </w:r>
          </w:p>
        </w:tc>
        <w:tc>
          <w:tcPr>
            <w:tcW w:w="227" w:type="dxa"/>
            <w:shd w:val="clear" w:color="auto" w:fill="auto"/>
            <w:noWrap/>
            <w:vAlign w:val="bottom"/>
          </w:tcPr>
          <w:p w14:paraId="4D1E5A91"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20854039" w14:textId="04910F35" w:rsidR="00DC06F4" w:rsidRPr="0074154F" w:rsidRDefault="00D01E50" w:rsidP="00DC06F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2,416,507</w:t>
            </w:r>
          </w:p>
        </w:tc>
      </w:tr>
      <w:tr w:rsidR="00DC06F4" w:rsidRPr="0074154F" w14:paraId="5028C0C6" w14:textId="77777777" w:rsidTr="00C3018B">
        <w:trPr>
          <w:trHeight w:val="283"/>
          <w:jc w:val="right"/>
        </w:trPr>
        <w:tc>
          <w:tcPr>
            <w:tcW w:w="5272" w:type="dxa"/>
            <w:shd w:val="clear" w:color="auto" w:fill="auto"/>
            <w:noWrap/>
            <w:vAlign w:val="bottom"/>
          </w:tcPr>
          <w:p w14:paraId="05D955D2" w14:textId="1875BFDD" w:rsidR="00DC06F4" w:rsidRPr="0074154F" w:rsidRDefault="00DC06F4" w:rsidP="00DC06F4">
            <w:pPr>
              <w:tabs>
                <w:tab w:val="left" w:pos="210"/>
              </w:tabs>
              <w:spacing w:after="0" w:line="240" w:lineRule="auto"/>
              <w:ind w:left="-70"/>
              <w:rPr>
                <w:rFonts w:ascii="Arial" w:eastAsia="Times New Roman" w:hAnsi="Arial" w:cs="Arial"/>
                <w:sz w:val="20"/>
                <w:szCs w:val="20"/>
                <w:lang w:eastAsia="es-EC"/>
              </w:rPr>
            </w:pPr>
            <w:proofErr w:type="spellStart"/>
            <w:r w:rsidRPr="0074154F">
              <w:rPr>
                <w:rFonts w:ascii="Arial" w:eastAsia="Times New Roman" w:hAnsi="Arial" w:cs="Arial"/>
                <w:sz w:val="20"/>
                <w:szCs w:val="20"/>
                <w:lang w:eastAsia="es-EC"/>
              </w:rPr>
              <w:t>Telxius</w:t>
            </w:r>
            <w:proofErr w:type="spellEnd"/>
            <w:r w:rsidRPr="0074154F">
              <w:rPr>
                <w:rFonts w:ascii="Arial" w:eastAsia="Times New Roman" w:hAnsi="Arial" w:cs="Arial"/>
                <w:sz w:val="20"/>
                <w:szCs w:val="20"/>
                <w:lang w:eastAsia="es-EC"/>
              </w:rPr>
              <w:t xml:space="preserve"> Cable Ecuador</w:t>
            </w:r>
            <w:r w:rsidR="00851C94" w:rsidRPr="0074154F">
              <w:rPr>
                <w:rFonts w:ascii="Arial" w:eastAsia="Times New Roman" w:hAnsi="Arial" w:cs="Arial"/>
                <w:sz w:val="20"/>
                <w:szCs w:val="20"/>
                <w:lang w:eastAsia="es-EC"/>
              </w:rPr>
              <w:t xml:space="preserve"> S.A.</w:t>
            </w:r>
          </w:p>
        </w:tc>
        <w:tc>
          <w:tcPr>
            <w:tcW w:w="1502" w:type="dxa"/>
            <w:tcBorders>
              <w:bottom w:val="nil"/>
            </w:tcBorders>
            <w:shd w:val="clear" w:color="auto" w:fill="auto"/>
            <w:noWrap/>
            <w:vAlign w:val="bottom"/>
          </w:tcPr>
          <w:p w14:paraId="7DBE0EB6" w14:textId="32894360" w:rsidR="00DC06F4" w:rsidRPr="0074154F" w:rsidRDefault="00DC06F4" w:rsidP="00DC06F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1,827,222</w:t>
            </w:r>
          </w:p>
        </w:tc>
        <w:tc>
          <w:tcPr>
            <w:tcW w:w="227" w:type="dxa"/>
            <w:tcBorders>
              <w:bottom w:val="nil"/>
            </w:tcBorders>
            <w:shd w:val="clear" w:color="auto" w:fill="auto"/>
            <w:noWrap/>
            <w:vAlign w:val="bottom"/>
          </w:tcPr>
          <w:p w14:paraId="7F474982"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6CDC07EB" w14:textId="04708349" w:rsidR="00DC06F4" w:rsidRPr="0074154F" w:rsidRDefault="00D01E50" w:rsidP="00DC06F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1,980,556</w:t>
            </w:r>
          </w:p>
        </w:tc>
      </w:tr>
      <w:tr w:rsidR="00DC06F4" w:rsidRPr="0074154F" w14:paraId="51F09CB5" w14:textId="77777777" w:rsidTr="00C3018B">
        <w:trPr>
          <w:trHeight w:val="283"/>
          <w:jc w:val="right"/>
        </w:trPr>
        <w:tc>
          <w:tcPr>
            <w:tcW w:w="5272" w:type="dxa"/>
            <w:shd w:val="clear" w:color="auto" w:fill="auto"/>
            <w:noWrap/>
            <w:vAlign w:val="bottom"/>
          </w:tcPr>
          <w:p w14:paraId="46785641" w14:textId="169B912A" w:rsidR="00DC06F4" w:rsidRPr="0074154F" w:rsidRDefault="00851C94" w:rsidP="00DC06F4">
            <w:pPr>
              <w:tabs>
                <w:tab w:val="left" w:pos="210"/>
              </w:tabs>
              <w:spacing w:after="0" w:line="240" w:lineRule="auto"/>
              <w:ind w:left="-70"/>
              <w:rPr>
                <w:rFonts w:ascii="Arial" w:eastAsia="Times New Roman" w:hAnsi="Arial" w:cs="Arial"/>
                <w:sz w:val="20"/>
                <w:szCs w:val="20"/>
                <w:lang w:eastAsia="es-EC"/>
              </w:rPr>
            </w:pPr>
            <w:r w:rsidRPr="0074154F">
              <w:rPr>
                <w:rFonts w:ascii="Arial" w:eastAsia="Times New Roman" w:hAnsi="Arial" w:cs="Arial"/>
                <w:sz w:val="20"/>
                <w:szCs w:val="20"/>
                <w:lang w:eastAsia="es-EC"/>
              </w:rPr>
              <w:t xml:space="preserve">Sudamérica Telecomunicaciones </w:t>
            </w:r>
            <w:proofErr w:type="spellStart"/>
            <w:r w:rsidR="00DC06F4" w:rsidRPr="0074154F">
              <w:rPr>
                <w:rFonts w:ascii="Arial" w:eastAsia="Times New Roman" w:hAnsi="Arial" w:cs="Arial"/>
                <w:sz w:val="20"/>
                <w:szCs w:val="20"/>
                <w:lang w:eastAsia="es-EC"/>
              </w:rPr>
              <w:t>Suratel</w:t>
            </w:r>
            <w:proofErr w:type="spellEnd"/>
            <w:r w:rsidRPr="0074154F">
              <w:rPr>
                <w:rFonts w:ascii="Arial" w:eastAsia="Times New Roman" w:hAnsi="Arial" w:cs="Arial"/>
                <w:sz w:val="20"/>
                <w:szCs w:val="20"/>
                <w:lang w:eastAsia="es-EC"/>
              </w:rPr>
              <w:t xml:space="preserve"> S.A.</w:t>
            </w:r>
          </w:p>
        </w:tc>
        <w:tc>
          <w:tcPr>
            <w:tcW w:w="1502" w:type="dxa"/>
            <w:tcBorders>
              <w:bottom w:val="nil"/>
            </w:tcBorders>
            <w:shd w:val="clear" w:color="auto" w:fill="auto"/>
            <w:noWrap/>
            <w:vAlign w:val="bottom"/>
          </w:tcPr>
          <w:p w14:paraId="1191CBCA" w14:textId="3D67A03B" w:rsidR="00DC06F4" w:rsidRPr="0074154F" w:rsidRDefault="00DC06F4" w:rsidP="00DC06F4">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1,600,400</w:t>
            </w:r>
          </w:p>
        </w:tc>
        <w:tc>
          <w:tcPr>
            <w:tcW w:w="227" w:type="dxa"/>
            <w:tcBorders>
              <w:bottom w:val="nil"/>
            </w:tcBorders>
            <w:shd w:val="clear" w:color="auto" w:fill="auto"/>
            <w:noWrap/>
            <w:vAlign w:val="bottom"/>
          </w:tcPr>
          <w:p w14:paraId="2143C57F"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3FFC6D0F" w14:textId="06720E0E" w:rsidR="00DC06F4" w:rsidRPr="0074154F" w:rsidRDefault="00D01E50" w:rsidP="00DC06F4">
            <w:pPr>
              <w:tabs>
                <w:tab w:val="decimal" w:pos="1276"/>
              </w:tabs>
              <w:spacing w:after="0" w:line="240" w:lineRule="auto"/>
              <w:rPr>
                <w:rFonts w:ascii="Arial" w:eastAsia="Times New Roman" w:hAnsi="Arial" w:cs="Arial"/>
                <w:color w:val="000000"/>
                <w:sz w:val="20"/>
                <w:szCs w:val="20"/>
                <w:lang w:eastAsia="es-MX"/>
              </w:rPr>
            </w:pPr>
            <w:r w:rsidRPr="0074154F">
              <w:rPr>
                <w:rFonts w:ascii="Arial" w:eastAsia="Times New Roman" w:hAnsi="Arial" w:cs="Arial"/>
                <w:color w:val="000000"/>
                <w:sz w:val="20"/>
                <w:szCs w:val="20"/>
                <w:lang w:eastAsia="es-MX"/>
              </w:rPr>
              <w:t>1,893,955</w:t>
            </w:r>
          </w:p>
        </w:tc>
      </w:tr>
      <w:tr w:rsidR="00C3018B" w:rsidRPr="0074154F" w14:paraId="4318F28A" w14:textId="77777777" w:rsidTr="00C3018B">
        <w:trPr>
          <w:trHeight w:val="283"/>
          <w:jc w:val="right"/>
        </w:trPr>
        <w:tc>
          <w:tcPr>
            <w:tcW w:w="5272" w:type="dxa"/>
            <w:shd w:val="clear" w:color="auto" w:fill="auto"/>
            <w:noWrap/>
            <w:vAlign w:val="bottom"/>
          </w:tcPr>
          <w:p w14:paraId="2B648B40" w14:textId="3FFD440B" w:rsidR="00C3018B" w:rsidRPr="0074154F" w:rsidRDefault="00C3018B" w:rsidP="00DC06F4">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Otros menores</w:t>
            </w:r>
          </w:p>
        </w:tc>
        <w:tc>
          <w:tcPr>
            <w:tcW w:w="1502" w:type="dxa"/>
            <w:tcBorders>
              <w:top w:val="nil"/>
              <w:bottom w:val="single" w:sz="6" w:space="0" w:color="auto"/>
            </w:tcBorders>
            <w:shd w:val="clear" w:color="auto" w:fill="auto"/>
            <w:noWrap/>
            <w:vAlign w:val="bottom"/>
          </w:tcPr>
          <w:p w14:paraId="4B3ED1F8" w14:textId="0DB935DE" w:rsidR="00C3018B" w:rsidRPr="0074154F" w:rsidRDefault="00C3018B"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676,743</w:t>
            </w:r>
          </w:p>
        </w:tc>
        <w:tc>
          <w:tcPr>
            <w:tcW w:w="227" w:type="dxa"/>
            <w:tcBorders>
              <w:top w:val="nil"/>
              <w:bottom w:val="nil"/>
            </w:tcBorders>
            <w:shd w:val="clear" w:color="auto" w:fill="auto"/>
            <w:noWrap/>
            <w:vAlign w:val="bottom"/>
          </w:tcPr>
          <w:p w14:paraId="4409E804" w14:textId="77777777" w:rsidR="00C3018B" w:rsidRPr="0074154F" w:rsidRDefault="00C3018B" w:rsidP="00DC06F4">
            <w:pPr>
              <w:spacing w:after="0" w:line="240" w:lineRule="auto"/>
              <w:rPr>
                <w:rFonts w:ascii="Arial" w:eastAsia="Times New Roman" w:hAnsi="Arial" w:cs="Arial"/>
                <w:sz w:val="20"/>
                <w:szCs w:val="20"/>
                <w:lang w:eastAsia="es-EC"/>
              </w:rPr>
            </w:pPr>
          </w:p>
        </w:tc>
        <w:tc>
          <w:tcPr>
            <w:tcW w:w="1502" w:type="dxa"/>
            <w:tcBorders>
              <w:top w:val="nil"/>
              <w:bottom w:val="single" w:sz="6" w:space="0" w:color="auto"/>
            </w:tcBorders>
            <w:shd w:val="clear" w:color="auto" w:fill="auto"/>
            <w:noWrap/>
            <w:vAlign w:val="bottom"/>
          </w:tcPr>
          <w:p w14:paraId="4B16C1E3" w14:textId="3FE5A958" w:rsidR="00C3018B" w:rsidRPr="0074154F" w:rsidRDefault="00C3018B" w:rsidP="00DC06F4">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661,893</w:t>
            </w:r>
          </w:p>
        </w:tc>
      </w:tr>
      <w:tr w:rsidR="00DC06F4" w:rsidRPr="0074154F" w14:paraId="01601676" w14:textId="77777777" w:rsidTr="00AC3EE3">
        <w:trPr>
          <w:trHeight w:val="289"/>
          <w:jc w:val="right"/>
        </w:trPr>
        <w:tc>
          <w:tcPr>
            <w:tcW w:w="5272" w:type="dxa"/>
            <w:shd w:val="clear" w:color="auto" w:fill="auto"/>
            <w:noWrap/>
            <w:vAlign w:val="bottom"/>
          </w:tcPr>
          <w:p w14:paraId="16B8B7CE" w14:textId="3C2D7DFB" w:rsidR="00DC06F4" w:rsidRPr="0074154F" w:rsidRDefault="00DC06F4" w:rsidP="00DC06F4">
            <w:pPr>
              <w:tabs>
                <w:tab w:val="left" w:pos="210"/>
              </w:tabs>
              <w:spacing w:after="0" w:line="240" w:lineRule="auto"/>
              <w:ind w:left="-70"/>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47700A77" w14:textId="7BF9E0AE" w:rsidR="00DC06F4" w:rsidRPr="0074154F" w:rsidRDefault="00DC06F4" w:rsidP="00DC06F4">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304E4CA6"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46DF58D7" w14:textId="4A74BCBF" w:rsidR="00DC06F4" w:rsidRPr="0074154F" w:rsidRDefault="00DC06F4" w:rsidP="00DC06F4">
            <w:pPr>
              <w:tabs>
                <w:tab w:val="decimal" w:pos="1276"/>
              </w:tabs>
              <w:spacing w:after="0" w:line="240" w:lineRule="auto"/>
              <w:rPr>
                <w:rFonts w:ascii="Arial" w:eastAsia="Times New Roman" w:hAnsi="Arial" w:cs="Arial"/>
                <w:color w:val="000000"/>
                <w:sz w:val="20"/>
                <w:szCs w:val="20"/>
                <w:lang w:eastAsia="es-MX"/>
              </w:rPr>
            </w:pPr>
          </w:p>
        </w:tc>
      </w:tr>
      <w:tr w:rsidR="00DC06F4" w:rsidRPr="0074154F" w14:paraId="01D9D0B2" w14:textId="77777777" w:rsidTr="00AC3EE3">
        <w:trPr>
          <w:trHeight w:val="283"/>
          <w:jc w:val="right"/>
        </w:trPr>
        <w:tc>
          <w:tcPr>
            <w:tcW w:w="5272" w:type="dxa"/>
            <w:shd w:val="clear" w:color="auto" w:fill="auto"/>
            <w:noWrap/>
            <w:vAlign w:val="bottom"/>
          </w:tcPr>
          <w:p w14:paraId="5E4A64FD" w14:textId="420AECD8" w:rsidR="00DC06F4" w:rsidRPr="0074154F" w:rsidRDefault="003322E2" w:rsidP="00DC06F4">
            <w:pPr>
              <w:tabs>
                <w:tab w:val="left" w:pos="210"/>
              </w:tabs>
              <w:spacing w:after="0" w:line="240" w:lineRule="auto"/>
              <w:ind w:left="-70"/>
              <w:rPr>
                <w:rFonts w:ascii="Arial" w:eastAsia="Times New Roman" w:hAnsi="Arial" w:cs="Arial"/>
                <w:sz w:val="20"/>
                <w:szCs w:val="20"/>
                <w:lang w:eastAsia="es-EC"/>
              </w:rPr>
            </w:pPr>
            <w:r w:rsidRPr="0074154F">
              <w:rPr>
                <w:rFonts w:ascii="Arial" w:eastAsia="Times New Roman" w:hAnsi="Arial" w:cs="Arial"/>
                <w:sz w:val="20"/>
                <w:szCs w:val="20"/>
                <w:lang w:eastAsia="es-EC"/>
              </w:rPr>
              <w:t xml:space="preserve">Total </w:t>
            </w:r>
          </w:p>
        </w:tc>
        <w:tc>
          <w:tcPr>
            <w:tcW w:w="1502" w:type="dxa"/>
            <w:tcBorders>
              <w:bottom w:val="double" w:sz="4" w:space="0" w:color="auto"/>
            </w:tcBorders>
            <w:shd w:val="clear" w:color="auto" w:fill="auto"/>
            <w:noWrap/>
            <w:vAlign w:val="bottom"/>
          </w:tcPr>
          <w:p w14:paraId="6711199F" w14:textId="7EB3A06B" w:rsidR="00DC06F4" w:rsidRPr="0074154F" w:rsidRDefault="00C3018B"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19,240,063</w:t>
            </w:r>
          </w:p>
        </w:tc>
        <w:tc>
          <w:tcPr>
            <w:tcW w:w="227" w:type="dxa"/>
            <w:tcBorders>
              <w:bottom w:val="nil"/>
            </w:tcBorders>
            <w:shd w:val="clear" w:color="auto" w:fill="auto"/>
            <w:noWrap/>
            <w:vAlign w:val="bottom"/>
          </w:tcPr>
          <w:p w14:paraId="1610DAA8"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tcBorders>
              <w:bottom w:val="double" w:sz="4" w:space="0" w:color="auto"/>
            </w:tcBorders>
            <w:shd w:val="clear" w:color="auto" w:fill="auto"/>
            <w:noWrap/>
            <w:vAlign w:val="bottom"/>
          </w:tcPr>
          <w:p w14:paraId="1FA1161B" w14:textId="49F30788" w:rsidR="00DC06F4" w:rsidRPr="0074154F" w:rsidRDefault="00C3018B"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21,704,756</w:t>
            </w:r>
          </w:p>
        </w:tc>
      </w:tr>
      <w:tr w:rsidR="00BC7CE5" w:rsidRPr="0074154F" w14:paraId="44F1FEC2" w14:textId="77777777" w:rsidTr="00AC3EE3">
        <w:trPr>
          <w:trHeight w:val="283"/>
          <w:jc w:val="right"/>
        </w:trPr>
        <w:tc>
          <w:tcPr>
            <w:tcW w:w="5272" w:type="dxa"/>
            <w:shd w:val="clear" w:color="auto" w:fill="auto"/>
            <w:noWrap/>
            <w:vAlign w:val="bottom"/>
          </w:tcPr>
          <w:p w14:paraId="2A88D8FE" w14:textId="77777777" w:rsidR="00BC7CE5" w:rsidRPr="0074154F" w:rsidRDefault="00BC7CE5" w:rsidP="00DC06F4">
            <w:pPr>
              <w:tabs>
                <w:tab w:val="left" w:pos="210"/>
              </w:tabs>
              <w:spacing w:after="0" w:line="240" w:lineRule="auto"/>
              <w:ind w:left="-70"/>
              <w:rPr>
                <w:rFonts w:ascii="Arial" w:eastAsia="Times New Roman" w:hAnsi="Arial" w:cs="Arial"/>
                <w:sz w:val="20"/>
                <w:szCs w:val="20"/>
                <w:lang w:eastAsia="es-EC"/>
              </w:rPr>
            </w:pPr>
          </w:p>
        </w:tc>
        <w:tc>
          <w:tcPr>
            <w:tcW w:w="1502" w:type="dxa"/>
            <w:tcBorders>
              <w:top w:val="double" w:sz="4" w:space="0" w:color="auto"/>
            </w:tcBorders>
            <w:shd w:val="clear" w:color="auto" w:fill="auto"/>
            <w:noWrap/>
            <w:vAlign w:val="bottom"/>
          </w:tcPr>
          <w:p w14:paraId="5EF95C6B" w14:textId="77777777" w:rsidR="00BC7CE5" w:rsidRPr="0074154F" w:rsidRDefault="00BC7CE5" w:rsidP="00DC06F4">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1F5B4E0A" w14:textId="77777777" w:rsidR="00BC7CE5" w:rsidRPr="0074154F" w:rsidRDefault="00BC7CE5" w:rsidP="00DC06F4">
            <w:pPr>
              <w:spacing w:after="0" w:line="240" w:lineRule="auto"/>
              <w:rPr>
                <w:rFonts w:ascii="Arial" w:eastAsia="Times New Roman" w:hAnsi="Arial" w:cs="Arial"/>
                <w:sz w:val="20"/>
                <w:szCs w:val="20"/>
                <w:lang w:eastAsia="es-EC"/>
              </w:rPr>
            </w:pPr>
          </w:p>
        </w:tc>
        <w:tc>
          <w:tcPr>
            <w:tcW w:w="1502" w:type="dxa"/>
            <w:tcBorders>
              <w:top w:val="double" w:sz="4" w:space="0" w:color="auto"/>
            </w:tcBorders>
            <w:shd w:val="clear" w:color="auto" w:fill="auto"/>
            <w:noWrap/>
            <w:vAlign w:val="bottom"/>
          </w:tcPr>
          <w:p w14:paraId="0CCD8EF5" w14:textId="77777777" w:rsidR="00BC7CE5" w:rsidRPr="0074154F" w:rsidRDefault="00BC7CE5" w:rsidP="00DC06F4">
            <w:pPr>
              <w:tabs>
                <w:tab w:val="decimal" w:pos="1276"/>
              </w:tabs>
              <w:spacing w:after="0" w:line="240" w:lineRule="auto"/>
              <w:rPr>
                <w:rFonts w:ascii="Arial" w:eastAsia="Times New Roman" w:hAnsi="Arial" w:cs="Arial"/>
                <w:sz w:val="20"/>
                <w:szCs w:val="20"/>
                <w:lang w:eastAsia="es-EC"/>
              </w:rPr>
            </w:pPr>
          </w:p>
        </w:tc>
      </w:tr>
      <w:tr w:rsidR="00BC7CE5" w:rsidRPr="0074154F" w14:paraId="6E14D626" w14:textId="77777777" w:rsidTr="00AC3EE3">
        <w:trPr>
          <w:trHeight w:val="283"/>
          <w:jc w:val="right"/>
        </w:trPr>
        <w:tc>
          <w:tcPr>
            <w:tcW w:w="5272" w:type="dxa"/>
            <w:shd w:val="clear" w:color="auto" w:fill="auto"/>
            <w:noWrap/>
            <w:vAlign w:val="bottom"/>
          </w:tcPr>
          <w:p w14:paraId="414C0501" w14:textId="7CDC09B7" w:rsidR="00BC7CE5" w:rsidRPr="00BC7CE5" w:rsidRDefault="00BC7CE5" w:rsidP="00DC06F4">
            <w:pPr>
              <w:tabs>
                <w:tab w:val="left" w:pos="210"/>
              </w:tabs>
              <w:spacing w:after="0" w:line="240" w:lineRule="auto"/>
              <w:ind w:left="-70"/>
              <w:rPr>
                <w:rFonts w:ascii="Arial" w:eastAsia="Times New Roman" w:hAnsi="Arial" w:cs="Arial"/>
                <w:i/>
                <w:iCs/>
                <w:sz w:val="20"/>
                <w:szCs w:val="20"/>
                <w:u w:val="single"/>
                <w:lang w:eastAsia="es-EC"/>
              </w:rPr>
            </w:pPr>
            <w:r w:rsidRPr="00BC7CE5">
              <w:rPr>
                <w:rFonts w:ascii="Arial" w:eastAsia="Times New Roman" w:hAnsi="Arial" w:cs="Arial"/>
                <w:i/>
                <w:iCs/>
                <w:sz w:val="20"/>
                <w:szCs w:val="20"/>
                <w:u w:val="single"/>
                <w:lang w:eastAsia="es-EC"/>
              </w:rPr>
              <w:t>Clasificación:</w:t>
            </w:r>
          </w:p>
        </w:tc>
        <w:tc>
          <w:tcPr>
            <w:tcW w:w="1502" w:type="dxa"/>
            <w:shd w:val="clear" w:color="auto" w:fill="auto"/>
            <w:noWrap/>
            <w:vAlign w:val="bottom"/>
          </w:tcPr>
          <w:p w14:paraId="1C68D2DA" w14:textId="77777777" w:rsidR="00BC7CE5" w:rsidRPr="0074154F" w:rsidRDefault="00BC7CE5" w:rsidP="00DC06F4">
            <w:pPr>
              <w:tabs>
                <w:tab w:val="decimal" w:pos="1276"/>
              </w:tabs>
              <w:spacing w:after="0" w:line="240" w:lineRule="auto"/>
              <w:rPr>
                <w:rFonts w:ascii="Arial" w:eastAsia="Times New Roman" w:hAnsi="Arial" w:cs="Arial"/>
                <w:sz w:val="20"/>
                <w:szCs w:val="20"/>
                <w:lang w:eastAsia="es-EC"/>
              </w:rPr>
            </w:pPr>
          </w:p>
        </w:tc>
        <w:tc>
          <w:tcPr>
            <w:tcW w:w="227" w:type="dxa"/>
            <w:tcBorders>
              <w:top w:val="nil"/>
            </w:tcBorders>
            <w:shd w:val="clear" w:color="auto" w:fill="auto"/>
            <w:noWrap/>
            <w:vAlign w:val="bottom"/>
          </w:tcPr>
          <w:p w14:paraId="7C6DC6B7" w14:textId="77777777" w:rsidR="00BC7CE5" w:rsidRPr="0074154F" w:rsidRDefault="00BC7CE5" w:rsidP="00DC06F4">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1A6D4C4D" w14:textId="77777777" w:rsidR="00BC7CE5" w:rsidRPr="0074154F" w:rsidRDefault="00BC7CE5" w:rsidP="00DC06F4">
            <w:pPr>
              <w:tabs>
                <w:tab w:val="decimal" w:pos="1276"/>
              </w:tabs>
              <w:spacing w:after="0" w:line="240" w:lineRule="auto"/>
              <w:rPr>
                <w:rFonts w:ascii="Arial" w:eastAsia="Times New Roman" w:hAnsi="Arial" w:cs="Arial"/>
                <w:sz w:val="20"/>
                <w:szCs w:val="20"/>
                <w:lang w:eastAsia="es-EC"/>
              </w:rPr>
            </w:pPr>
          </w:p>
        </w:tc>
      </w:tr>
      <w:tr w:rsidR="00BC7CE5" w:rsidRPr="0074154F" w14:paraId="79E46ACB" w14:textId="77777777" w:rsidTr="00BC7CE5">
        <w:trPr>
          <w:trHeight w:val="283"/>
          <w:jc w:val="right"/>
        </w:trPr>
        <w:tc>
          <w:tcPr>
            <w:tcW w:w="5272" w:type="dxa"/>
            <w:shd w:val="clear" w:color="auto" w:fill="auto"/>
            <w:noWrap/>
            <w:vAlign w:val="bottom"/>
          </w:tcPr>
          <w:p w14:paraId="7CC8D2A3" w14:textId="2AA20C5C" w:rsidR="00BC7CE5" w:rsidRPr="00BC7CE5" w:rsidRDefault="00BC7CE5" w:rsidP="00DC06F4">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BC7CE5">
              <w:rPr>
                <w:rFonts w:ascii="Arial" w:eastAsia="Times New Roman" w:hAnsi="Arial" w:cs="Arial"/>
                <w:sz w:val="20"/>
                <w:szCs w:val="20"/>
                <w:lang w:eastAsia="es-EC"/>
              </w:rPr>
              <w:t>Corriente</w:t>
            </w:r>
          </w:p>
        </w:tc>
        <w:tc>
          <w:tcPr>
            <w:tcW w:w="1502" w:type="dxa"/>
            <w:tcBorders>
              <w:bottom w:val="nil"/>
            </w:tcBorders>
            <w:shd w:val="clear" w:color="auto" w:fill="auto"/>
            <w:noWrap/>
            <w:vAlign w:val="bottom"/>
          </w:tcPr>
          <w:p w14:paraId="3F45B6BE" w14:textId="7CFDF687"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3,156,285</w:t>
            </w:r>
          </w:p>
        </w:tc>
        <w:tc>
          <w:tcPr>
            <w:tcW w:w="227" w:type="dxa"/>
            <w:shd w:val="clear" w:color="auto" w:fill="auto"/>
            <w:noWrap/>
            <w:vAlign w:val="bottom"/>
          </w:tcPr>
          <w:p w14:paraId="708076DB" w14:textId="77777777" w:rsidR="00BC7CE5" w:rsidRPr="0074154F" w:rsidRDefault="00BC7CE5" w:rsidP="00DC06F4">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B5C959D" w14:textId="16D1357D"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3,141,435</w:t>
            </w:r>
          </w:p>
        </w:tc>
      </w:tr>
      <w:tr w:rsidR="00BC7CE5" w:rsidRPr="0074154F" w14:paraId="0FEA2922" w14:textId="77777777" w:rsidTr="00BC7CE5">
        <w:trPr>
          <w:trHeight w:val="283"/>
          <w:jc w:val="right"/>
        </w:trPr>
        <w:tc>
          <w:tcPr>
            <w:tcW w:w="5272" w:type="dxa"/>
            <w:shd w:val="clear" w:color="auto" w:fill="auto"/>
            <w:noWrap/>
            <w:vAlign w:val="bottom"/>
          </w:tcPr>
          <w:p w14:paraId="23AA610F" w14:textId="7392929C" w:rsidR="00BC7CE5" w:rsidRPr="00BC7CE5" w:rsidRDefault="00BC7CE5" w:rsidP="00DC06F4">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BC7CE5">
              <w:rPr>
                <w:rFonts w:ascii="Arial" w:eastAsia="Times New Roman" w:hAnsi="Arial" w:cs="Arial"/>
                <w:sz w:val="20"/>
                <w:szCs w:val="20"/>
                <w:lang w:eastAsia="es-EC"/>
              </w:rPr>
              <w:t>No corriente</w:t>
            </w:r>
          </w:p>
        </w:tc>
        <w:tc>
          <w:tcPr>
            <w:tcW w:w="1502" w:type="dxa"/>
            <w:tcBorders>
              <w:bottom w:val="single" w:sz="6" w:space="0" w:color="auto"/>
            </w:tcBorders>
            <w:shd w:val="clear" w:color="auto" w:fill="auto"/>
            <w:noWrap/>
            <w:vAlign w:val="bottom"/>
          </w:tcPr>
          <w:p w14:paraId="5A5A3804" w14:textId="7116F784"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16,083,778</w:t>
            </w:r>
          </w:p>
        </w:tc>
        <w:tc>
          <w:tcPr>
            <w:tcW w:w="227" w:type="dxa"/>
            <w:shd w:val="clear" w:color="auto" w:fill="auto"/>
            <w:noWrap/>
            <w:vAlign w:val="bottom"/>
          </w:tcPr>
          <w:p w14:paraId="5223DACD" w14:textId="77777777" w:rsidR="00BC7CE5" w:rsidRPr="0074154F" w:rsidRDefault="00BC7CE5" w:rsidP="00DC06F4">
            <w:pPr>
              <w:spacing w:after="0" w:line="240" w:lineRule="auto"/>
              <w:rPr>
                <w:rFonts w:ascii="Arial" w:eastAsia="Times New Roman" w:hAnsi="Arial" w:cs="Arial"/>
                <w:sz w:val="20"/>
                <w:szCs w:val="20"/>
                <w:lang w:eastAsia="es-EC"/>
              </w:rPr>
            </w:pPr>
          </w:p>
        </w:tc>
        <w:tc>
          <w:tcPr>
            <w:tcW w:w="1502" w:type="dxa"/>
            <w:tcBorders>
              <w:bottom w:val="single" w:sz="6" w:space="0" w:color="auto"/>
            </w:tcBorders>
            <w:shd w:val="clear" w:color="auto" w:fill="auto"/>
            <w:noWrap/>
            <w:vAlign w:val="bottom"/>
          </w:tcPr>
          <w:p w14:paraId="448DD326" w14:textId="2EF1D91A"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18,563,321</w:t>
            </w:r>
          </w:p>
        </w:tc>
      </w:tr>
      <w:tr w:rsidR="00DC06F4" w:rsidRPr="0074154F" w14:paraId="22E5CEAB" w14:textId="77777777" w:rsidTr="00277474">
        <w:trPr>
          <w:trHeight w:val="283"/>
          <w:jc w:val="right"/>
        </w:trPr>
        <w:tc>
          <w:tcPr>
            <w:tcW w:w="5272" w:type="dxa"/>
            <w:tcBorders>
              <w:bottom w:val="nil"/>
            </w:tcBorders>
            <w:shd w:val="clear" w:color="auto" w:fill="auto"/>
            <w:noWrap/>
            <w:vAlign w:val="bottom"/>
          </w:tcPr>
          <w:p w14:paraId="3AD9AAC1" w14:textId="77777777" w:rsidR="00DC06F4" w:rsidRPr="0074154F" w:rsidRDefault="00DC06F4" w:rsidP="00DC06F4">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6" w:space="0" w:color="auto"/>
              <w:bottom w:val="nil"/>
            </w:tcBorders>
            <w:shd w:val="clear" w:color="auto" w:fill="auto"/>
            <w:noWrap/>
            <w:vAlign w:val="bottom"/>
          </w:tcPr>
          <w:p w14:paraId="4B787A64" w14:textId="77777777" w:rsidR="00DC06F4" w:rsidRPr="0074154F" w:rsidRDefault="00DC06F4" w:rsidP="00DC06F4">
            <w:pPr>
              <w:tabs>
                <w:tab w:val="decimal" w:pos="1276"/>
              </w:tabs>
              <w:spacing w:after="0" w:line="240" w:lineRule="auto"/>
              <w:rPr>
                <w:rFonts w:ascii="Arial" w:eastAsia="Times New Roman" w:hAnsi="Arial" w:cs="Arial"/>
                <w:sz w:val="20"/>
                <w:szCs w:val="20"/>
                <w:lang w:eastAsia="es-EC"/>
              </w:rPr>
            </w:pPr>
          </w:p>
        </w:tc>
        <w:tc>
          <w:tcPr>
            <w:tcW w:w="227" w:type="dxa"/>
            <w:tcBorders>
              <w:bottom w:val="nil"/>
            </w:tcBorders>
            <w:shd w:val="clear" w:color="auto" w:fill="auto"/>
            <w:noWrap/>
            <w:vAlign w:val="bottom"/>
          </w:tcPr>
          <w:p w14:paraId="67FC24B8" w14:textId="77777777" w:rsidR="00DC06F4" w:rsidRPr="0074154F" w:rsidRDefault="00DC06F4" w:rsidP="00DC06F4">
            <w:pPr>
              <w:spacing w:after="0" w:line="240" w:lineRule="auto"/>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4F19913E" w14:textId="77777777" w:rsidR="00DC06F4" w:rsidRPr="0074154F" w:rsidRDefault="00DC06F4" w:rsidP="00DC06F4">
            <w:pPr>
              <w:tabs>
                <w:tab w:val="decimal" w:pos="1276"/>
              </w:tabs>
              <w:spacing w:after="0" w:line="240" w:lineRule="auto"/>
              <w:rPr>
                <w:rFonts w:ascii="Arial" w:eastAsia="Times New Roman" w:hAnsi="Arial" w:cs="Arial"/>
                <w:sz w:val="20"/>
                <w:szCs w:val="20"/>
                <w:lang w:eastAsia="es-EC"/>
              </w:rPr>
            </w:pPr>
          </w:p>
        </w:tc>
      </w:tr>
      <w:tr w:rsidR="00BC7CE5" w:rsidRPr="0074154F" w14:paraId="64AD9E34" w14:textId="77777777" w:rsidTr="00277474">
        <w:trPr>
          <w:trHeight w:val="283"/>
          <w:jc w:val="right"/>
        </w:trPr>
        <w:tc>
          <w:tcPr>
            <w:tcW w:w="5272" w:type="dxa"/>
            <w:tcBorders>
              <w:top w:val="nil"/>
              <w:bottom w:val="nil"/>
            </w:tcBorders>
            <w:shd w:val="clear" w:color="auto" w:fill="auto"/>
            <w:noWrap/>
            <w:vAlign w:val="bottom"/>
          </w:tcPr>
          <w:p w14:paraId="0073602D" w14:textId="77777777" w:rsidR="00BC7CE5" w:rsidRPr="0074154F" w:rsidRDefault="00BC7CE5" w:rsidP="00DC06F4">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bottom w:val="double" w:sz="4" w:space="0" w:color="auto"/>
            </w:tcBorders>
            <w:shd w:val="clear" w:color="auto" w:fill="auto"/>
            <w:noWrap/>
            <w:vAlign w:val="bottom"/>
          </w:tcPr>
          <w:p w14:paraId="653D53C5" w14:textId="1B2F624D"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19,240,063</w:t>
            </w:r>
          </w:p>
        </w:tc>
        <w:tc>
          <w:tcPr>
            <w:tcW w:w="227" w:type="dxa"/>
            <w:tcBorders>
              <w:top w:val="nil"/>
              <w:bottom w:val="nil"/>
            </w:tcBorders>
            <w:shd w:val="clear" w:color="auto" w:fill="auto"/>
            <w:noWrap/>
            <w:vAlign w:val="bottom"/>
          </w:tcPr>
          <w:p w14:paraId="7CC399F6" w14:textId="77777777" w:rsidR="00BC7CE5" w:rsidRPr="0074154F" w:rsidRDefault="00BC7CE5" w:rsidP="00DC06F4">
            <w:pPr>
              <w:spacing w:after="0" w:line="240" w:lineRule="auto"/>
              <w:rPr>
                <w:rFonts w:ascii="Arial" w:eastAsia="Times New Roman" w:hAnsi="Arial" w:cs="Arial"/>
                <w:sz w:val="20"/>
                <w:szCs w:val="20"/>
                <w:lang w:eastAsia="es-EC"/>
              </w:rPr>
            </w:pPr>
          </w:p>
        </w:tc>
        <w:tc>
          <w:tcPr>
            <w:tcW w:w="1502" w:type="dxa"/>
            <w:tcBorders>
              <w:top w:val="nil"/>
              <w:bottom w:val="double" w:sz="4" w:space="0" w:color="auto"/>
            </w:tcBorders>
            <w:shd w:val="clear" w:color="auto" w:fill="auto"/>
            <w:noWrap/>
            <w:vAlign w:val="bottom"/>
          </w:tcPr>
          <w:p w14:paraId="76F65F29" w14:textId="3935C774" w:rsidR="00BC7CE5" w:rsidRPr="0074154F" w:rsidRDefault="00BC7CE5" w:rsidP="00DC06F4">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21,704,756</w:t>
            </w:r>
          </w:p>
        </w:tc>
      </w:tr>
    </w:tbl>
    <w:p w14:paraId="37A21C03" w14:textId="77777777" w:rsidR="00277474" w:rsidRDefault="00277474" w:rsidP="00277474">
      <w:pPr>
        <w:pStyle w:val="Heading1"/>
        <w:tabs>
          <w:tab w:val="clear" w:pos="6960"/>
          <w:tab w:val="clear" w:pos="7800"/>
          <w:tab w:val="clear" w:pos="8280"/>
          <w:tab w:val="left" w:pos="7655"/>
        </w:tabs>
        <w:ind w:left="567"/>
        <w:jc w:val="both"/>
        <w:rPr>
          <w:rFonts w:ascii="Arial" w:hAnsi="Arial" w:cs="Arial"/>
          <w:sz w:val="20"/>
          <w:u w:val="single"/>
          <w:lang w:val="es-EC" w:eastAsia="es-EC"/>
        </w:rPr>
      </w:pPr>
    </w:p>
    <w:p w14:paraId="0E11B247" w14:textId="0CABD8A0" w:rsidR="00C258F7" w:rsidRPr="0074154F" w:rsidRDefault="00C258F7" w:rsidP="00C258F7">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 xml:space="preserve">PASIVO CONTINGENTE </w:t>
      </w:r>
    </w:p>
    <w:p w14:paraId="128DA123" w14:textId="77777777" w:rsidR="00497AB0" w:rsidRPr="0074154F" w:rsidRDefault="00497AB0" w:rsidP="00A03087">
      <w:pPr>
        <w:tabs>
          <w:tab w:val="left" w:pos="1560"/>
        </w:tabs>
        <w:ind w:left="567"/>
        <w:jc w:val="both"/>
        <w:rPr>
          <w:rFonts w:ascii="Arial" w:hAnsi="Arial" w:cs="Arial"/>
          <w:sz w:val="2"/>
          <w:szCs w:val="2"/>
        </w:rPr>
      </w:pPr>
    </w:p>
    <w:p w14:paraId="58B0BC55" w14:textId="77777777" w:rsidR="001D0E04" w:rsidRDefault="00A656DB" w:rsidP="00A656DB">
      <w:pPr>
        <w:pStyle w:val="ListParagraph"/>
        <w:tabs>
          <w:tab w:val="left" w:pos="1560"/>
        </w:tabs>
        <w:ind w:left="567"/>
        <w:jc w:val="both"/>
        <w:rPr>
          <w:rFonts w:ascii="Arial" w:hAnsi="Arial" w:cs="Arial"/>
          <w:sz w:val="20"/>
          <w:szCs w:val="20"/>
        </w:rPr>
      </w:pPr>
      <w:r w:rsidRPr="0074154F">
        <w:rPr>
          <w:rFonts w:ascii="Arial" w:hAnsi="Arial" w:cs="Arial"/>
          <w:sz w:val="20"/>
          <w:szCs w:val="20"/>
        </w:rPr>
        <w:t xml:space="preserve">La Compañía en el año 2018 consignó US$2.5 millones los cuales fueron depositados en la cuenta del Servicio de Gestión Inmobiliaria del Sector Público </w:t>
      </w:r>
      <w:proofErr w:type="spellStart"/>
      <w:r w:rsidRPr="0074154F">
        <w:rPr>
          <w:rFonts w:ascii="Arial" w:hAnsi="Arial" w:cs="Arial"/>
          <w:sz w:val="20"/>
          <w:szCs w:val="20"/>
        </w:rPr>
        <w:t>Inmobiliar</w:t>
      </w:r>
      <w:proofErr w:type="spellEnd"/>
      <w:r w:rsidRPr="0074154F">
        <w:rPr>
          <w:rFonts w:ascii="Arial" w:hAnsi="Arial" w:cs="Arial"/>
          <w:sz w:val="20"/>
          <w:szCs w:val="20"/>
        </w:rPr>
        <w:t xml:space="preserve">, con el fin de </w:t>
      </w:r>
      <w:proofErr w:type="spellStart"/>
      <w:r w:rsidRPr="0074154F">
        <w:rPr>
          <w:rFonts w:ascii="Arial" w:hAnsi="Arial" w:cs="Arial"/>
          <w:sz w:val="20"/>
          <w:szCs w:val="20"/>
        </w:rPr>
        <w:t>coadyudar</w:t>
      </w:r>
      <w:proofErr w:type="spellEnd"/>
      <w:r w:rsidRPr="0074154F">
        <w:rPr>
          <w:rFonts w:ascii="Arial" w:hAnsi="Arial" w:cs="Arial"/>
          <w:sz w:val="20"/>
          <w:szCs w:val="20"/>
        </w:rPr>
        <w:t xml:space="preserve"> en el procedimiento de investigación que lleva la fiscalía desde el año 2017 que se originaron una parte de los recursos que se invirtieron para la instalación del cable submarino fibra </w:t>
      </w:r>
      <w:r w:rsidR="007F4997" w:rsidRPr="0074154F">
        <w:rPr>
          <w:rFonts w:ascii="Arial" w:hAnsi="Arial" w:cs="Arial"/>
          <w:sz w:val="20"/>
          <w:szCs w:val="20"/>
        </w:rPr>
        <w:t>óptica</w:t>
      </w:r>
      <w:r w:rsidRPr="0074154F">
        <w:rPr>
          <w:rFonts w:ascii="Arial" w:hAnsi="Arial" w:cs="Arial"/>
          <w:sz w:val="20"/>
          <w:szCs w:val="20"/>
        </w:rPr>
        <w:t>. Durante el año 2020 y a la fecha de emisión de este informe aún se encuentra en proceso pendiente de dictamen final.</w:t>
      </w:r>
    </w:p>
    <w:p w14:paraId="25CB0A87" w14:textId="77777777" w:rsidR="001D0E04" w:rsidRDefault="001D0E04" w:rsidP="00A656DB">
      <w:pPr>
        <w:pStyle w:val="ListParagraph"/>
        <w:tabs>
          <w:tab w:val="left" w:pos="1560"/>
        </w:tabs>
        <w:ind w:left="567"/>
        <w:jc w:val="both"/>
        <w:rPr>
          <w:rFonts w:ascii="Arial" w:hAnsi="Arial" w:cs="Arial"/>
          <w:sz w:val="20"/>
          <w:szCs w:val="20"/>
        </w:rPr>
      </w:pPr>
    </w:p>
    <w:p w14:paraId="0F82622E" w14:textId="0F3600D8" w:rsidR="00A656DB" w:rsidRPr="0074154F" w:rsidRDefault="00A656DB" w:rsidP="00A656DB">
      <w:pPr>
        <w:pStyle w:val="ListParagraph"/>
        <w:tabs>
          <w:tab w:val="left" w:pos="1560"/>
        </w:tabs>
        <w:ind w:left="567"/>
        <w:jc w:val="both"/>
        <w:rPr>
          <w:rFonts w:ascii="Arial" w:hAnsi="Arial" w:cs="Arial"/>
          <w:sz w:val="20"/>
          <w:szCs w:val="20"/>
        </w:rPr>
      </w:pPr>
      <w:r w:rsidRPr="0074154F">
        <w:rPr>
          <w:rFonts w:ascii="Arial" w:hAnsi="Arial" w:cs="Arial"/>
          <w:sz w:val="20"/>
          <w:szCs w:val="20"/>
        </w:rPr>
        <w:t xml:space="preserve"> </w:t>
      </w:r>
    </w:p>
    <w:p w14:paraId="07318687" w14:textId="67D86C9D" w:rsidR="000F5329" w:rsidRPr="0074154F" w:rsidRDefault="000F5329" w:rsidP="000F532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 xml:space="preserve">OTROS PASIVOS </w:t>
      </w:r>
    </w:p>
    <w:p w14:paraId="6DAE9F5B" w14:textId="5F245F84" w:rsidR="00C258F7" w:rsidRPr="0074154F" w:rsidRDefault="00C258F7" w:rsidP="00A03087">
      <w:pPr>
        <w:tabs>
          <w:tab w:val="left" w:pos="1560"/>
        </w:tabs>
        <w:ind w:left="567"/>
        <w:jc w:val="both"/>
        <w:rPr>
          <w:rFonts w:ascii="Arial" w:hAnsi="Arial" w:cs="Arial"/>
          <w:sz w:val="14"/>
          <w:szCs w:val="14"/>
        </w:rPr>
      </w:pPr>
    </w:p>
    <w:p w14:paraId="3BB63E8D" w14:textId="77777777" w:rsidR="008A043B" w:rsidRDefault="008A043B" w:rsidP="008A043B">
      <w:pPr>
        <w:tabs>
          <w:tab w:val="left" w:pos="1560"/>
        </w:tabs>
        <w:ind w:left="567"/>
        <w:jc w:val="both"/>
        <w:rPr>
          <w:rFonts w:ascii="Arial" w:hAnsi="Arial" w:cs="Arial"/>
          <w:sz w:val="20"/>
          <w:szCs w:val="20"/>
        </w:rPr>
      </w:pPr>
      <w:r>
        <w:rPr>
          <w:rFonts w:ascii="Arial" w:hAnsi="Arial" w:cs="Arial"/>
          <w:sz w:val="20"/>
          <w:szCs w:val="20"/>
        </w:rPr>
        <w:t xml:space="preserve">Al 31 de diciembre del año 2019, correspondía principalmente al saldo pendiente de pago por US$10.6 millones a Isle View Management Inc. de conformidad con acuerdo de cesión de acreencias y derechos, firmado el 29 de diciembre del 2019 con el accionista Sr. Marion Tomislav Topic Granados. </w:t>
      </w:r>
    </w:p>
    <w:p w14:paraId="6A33935B" w14:textId="598A7B11" w:rsidR="001B7434" w:rsidRPr="0074154F" w:rsidRDefault="008A043B" w:rsidP="008A043B">
      <w:pPr>
        <w:tabs>
          <w:tab w:val="left" w:pos="1560"/>
        </w:tabs>
        <w:ind w:left="567"/>
        <w:jc w:val="both"/>
        <w:rPr>
          <w:rFonts w:ascii="Arial" w:hAnsi="Arial" w:cs="Arial"/>
          <w:sz w:val="20"/>
          <w:szCs w:val="20"/>
        </w:rPr>
      </w:pPr>
      <w:r>
        <w:rPr>
          <w:rFonts w:ascii="Arial" w:hAnsi="Arial" w:cs="Arial"/>
          <w:sz w:val="20"/>
          <w:szCs w:val="20"/>
        </w:rPr>
        <w:t xml:space="preserve">Durante el año 2020, se realizaron abonos para cancelaciones de estos pasivos, quedando un saldo </w:t>
      </w:r>
      <w:r w:rsidRPr="00224BC5">
        <w:rPr>
          <w:rFonts w:ascii="Arial" w:hAnsi="Arial" w:cs="Arial"/>
          <w:sz w:val="20"/>
          <w:szCs w:val="20"/>
        </w:rPr>
        <w:t xml:space="preserve">pendiente por pagar </w:t>
      </w:r>
      <w:r>
        <w:rPr>
          <w:rFonts w:ascii="Arial" w:hAnsi="Arial" w:cs="Arial"/>
          <w:sz w:val="20"/>
          <w:szCs w:val="20"/>
        </w:rPr>
        <w:t xml:space="preserve">que asciende a </w:t>
      </w:r>
      <w:r w:rsidRPr="00224BC5">
        <w:rPr>
          <w:rFonts w:ascii="Arial" w:hAnsi="Arial" w:cs="Arial"/>
          <w:sz w:val="20"/>
          <w:szCs w:val="20"/>
        </w:rPr>
        <w:t xml:space="preserve">US$2.5 millones </w:t>
      </w:r>
      <w:r>
        <w:rPr>
          <w:rFonts w:ascii="Arial" w:hAnsi="Arial" w:cs="Arial"/>
          <w:sz w:val="20"/>
          <w:szCs w:val="20"/>
        </w:rPr>
        <w:t>de conformidad con la referida cesión de acreencias y derechos</w:t>
      </w:r>
      <w:r w:rsidRPr="00224BC5">
        <w:rPr>
          <w:rFonts w:ascii="Arial" w:hAnsi="Arial" w:cs="Arial"/>
          <w:sz w:val="20"/>
          <w:szCs w:val="20"/>
        </w:rPr>
        <w:t>.</w:t>
      </w:r>
    </w:p>
    <w:p w14:paraId="549D0DDA" w14:textId="7845A1E5" w:rsidR="00F46DAB" w:rsidRPr="0074154F" w:rsidRDefault="00F46DAB" w:rsidP="002D5A87">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 xml:space="preserve">PRECIOS DE TRANSFERENCIAS </w:t>
      </w:r>
    </w:p>
    <w:p w14:paraId="28293665" w14:textId="77777777" w:rsidR="00F46DAB" w:rsidRPr="0074154F" w:rsidRDefault="00F46DAB" w:rsidP="00F46DAB">
      <w:pPr>
        <w:spacing w:after="0" w:line="240" w:lineRule="auto"/>
        <w:ind w:right="-1"/>
        <w:jc w:val="both"/>
        <w:rPr>
          <w:rFonts w:ascii="Arial" w:hAnsi="Arial" w:cs="Arial"/>
          <w:sz w:val="20"/>
          <w:szCs w:val="20"/>
          <w:lang w:eastAsia="es-EC"/>
        </w:rPr>
      </w:pPr>
    </w:p>
    <w:p w14:paraId="50187E22" w14:textId="39FE0A61" w:rsidR="00F46DAB" w:rsidRPr="0074154F" w:rsidRDefault="00F46DAB" w:rsidP="00F46DAB">
      <w:pPr>
        <w:widowControl w:val="0"/>
        <w:spacing w:after="0" w:line="240" w:lineRule="auto"/>
        <w:ind w:left="567"/>
        <w:jc w:val="both"/>
        <w:rPr>
          <w:rFonts w:ascii="Arial" w:hAnsi="Arial" w:cs="Arial"/>
          <w:sz w:val="20"/>
          <w:szCs w:val="20"/>
          <w:lang w:eastAsia="es-EC"/>
        </w:rPr>
      </w:pPr>
      <w:r w:rsidRPr="0074154F">
        <w:rPr>
          <w:rFonts w:ascii="Arial" w:hAnsi="Arial" w:cs="Arial"/>
          <w:sz w:val="20"/>
          <w:szCs w:val="20"/>
          <w:lang w:eastAsia="es-EC"/>
        </w:rPr>
        <w:t>De conformidad con disposiciones legales vigentes, los contribuyentes sujetos al impuesto a la renta que hayan efectuado operaciones con partes relacionadas, dentro de un mismo período fiscal por un importe acumulado superior a US$15 millones, están obligados a presentar el estudio de Precios de Transferencia</w:t>
      </w:r>
      <w:r w:rsidR="00B61D9D" w:rsidRPr="0074154F">
        <w:rPr>
          <w:rFonts w:ascii="Arial" w:hAnsi="Arial" w:cs="Arial"/>
          <w:sz w:val="20"/>
          <w:szCs w:val="20"/>
          <w:lang w:eastAsia="es-EC"/>
        </w:rPr>
        <w:t xml:space="preserve">, importe acumulado superior a US$3 millones están obligados a presentar anexo en el </w:t>
      </w:r>
      <w:r w:rsidRPr="0074154F">
        <w:rPr>
          <w:rFonts w:ascii="Arial" w:hAnsi="Arial" w:cs="Arial"/>
          <w:sz w:val="20"/>
          <w:szCs w:val="20"/>
          <w:lang w:eastAsia="es-EC"/>
        </w:rPr>
        <w:t xml:space="preserve">que determine si tales operaciones han sido efectuadas a valores de plena competencia.  </w:t>
      </w:r>
    </w:p>
    <w:p w14:paraId="61E0FD0F" w14:textId="77777777" w:rsidR="00130158" w:rsidRPr="0074154F" w:rsidRDefault="00130158" w:rsidP="00F46DAB">
      <w:pPr>
        <w:widowControl w:val="0"/>
        <w:spacing w:after="0" w:line="240" w:lineRule="auto"/>
        <w:ind w:left="567"/>
        <w:jc w:val="both"/>
        <w:rPr>
          <w:rFonts w:ascii="Arial" w:hAnsi="Arial" w:cs="Arial"/>
          <w:sz w:val="20"/>
          <w:szCs w:val="20"/>
          <w:lang w:eastAsia="es-EC"/>
        </w:rPr>
      </w:pPr>
    </w:p>
    <w:p w14:paraId="356B17F3" w14:textId="78AA758B" w:rsidR="003159FF" w:rsidRPr="0074154F" w:rsidRDefault="00F46DAB" w:rsidP="006F78C6">
      <w:pPr>
        <w:pStyle w:val="ListParagraph"/>
        <w:widowControl w:val="0"/>
        <w:spacing w:after="0" w:line="240" w:lineRule="auto"/>
        <w:ind w:left="567"/>
        <w:jc w:val="both"/>
        <w:rPr>
          <w:rFonts w:ascii="Arial" w:hAnsi="Arial" w:cs="Arial"/>
          <w:sz w:val="20"/>
          <w:szCs w:val="20"/>
        </w:rPr>
      </w:pPr>
      <w:r w:rsidRPr="0074154F">
        <w:rPr>
          <w:rFonts w:ascii="Arial" w:hAnsi="Arial" w:cs="Arial"/>
          <w:sz w:val="20"/>
          <w:szCs w:val="20"/>
        </w:rPr>
        <w:t xml:space="preserve">El importe acumulado de las operaciones de la Compañía con partes relacionadas durante el ejercicio económico del año 2020, </w:t>
      </w:r>
      <w:r w:rsidR="003159FF" w:rsidRPr="0074154F">
        <w:rPr>
          <w:rFonts w:ascii="Arial" w:hAnsi="Arial" w:cs="Arial"/>
          <w:sz w:val="20"/>
          <w:szCs w:val="20"/>
        </w:rPr>
        <w:t xml:space="preserve">no </w:t>
      </w:r>
      <w:r w:rsidRPr="0074154F">
        <w:rPr>
          <w:rFonts w:ascii="Arial" w:hAnsi="Arial" w:cs="Arial"/>
          <w:sz w:val="20"/>
          <w:szCs w:val="20"/>
        </w:rPr>
        <w:t>supera el importe acumulado mencionado</w:t>
      </w:r>
      <w:r w:rsidR="003159FF" w:rsidRPr="0074154F">
        <w:rPr>
          <w:rFonts w:ascii="Arial" w:hAnsi="Arial" w:cs="Arial"/>
          <w:sz w:val="20"/>
          <w:szCs w:val="20"/>
        </w:rPr>
        <w:t xml:space="preserve"> precedente, por lo cual la Compañía no tiene obligatoriedad de presentación del referido estudio</w:t>
      </w:r>
      <w:r w:rsidRPr="0074154F">
        <w:rPr>
          <w:rFonts w:ascii="Arial" w:hAnsi="Arial" w:cs="Arial"/>
          <w:sz w:val="20"/>
          <w:szCs w:val="20"/>
        </w:rPr>
        <w:t xml:space="preserve"> al organismo de control tributario</w:t>
      </w:r>
      <w:r w:rsidR="002819A0" w:rsidRPr="0074154F">
        <w:rPr>
          <w:rFonts w:ascii="Arial" w:hAnsi="Arial" w:cs="Arial"/>
          <w:sz w:val="20"/>
          <w:szCs w:val="20"/>
        </w:rPr>
        <w:t xml:space="preserve"> Servicios de Rentas Internas</w:t>
      </w:r>
      <w:r w:rsidRPr="0074154F">
        <w:rPr>
          <w:rFonts w:ascii="Arial" w:hAnsi="Arial" w:cs="Arial"/>
          <w:sz w:val="20"/>
          <w:szCs w:val="20"/>
        </w:rPr>
        <w:t xml:space="preserve"> (SRI).</w:t>
      </w:r>
      <w:r w:rsidR="006F78C6" w:rsidRPr="0074154F">
        <w:rPr>
          <w:rFonts w:ascii="Arial" w:hAnsi="Arial" w:cs="Arial"/>
          <w:sz w:val="20"/>
          <w:szCs w:val="20"/>
        </w:rPr>
        <w:t xml:space="preserve"> </w:t>
      </w:r>
    </w:p>
    <w:p w14:paraId="7E953685" w14:textId="630D30B1" w:rsidR="00C24B23" w:rsidRDefault="00C24B23" w:rsidP="006F78C6">
      <w:pPr>
        <w:pStyle w:val="ListParagraph"/>
        <w:widowControl w:val="0"/>
        <w:spacing w:after="0" w:line="240" w:lineRule="auto"/>
        <w:ind w:left="567"/>
        <w:jc w:val="both"/>
        <w:rPr>
          <w:rFonts w:ascii="Arial" w:hAnsi="Arial" w:cs="Arial"/>
          <w:b/>
          <w:bCs/>
          <w:color w:val="FF0000"/>
          <w:sz w:val="20"/>
        </w:rPr>
      </w:pPr>
    </w:p>
    <w:p w14:paraId="2F0A9ACD" w14:textId="77777777" w:rsidR="001A321F" w:rsidRPr="0074154F" w:rsidRDefault="001A321F" w:rsidP="001A321F">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eastAsia="es-EC"/>
        </w:rPr>
      </w:pPr>
      <w:r w:rsidRPr="0074154F">
        <w:rPr>
          <w:rFonts w:ascii="Arial" w:hAnsi="Arial" w:cs="Arial"/>
          <w:sz w:val="20"/>
          <w:u w:val="single"/>
          <w:lang w:eastAsia="es-EC"/>
        </w:rPr>
        <w:t>INSTRUMENTOS FINANCIEROS</w:t>
      </w:r>
    </w:p>
    <w:p w14:paraId="44E17EEB" w14:textId="77777777" w:rsidR="001A321F" w:rsidRPr="0074154F" w:rsidRDefault="001A321F" w:rsidP="001A321F">
      <w:pPr>
        <w:pStyle w:val="ListParagraph"/>
        <w:spacing w:after="0" w:line="240" w:lineRule="auto"/>
        <w:ind w:left="1134"/>
        <w:jc w:val="both"/>
        <w:rPr>
          <w:rFonts w:ascii="Arial" w:hAnsi="Arial" w:cs="Arial"/>
          <w:b/>
          <w:sz w:val="20"/>
          <w:szCs w:val="20"/>
        </w:rPr>
      </w:pPr>
    </w:p>
    <w:p w14:paraId="17C392C7" w14:textId="212C918B" w:rsidR="00735775" w:rsidRPr="0074154F" w:rsidRDefault="001A321F" w:rsidP="001A321F">
      <w:pPr>
        <w:pStyle w:val="ListParagraph"/>
        <w:numPr>
          <w:ilvl w:val="1"/>
          <w:numId w:val="1"/>
        </w:numPr>
        <w:tabs>
          <w:tab w:val="left" w:pos="1134"/>
        </w:tabs>
        <w:spacing w:after="0" w:line="240" w:lineRule="auto"/>
        <w:ind w:left="1134" w:hanging="567"/>
        <w:jc w:val="both"/>
        <w:rPr>
          <w:rFonts w:ascii="Arial" w:hAnsi="Arial" w:cs="Arial"/>
          <w:b/>
          <w:sz w:val="20"/>
          <w:szCs w:val="20"/>
        </w:rPr>
      </w:pPr>
      <w:r w:rsidRPr="0074154F">
        <w:rPr>
          <w:rFonts w:ascii="Arial" w:hAnsi="Arial" w:cs="Arial"/>
          <w:b/>
          <w:sz w:val="20"/>
          <w:szCs w:val="20"/>
          <w:u w:val="single"/>
        </w:rPr>
        <w:t>Gestión de riesgos financieros</w:t>
      </w:r>
      <w:r w:rsidRPr="0074154F">
        <w:rPr>
          <w:rFonts w:ascii="Arial" w:hAnsi="Arial" w:cs="Arial"/>
          <w:sz w:val="20"/>
          <w:szCs w:val="20"/>
        </w:rPr>
        <w:t xml:space="preserve"> </w:t>
      </w:r>
    </w:p>
    <w:p w14:paraId="44C05292" w14:textId="77777777" w:rsidR="00735775" w:rsidRPr="0074154F" w:rsidRDefault="00735775" w:rsidP="00735775">
      <w:pPr>
        <w:pStyle w:val="ListParagraph"/>
        <w:tabs>
          <w:tab w:val="left" w:pos="1134"/>
        </w:tabs>
        <w:spacing w:after="0" w:line="240" w:lineRule="auto"/>
        <w:ind w:left="1134"/>
        <w:jc w:val="both"/>
        <w:rPr>
          <w:rFonts w:ascii="Arial" w:hAnsi="Arial" w:cs="Arial"/>
          <w:b/>
          <w:sz w:val="20"/>
          <w:szCs w:val="20"/>
          <w:u w:val="single"/>
        </w:rPr>
      </w:pPr>
    </w:p>
    <w:p w14:paraId="19CECC0C" w14:textId="44E29D7B" w:rsidR="001A321F" w:rsidRPr="0074154F" w:rsidRDefault="001A321F" w:rsidP="00735775">
      <w:pPr>
        <w:pStyle w:val="ListParagraph"/>
        <w:tabs>
          <w:tab w:val="left" w:pos="1134"/>
        </w:tabs>
        <w:spacing w:after="0" w:line="240" w:lineRule="auto"/>
        <w:ind w:left="1134"/>
        <w:jc w:val="both"/>
        <w:rPr>
          <w:rFonts w:ascii="Arial" w:hAnsi="Arial" w:cs="Arial"/>
          <w:b/>
          <w:sz w:val="20"/>
          <w:szCs w:val="20"/>
        </w:rPr>
      </w:pPr>
      <w:r w:rsidRPr="0074154F">
        <w:rPr>
          <w:rFonts w:ascii="Arial" w:hAnsi="Arial" w:cs="Arial"/>
          <w:sz w:val="20"/>
          <w:szCs w:val="20"/>
        </w:rPr>
        <w:t>En el curso normal de sus negocios y actividades de financiamiento, la Compañía está expuesta a distintos riesgos de naturaleza financiera que pueden afectar de manera más o menos significativa al valor económico de sus flujos y activos y, en consecuencia, sus resultados.</w:t>
      </w:r>
    </w:p>
    <w:p w14:paraId="479A6B9A" w14:textId="77777777" w:rsidR="00EA0B3C" w:rsidRPr="0074154F" w:rsidRDefault="00EA0B3C" w:rsidP="0006062A">
      <w:pPr>
        <w:spacing w:after="0" w:line="240" w:lineRule="auto"/>
        <w:jc w:val="both"/>
        <w:rPr>
          <w:rFonts w:ascii="Arial" w:hAnsi="Arial" w:cs="Arial"/>
          <w:sz w:val="20"/>
          <w:szCs w:val="20"/>
        </w:rPr>
      </w:pPr>
    </w:p>
    <w:p w14:paraId="3E6CC290" w14:textId="77777777"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La Compañía dispone de una organización y de sistemas de información, que permiten identificar los referidos riesgos, determinar su magnitud, proponer a la Administración medidas de mitigación, ejecutar estas medidas y controlar su efectividad.</w:t>
      </w:r>
    </w:p>
    <w:p w14:paraId="00D2DC2C" w14:textId="77777777" w:rsidR="00C77707" w:rsidRPr="0074154F" w:rsidRDefault="00C77707" w:rsidP="001A321F">
      <w:pPr>
        <w:pStyle w:val="ListParagraph"/>
        <w:spacing w:after="0" w:line="240" w:lineRule="auto"/>
        <w:ind w:left="1134"/>
        <w:jc w:val="both"/>
        <w:rPr>
          <w:rFonts w:ascii="Arial" w:hAnsi="Arial" w:cs="Arial"/>
          <w:sz w:val="20"/>
          <w:szCs w:val="20"/>
        </w:rPr>
      </w:pPr>
    </w:p>
    <w:p w14:paraId="20EB61CE" w14:textId="0ECA4557"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A continuación, se presenta una definición de los riesgos que enfrenta la Compañía, una caracterización y una descripción de las medidas de mitigación actualmente en uso por parte de la Compañía, si es el caso.</w:t>
      </w:r>
    </w:p>
    <w:p w14:paraId="20584DFA" w14:textId="77777777" w:rsidR="006F78C6" w:rsidRPr="0074154F" w:rsidRDefault="006F78C6" w:rsidP="001A321F">
      <w:pPr>
        <w:pStyle w:val="ListParagraph"/>
        <w:spacing w:after="0" w:line="240" w:lineRule="auto"/>
        <w:ind w:left="1843"/>
        <w:jc w:val="both"/>
        <w:rPr>
          <w:rFonts w:ascii="Arial" w:hAnsi="Arial" w:cs="Arial"/>
          <w:b/>
          <w:sz w:val="18"/>
          <w:szCs w:val="18"/>
        </w:rPr>
      </w:pPr>
    </w:p>
    <w:p w14:paraId="73E1D53E" w14:textId="153DE60F" w:rsidR="001A321F" w:rsidRPr="0074154F" w:rsidRDefault="001A321F" w:rsidP="001A321F">
      <w:pPr>
        <w:pStyle w:val="ListParagraph"/>
        <w:spacing w:after="0" w:line="240" w:lineRule="auto"/>
        <w:ind w:left="1134"/>
        <w:jc w:val="both"/>
        <w:rPr>
          <w:rFonts w:ascii="Arial" w:hAnsi="Arial" w:cs="Arial"/>
          <w:b/>
          <w:sz w:val="20"/>
          <w:szCs w:val="20"/>
        </w:rPr>
      </w:pPr>
      <w:r w:rsidRPr="0074154F">
        <w:rPr>
          <w:rFonts w:ascii="Arial" w:hAnsi="Arial" w:cs="Arial"/>
          <w:b/>
          <w:i/>
          <w:iCs/>
          <w:sz w:val="20"/>
          <w:szCs w:val="20"/>
          <w:u w:val="single"/>
        </w:rPr>
        <w:t xml:space="preserve">Riesgo de </w:t>
      </w:r>
      <w:proofErr w:type="gramStart"/>
      <w:r w:rsidRPr="0074154F">
        <w:rPr>
          <w:rFonts w:ascii="Arial" w:hAnsi="Arial" w:cs="Arial"/>
          <w:b/>
          <w:i/>
          <w:iCs/>
          <w:sz w:val="20"/>
          <w:szCs w:val="20"/>
          <w:u w:val="single"/>
        </w:rPr>
        <w:t>crédito</w:t>
      </w:r>
      <w:r w:rsidRPr="0074154F">
        <w:rPr>
          <w:rFonts w:ascii="Arial" w:hAnsi="Arial" w:cs="Arial"/>
          <w:b/>
          <w:i/>
          <w:iCs/>
          <w:sz w:val="20"/>
          <w:szCs w:val="20"/>
        </w:rPr>
        <w:t>.-</w:t>
      </w:r>
      <w:proofErr w:type="gramEnd"/>
      <w:r w:rsidRPr="0074154F">
        <w:rPr>
          <w:rFonts w:ascii="Arial" w:hAnsi="Arial" w:cs="Arial"/>
          <w:i/>
          <w:iCs/>
          <w:sz w:val="20"/>
          <w:szCs w:val="20"/>
        </w:rPr>
        <w:t xml:space="preserve"> </w:t>
      </w:r>
      <w:r w:rsidRPr="0074154F">
        <w:rPr>
          <w:rFonts w:ascii="Arial" w:hAnsi="Arial" w:cs="Arial"/>
          <w:sz w:val="20"/>
          <w:szCs w:val="20"/>
        </w:rPr>
        <w:t>Se refiere al riesgo que una de las partes incumpla con sus obligaciones contractuales resultando en una pérdida financiera para la Compañía. La Compañía ha adoptado una política involucrarse con partes solventes y realiza transacciones con sociedades y terceros que cuentan con la misma o mejor calificación de riesgo.</w:t>
      </w:r>
      <w:r w:rsidRPr="0074154F">
        <w:rPr>
          <w:rFonts w:ascii="Arial" w:hAnsi="Arial" w:cs="Arial"/>
          <w:b/>
          <w:sz w:val="20"/>
          <w:szCs w:val="20"/>
        </w:rPr>
        <w:t xml:space="preserve">  </w:t>
      </w:r>
    </w:p>
    <w:p w14:paraId="39BEAD14" w14:textId="77777777" w:rsidR="001A321F" w:rsidRPr="0074154F" w:rsidRDefault="001A321F" w:rsidP="001A321F">
      <w:pPr>
        <w:pStyle w:val="ListParagraph"/>
        <w:spacing w:after="0" w:line="240" w:lineRule="auto"/>
        <w:ind w:left="1843"/>
        <w:jc w:val="both"/>
        <w:rPr>
          <w:rFonts w:ascii="Arial" w:hAnsi="Arial" w:cs="Arial"/>
          <w:sz w:val="20"/>
          <w:szCs w:val="20"/>
        </w:rPr>
      </w:pPr>
    </w:p>
    <w:p w14:paraId="63029987" w14:textId="77777777" w:rsidR="001A321F" w:rsidRPr="0074154F" w:rsidRDefault="001A321F" w:rsidP="001A321F">
      <w:pPr>
        <w:pStyle w:val="ListParagraph"/>
        <w:spacing w:after="0" w:line="240" w:lineRule="auto"/>
        <w:ind w:left="1134"/>
        <w:jc w:val="both"/>
        <w:rPr>
          <w:rFonts w:ascii="Arial" w:hAnsi="Arial" w:cs="Arial"/>
          <w:b/>
          <w:sz w:val="20"/>
          <w:szCs w:val="20"/>
        </w:rPr>
      </w:pPr>
      <w:r w:rsidRPr="0074154F">
        <w:rPr>
          <w:rFonts w:ascii="Arial" w:hAnsi="Arial" w:cs="Arial"/>
          <w:sz w:val="20"/>
          <w:szCs w:val="20"/>
        </w:rPr>
        <w:t xml:space="preserve">La Compañía no tiene exposiciones de riesgo de crédito significativas con ninguna de las partes o ninguna Compañía de contrapartes con características similares.  </w:t>
      </w:r>
    </w:p>
    <w:p w14:paraId="75C8B1E5" w14:textId="77777777" w:rsidR="001A321F" w:rsidRPr="0074154F" w:rsidRDefault="001A321F" w:rsidP="001A321F">
      <w:pPr>
        <w:pStyle w:val="ListParagraph"/>
        <w:spacing w:after="0" w:line="240" w:lineRule="auto"/>
        <w:ind w:left="1843"/>
        <w:jc w:val="both"/>
        <w:rPr>
          <w:rFonts w:ascii="Arial" w:hAnsi="Arial" w:cs="Arial"/>
          <w:sz w:val="20"/>
          <w:szCs w:val="20"/>
        </w:rPr>
      </w:pPr>
    </w:p>
    <w:p w14:paraId="2F5DA6F0" w14:textId="77777777"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 xml:space="preserve">La exposición de crédito es controlada por la Administración en conjunto con el Comité de Administración de Riesgos y Directorio, quienes se encargan de revisar de manera constante la recuperación de la cartera y el comportamiento según los niveles de morosidad, lo cual es revisado y aprobado por la Gerencia General. </w:t>
      </w:r>
    </w:p>
    <w:p w14:paraId="36DA0BB2" w14:textId="795FAF63" w:rsidR="001A321F" w:rsidRDefault="001A321F" w:rsidP="001A321F">
      <w:pPr>
        <w:pStyle w:val="ListParagraph"/>
        <w:spacing w:after="0" w:line="240" w:lineRule="auto"/>
        <w:ind w:left="1134"/>
        <w:jc w:val="both"/>
        <w:rPr>
          <w:rFonts w:ascii="Arial" w:hAnsi="Arial" w:cs="Arial"/>
          <w:b/>
          <w:sz w:val="20"/>
          <w:szCs w:val="20"/>
          <w:u w:val="single"/>
        </w:rPr>
      </w:pPr>
    </w:p>
    <w:p w14:paraId="66D85AB4" w14:textId="151CA168" w:rsidR="001D0E04" w:rsidRDefault="001D0E04" w:rsidP="001A321F">
      <w:pPr>
        <w:pStyle w:val="ListParagraph"/>
        <w:spacing w:after="0" w:line="240" w:lineRule="auto"/>
        <w:ind w:left="1134"/>
        <w:jc w:val="both"/>
        <w:rPr>
          <w:rFonts w:ascii="Arial" w:hAnsi="Arial" w:cs="Arial"/>
          <w:b/>
          <w:sz w:val="20"/>
          <w:szCs w:val="20"/>
          <w:u w:val="single"/>
        </w:rPr>
      </w:pPr>
    </w:p>
    <w:p w14:paraId="0668C97C" w14:textId="7D063E16" w:rsidR="001D0E04" w:rsidRDefault="001D0E04" w:rsidP="001A321F">
      <w:pPr>
        <w:pStyle w:val="ListParagraph"/>
        <w:spacing w:after="0" w:line="240" w:lineRule="auto"/>
        <w:ind w:left="1134"/>
        <w:jc w:val="both"/>
        <w:rPr>
          <w:rFonts w:ascii="Arial" w:hAnsi="Arial" w:cs="Arial"/>
          <w:b/>
          <w:sz w:val="20"/>
          <w:szCs w:val="20"/>
          <w:u w:val="single"/>
        </w:rPr>
      </w:pPr>
    </w:p>
    <w:p w14:paraId="7388B9FD" w14:textId="6C90953B" w:rsidR="001D0E04" w:rsidRPr="001D0E04" w:rsidRDefault="001D0E04" w:rsidP="001D0E04">
      <w:pPr>
        <w:pStyle w:val="ListParagraph"/>
        <w:spacing w:after="0" w:line="240" w:lineRule="auto"/>
        <w:ind w:left="1134"/>
        <w:jc w:val="center"/>
        <w:rPr>
          <w:rFonts w:ascii="Arial" w:hAnsi="Arial" w:cs="Arial"/>
          <w:b/>
          <w:sz w:val="20"/>
          <w:szCs w:val="20"/>
        </w:rPr>
      </w:pPr>
      <w:r w:rsidRPr="001D0E04">
        <w:rPr>
          <w:rFonts w:ascii="Arial" w:hAnsi="Arial" w:cs="Arial"/>
          <w:b/>
          <w:sz w:val="20"/>
          <w:szCs w:val="20"/>
        </w:rPr>
        <w:t>ESPACIO EN BLANCO</w:t>
      </w:r>
    </w:p>
    <w:p w14:paraId="16415C95" w14:textId="424D927B"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b/>
          <w:i/>
          <w:iCs/>
          <w:sz w:val="20"/>
          <w:szCs w:val="20"/>
          <w:u w:val="single"/>
        </w:rPr>
        <w:lastRenderedPageBreak/>
        <w:t xml:space="preserve">Riesgo de </w:t>
      </w:r>
      <w:proofErr w:type="gramStart"/>
      <w:r w:rsidRPr="0074154F">
        <w:rPr>
          <w:rFonts w:ascii="Arial" w:hAnsi="Arial" w:cs="Arial"/>
          <w:b/>
          <w:i/>
          <w:iCs/>
          <w:sz w:val="20"/>
          <w:szCs w:val="20"/>
          <w:u w:val="single"/>
        </w:rPr>
        <w:t>liquidez</w:t>
      </w:r>
      <w:r w:rsidRPr="0074154F">
        <w:rPr>
          <w:rFonts w:ascii="Arial" w:hAnsi="Arial" w:cs="Arial"/>
          <w:b/>
          <w:i/>
          <w:iCs/>
          <w:sz w:val="20"/>
          <w:szCs w:val="20"/>
        </w:rPr>
        <w:t>.-</w:t>
      </w:r>
      <w:proofErr w:type="gramEnd"/>
      <w:r w:rsidRPr="0074154F">
        <w:rPr>
          <w:rFonts w:ascii="Arial" w:hAnsi="Arial" w:cs="Arial"/>
          <w:sz w:val="20"/>
          <w:szCs w:val="20"/>
        </w:rPr>
        <w:t xml:space="preserve"> La Administración de la Compañía tiene la responsabilidad final por la gestión de liquidez. La Administración ha establecido un marco de trabajo apropiado para la gestión de liquidez de manera que se pueda manejar los requerimientos de financiamiento a corto, mediano y largo plazo. La Compañía maneja el riesgo de liquidez manteniendo reservas y facilidades financieras, monitoreando continuamente los flujos efectivos proyectados y reales y conciliando los perfiles de vencimiento de los activos y pasivos financieros. </w:t>
      </w:r>
    </w:p>
    <w:p w14:paraId="34F9609C" w14:textId="77777777" w:rsidR="0006062A" w:rsidRPr="0074154F" w:rsidRDefault="0006062A" w:rsidP="001A321F">
      <w:pPr>
        <w:pStyle w:val="ListParagraph"/>
        <w:spacing w:after="0" w:line="240" w:lineRule="auto"/>
        <w:ind w:left="1134"/>
        <w:jc w:val="both"/>
        <w:rPr>
          <w:rFonts w:ascii="Arial" w:hAnsi="Arial" w:cs="Arial"/>
          <w:sz w:val="20"/>
          <w:szCs w:val="20"/>
        </w:rPr>
      </w:pPr>
    </w:p>
    <w:p w14:paraId="092A6737" w14:textId="641CADD6"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La Administración de la Compañía revisa mensualmente el margen operativo, verificando el crecimiento de los márgenes brutos que generan las operaciones de la Compañía, teniendo flujo de caja operativo suficiente como capital de trabajo y cubrir con las obligaciones con instituciones financieras.</w:t>
      </w:r>
    </w:p>
    <w:p w14:paraId="005665A0" w14:textId="3EA27380" w:rsidR="001C4677" w:rsidRDefault="001C4677" w:rsidP="001A321F">
      <w:pPr>
        <w:pStyle w:val="ListParagraph"/>
        <w:spacing w:after="0" w:line="240" w:lineRule="auto"/>
        <w:ind w:left="1134"/>
        <w:jc w:val="both"/>
        <w:rPr>
          <w:rFonts w:ascii="Arial" w:hAnsi="Arial" w:cs="Arial"/>
          <w:sz w:val="18"/>
          <w:szCs w:val="18"/>
        </w:rPr>
      </w:pPr>
    </w:p>
    <w:p w14:paraId="680F1814" w14:textId="7413F4DF"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b/>
          <w:i/>
          <w:iCs/>
          <w:sz w:val="20"/>
          <w:szCs w:val="20"/>
          <w:u w:val="single"/>
        </w:rPr>
        <w:t xml:space="preserve">Riesgo de </w:t>
      </w:r>
      <w:proofErr w:type="gramStart"/>
      <w:r w:rsidRPr="0074154F">
        <w:rPr>
          <w:rFonts w:ascii="Arial" w:hAnsi="Arial" w:cs="Arial"/>
          <w:b/>
          <w:i/>
          <w:iCs/>
          <w:sz w:val="20"/>
          <w:szCs w:val="20"/>
          <w:u w:val="single"/>
        </w:rPr>
        <w:t>mercado.</w:t>
      </w:r>
      <w:r w:rsidRPr="0074154F">
        <w:rPr>
          <w:rFonts w:ascii="Arial" w:hAnsi="Arial" w:cs="Arial"/>
          <w:b/>
          <w:sz w:val="20"/>
          <w:szCs w:val="20"/>
          <w:u w:val="single"/>
        </w:rPr>
        <w:t>-</w:t>
      </w:r>
      <w:proofErr w:type="gramEnd"/>
      <w:r w:rsidRPr="0074154F">
        <w:rPr>
          <w:rFonts w:ascii="Arial" w:hAnsi="Arial" w:cs="Arial"/>
          <w:sz w:val="20"/>
          <w:szCs w:val="20"/>
        </w:rPr>
        <w:t xml:space="preserve"> Las actividades de la Compañía la exponen principalmente a riesgos financieros de cambios en las tasas de cambio, tasas de interés o precios de los instrumentos financieros que pudieran afectar los ingresos de la Compañía o el valor de los activos financieros que tiene. </w:t>
      </w:r>
    </w:p>
    <w:p w14:paraId="261B9BD2" w14:textId="77777777" w:rsidR="001A321F" w:rsidRPr="0074154F" w:rsidRDefault="001A321F" w:rsidP="001A321F">
      <w:pPr>
        <w:pStyle w:val="ListParagraph"/>
        <w:spacing w:after="0" w:line="240" w:lineRule="auto"/>
        <w:ind w:left="1134"/>
        <w:jc w:val="both"/>
        <w:rPr>
          <w:rFonts w:ascii="Arial" w:hAnsi="Arial" w:cs="Arial"/>
          <w:sz w:val="20"/>
          <w:szCs w:val="20"/>
        </w:rPr>
      </w:pPr>
    </w:p>
    <w:p w14:paraId="7ADF836F" w14:textId="77777777" w:rsidR="00273B65"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 xml:space="preserve">El objetivo de la administración de este riesgo de mercado es de administrar y controlar las exposiciones a este riesgo dentro de parámetros razonables y al mismo tiempo optimizar la rentabilidad. </w:t>
      </w:r>
    </w:p>
    <w:p w14:paraId="15D519D4" w14:textId="77777777" w:rsidR="00273B65" w:rsidRPr="0074154F" w:rsidRDefault="00273B65" w:rsidP="001A321F">
      <w:pPr>
        <w:pStyle w:val="ListParagraph"/>
        <w:spacing w:after="0" w:line="240" w:lineRule="auto"/>
        <w:ind w:left="1134"/>
        <w:jc w:val="both"/>
        <w:rPr>
          <w:rFonts w:ascii="Arial" w:hAnsi="Arial" w:cs="Arial"/>
          <w:sz w:val="20"/>
          <w:szCs w:val="20"/>
        </w:rPr>
      </w:pPr>
    </w:p>
    <w:p w14:paraId="0C3597FE" w14:textId="2B4C9E47"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sz w:val="20"/>
          <w:szCs w:val="20"/>
        </w:rPr>
        <w:t>Las exposiciones del riesgo del mercado se miden usando el valor en riesgo complementado con un análisis de sensibilidad. Durante el año 2020, no ha habido cambios en la exposición de la Compañía a los riesgos del mercado o la forma en la cual estos riesgos son manejados y medidos.</w:t>
      </w:r>
    </w:p>
    <w:p w14:paraId="606899E8" w14:textId="77777777" w:rsidR="008A043B" w:rsidRPr="0074154F" w:rsidRDefault="008A043B" w:rsidP="001A321F">
      <w:pPr>
        <w:pStyle w:val="ListParagraph"/>
        <w:spacing w:after="0" w:line="240" w:lineRule="auto"/>
        <w:ind w:left="1134"/>
        <w:jc w:val="both"/>
        <w:rPr>
          <w:rFonts w:ascii="Arial" w:hAnsi="Arial" w:cs="Arial"/>
          <w:b/>
          <w:i/>
          <w:iCs/>
          <w:sz w:val="20"/>
          <w:szCs w:val="20"/>
        </w:rPr>
      </w:pPr>
    </w:p>
    <w:p w14:paraId="52F5F61F" w14:textId="7FFE6DD0" w:rsidR="001A321F" w:rsidRPr="0074154F" w:rsidRDefault="001A321F" w:rsidP="001A321F">
      <w:pPr>
        <w:pStyle w:val="ListParagraph"/>
        <w:spacing w:after="0" w:line="240" w:lineRule="auto"/>
        <w:ind w:left="1134"/>
        <w:jc w:val="both"/>
        <w:rPr>
          <w:rFonts w:ascii="Arial" w:hAnsi="Arial" w:cs="Arial"/>
          <w:sz w:val="20"/>
          <w:szCs w:val="20"/>
        </w:rPr>
      </w:pPr>
      <w:r w:rsidRPr="0074154F">
        <w:rPr>
          <w:rFonts w:ascii="Arial" w:hAnsi="Arial" w:cs="Arial"/>
          <w:b/>
          <w:i/>
          <w:iCs/>
          <w:sz w:val="20"/>
          <w:szCs w:val="20"/>
          <w:u w:val="single"/>
        </w:rPr>
        <w:t xml:space="preserve">Riesgo de </w:t>
      </w:r>
      <w:proofErr w:type="gramStart"/>
      <w:r w:rsidRPr="0074154F">
        <w:rPr>
          <w:rFonts w:ascii="Arial" w:hAnsi="Arial" w:cs="Arial"/>
          <w:b/>
          <w:i/>
          <w:iCs/>
          <w:sz w:val="20"/>
          <w:szCs w:val="20"/>
          <w:u w:val="single"/>
        </w:rPr>
        <w:t>capital</w:t>
      </w:r>
      <w:r w:rsidRPr="0074154F">
        <w:rPr>
          <w:rFonts w:ascii="Arial" w:hAnsi="Arial" w:cs="Arial"/>
          <w:b/>
          <w:i/>
          <w:iCs/>
          <w:sz w:val="20"/>
          <w:szCs w:val="20"/>
        </w:rPr>
        <w:t>.</w:t>
      </w:r>
      <w:r w:rsidRPr="0074154F">
        <w:rPr>
          <w:rFonts w:ascii="Arial" w:hAnsi="Arial" w:cs="Arial"/>
          <w:b/>
          <w:sz w:val="20"/>
          <w:szCs w:val="20"/>
        </w:rPr>
        <w:t>-</w:t>
      </w:r>
      <w:proofErr w:type="gramEnd"/>
      <w:r w:rsidRPr="0074154F">
        <w:rPr>
          <w:rFonts w:ascii="Arial" w:hAnsi="Arial" w:cs="Arial"/>
          <w:sz w:val="20"/>
          <w:szCs w:val="20"/>
        </w:rPr>
        <w:t xml:space="preserve"> La Compañía gestiona su capital para asegurarse que se encontrará en capacidad de continuar como empresa en marcha mientras que maximizan el rendimiento a sus accionistas a través de la optimización de los saldos de deuda y patrimonio. La Administración revisa la estructura de capital de la Compañía sobre una base anual. Como parte de esta revisión, la Gerencia considera el costo del capital y los riesgos asociados con cada clase de capital.</w:t>
      </w:r>
    </w:p>
    <w:p w14:paraId="40EFF095" w14:textId="548F1D2D" w:rsidR="001A321F" w:rsidRPr="0074154F" w:rsidRDefault="001A321F" w:rsidP="001A321F">
      <w:pPr>
        <w:pStyle w:val="ListParagraph"/>
        <w:spacing w:after="0" w:line="240" w:lineRule="auto"/>
        <w:ind w:left="1134"/>
        <w:jc w:val="both"/>
        <w:rPr>
          <w:rFonts w:ascii="Arial" w:hAnsi="Arial" w:cs="Arial"/>
          <w:b/>
          <w:sz w:val="20"/>
          <w:szCs w:val="20"/>
          <w:u w:val="single"/>
        </w:rPr>
      </w:pPr>
    </w:p>
    <w:p w14:paraId="4FED5E7E" w14:textId="67C1AE83" w:rsidR="001A321F" w:rsidRPr="0074154F" w:rsidRDefault="001A321F" w:rsidP="001A321F">
      <w:pPr>
        <w:pStyle w:val="ListParagraph"/>
        <w:numPr>
          <w:ilvl w:val="1"/>
          <w:numId w:val="1"/>
        </w:numPr>
        <w:spacing w:after="0" w:line="240" w:lineRule="auto"/>
        <w:ind w:left="1134" w:hanging="594"/>
        <w:jc w:val="both"/>
        <w:rPr>
          <w:rFonts w:ascii="Arial" w:hAnsi="Arial" w:cs="Arial"/>
          <w:b/>
          <w:sz w:val="20"/>
          <w:szCs w:val="20"/>
        </w:rPr>
      </w:pPr>
      <w:r w:rsidRPr="0074154F">
        <w:rPr>
          <w:rFonts w:ascii="Arial" w:hAnsi="Arial" w:cs="Arial"/>
          <w:b/>
          <w:sz w:val="20"/>
          <w:szCs w:val="20"/>
          <w:u w:val="single"/>
        </w:rPr>
        <w:t xml:space="preserve">Categorías de instrumentos </w:t>
      </w:r>
      <w:proofErr w:type="gramStart"/>
      <w:r w:rsidRPr="0074154F">
        <w:rPr>
          <w:rFonts w:ascii="Arial" w:hAnsi="Arial" w:cs="Arial"/>
          <w:b/>
          <w:sz w:val="20"/>
          <w:szCs w:val="20"/>
          <w:u w:val="single"/>
        </w:rPr>
        <w:t>financieros</w:t>
      </w:r>
      <w:r w:rsidRPr="0074154F">
        <w:rPr>
          <w:rFonts w:ascii="Arial" w:hAnsi="Arial" w:cs="Arial"/>
          <w:b/>
          <w:sz w:val="20"/>
          <w:szCs w:val="20"/>
        </w:rPr>
        <w:t>.-</w:t>
      </w:r>
      <w:proofErr w:type="gramEnd"/>
      <w:r w:rsidRPr="0074154F">
        <w:rPr>
          <w:rFonts w:ascii="Arial" w:hAnsi="Arial" w:cs="Arial"/>
          <w:sz w:val="20"/>
          <w:szCs w:val="20"/>
        </w:rPr>
        <w:t xml:space="preserve"> El detalle de los activos y pasivos financieros registrados al costo amortizado es como sigue:</w:t>
      </w:r>
    </w:p>
    <w:p w14:paraId="0C50CA89" w14:textId="3560CF7A" w:rsidR="00313091" w:rsidRPr="0074154F" w:rsidRDefault="00313091" w:rsidP="00313091">
      <w:pPr>
        <w:pStyle w:val="ListParagraph"/>
        <w:spacing w:after="0" w:line="240" w:lineRule="auto"/>
        <w:ind w:left="360"/>
        <w:jc w:val="both"/>
        <w:rPr>
          <w:rFonts w:ascii="Arial" w:hAnsi="Arial" w:cs="Arial"/>
          <w:b/>
          <w:sz w:val="20"/>
          <w:szCs w:val="20"/>
        </w:rPr>
      </w:pPr>
    </w:p>
    <w:tbl>
      <w:tblPr>
        <w:tblW w:w="7937" w:type="dxa"/>
        <w:jc w:val="right"/>
        <w:tblLayout w:type="fixed"/>
        <w:tblCellMar>
          <w:left w:w="70" w:type="dxa"/>
          <w:right w:w="70" w:type="dxa"/>
        </w:tblCellMar>
        <w:tblLook w:val="04A0" w:firstRow="1" w:lastRow="0" w:firstColumn="1" w:lastColumn="0" w:noHBand="0" w:noVBand="1"/>
      </w:tblPr>
      <w:tblGrid>
        <w:gridCol w:w="4706"/>
        <w:gridCol w:w="1502"/>
        <w:gridCol w:w="227"/>
        <w:gridCol w:w="1502"/>
      </w:tblGrid>
      <w:tr w:rsidR="001A321F" w:rsidRPr="0074154F" w14:paraId="25C40D8B" w14:textId="77777777" w:rsidTr="003B6E50">
        <w:trPr>
          <w:trHeight w:val="283"/>
          <w:jc w:val="right"/>
        </w:trPr>
        <w:tc>
          <w:tcPr>
            <w:tcW w:w="4706" w:type="dxa"/>
            <w:tcBorders>
              <w:top w:val="nil"/>
              <w:left w:val="nil"/>
              <w:bottom w:val="nil"/>
              <w:right w:val="nil"/>
            </w:tcBorders>
            <w:shd w:val="clear" w:color="auto" w:fill="auto"/>
            <w:noWrap/>
            <w:vAlign w:val="bottom"/>
            <w:hideMark/>
          </w:tcPr>
          <w:p w14:paraId="4D8851D4" w14:textId="77777777" w:rsidR="001A321F" w:rsidRPr="0074154F" w:rsidRDefault="001A321F" w:rsidP="003B6E50">
            <w:pPr>
              <w:spacing w:after="0" w:line="240" w:lineRule="auto"/>
              <w:ind w:left="-63"/>
              <w:rPr>
                <w:rFonts w:ascii="Arial" w:eastAsia="Times New Roman" w:hAnsi="Arial" w:cs="Arial"/>
                <w:sz w:val="20"/>
                <w:szCs w:val="20"/>
                <w:lang w:val="es-MX" w:eastAsia="es-MX"/>
              </w:rPr>
            </w:pPr>
            <w:r w:rsidRPr="0074154F">
              <w:rPr>
                <w:rFonts w:ascii="Arial" w:hAnsi="Arial" w:cs="Arial"/>
                <w:sz w:val="20"/>
                <w:szCs w:val="20"/>
              </w:rPr>
              <w:br w:type="page"/>
            </w:r>
          </w:p>
        </w:tc>
        <w:tc>
          <w:tcPr>
            <w:tcW w:w="1502" w:type="dxa"/>
            <w:tcBorders>
              <w:top w:val="nil"/>
              <w:left w:val="nil"/>
              <w:bottom w:val="single" w:sz="8" w:space="0" w:color="auto"/>
              <w:right w:val="nil"/>
            </w:tcBorders>
            <w:shd w:val="clear" w:color="auto" w:fill="auto"/>
            <w:noWrap/>
            <w:vAlign w:val="bottom"/>
            <w:hideMark/>
          </w:tcPr>
          <w:p w14:paraId="01B802DE" w14:textId="77777777" w:rsidR="001A321F" w:rsidRPr="0074154F" w:rsidRDefault="001A321F" w:rsidP="000C6452">
            <w:pPr>
              <w:spacing w:after="0" w:line="240" w:lineRule="auto"/>
              <w:ind w:right="70"/>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EC"/>
              </w:rPr>
              <w:t>31/12/2020</w:t>
            </w:r>
          </w:p>
        </w:tc>
        <w:tc>
          <w:tcPr>
            <w:tcW w:w="227" w:type="dxa"/>
            <w:tcBorders>
              <w:top w:val="nil"/>
              <w:left w:val="nil"/>
              <w:right w:val="nil"/>
            </w:tcBorders>
            <w:vAlign w:val="bottom"/>
          </w:tcPr>
          <w:p w14:paraId="0B52B1C1" w14:textId="77777777" w:rsidR="001A321F" w:rsidRPr="0074154F" w:rsidRDefault="001A321F" w:rsidP="003B6E50">
            <w:pPr>
              <w:spacing w:after="0" w:line="240" w:lineRule="auto"/>
              <w:ind w:right="70"/>
              <w:jc w:val="right"/>
              <w:rPr>
                <w:rFonts w:ascii="Arial" w:eastAsia="Times New Roman" w:hAnsi="Arial" w:cs="Arial"/>
                <w:b/>
                <w:bCs/>
                <w:color w:val="000000"/>
                <w:sz w:val="20"/>
                <w:szCs w:val="20"/>
                <w:lang w:val="es-MX" w:eastAsia="es-MX"/>
              </w:rPr>
            </w:pPr>
          </w:p>
        </w:tc>
        <w:tc>
          <w:tcPr>
            <w:tcW w:w="1502" w:type="dxa"/>
            <w:tcBorders>
              <w:top w:val="nil"/>
              <w:left w:val="nil"/>
              <w:bottom w:val="single" w:sz="8" w:space="0" w:color="auto"/>
              <w:right w:val="nil"/>
            </w:tcBorders>
            <w:shd w:val="clear" w:color="auto" w:fill="auto"/>
            <w:noWrap/>
            <w:vAlign w:val="bottom"/>
            <w:hideMark/>
          </w:tcPr>
          <w:p w14:paraId="7E79E7F1" w14:textId="77777777" w:rsidR="001A321F" w:rsidRPr="0074154F" w:rsidRDefault="001A321F" w:rsidP="003B6E50">
            <w:pPr>
              <w:spacing w:after="0" w:line="240" w:lineRule="auto"/>
              <w:ind w:right="70"/>
              <w:jc w:val="right"/>
              <w:rPr>
                <w:rFonts w:ascii="Arial" w:eastAsia="Times New Roman" w:hAnsi="Arial" w:cs="Arial"/>
                <w:b/>
                <w:bCs/>
                <w:color w:val="000000"/>
                <w:sz w:val="20"/>
                <w:szCs w:val="20"/>
                <w:lang w:val="es-MX" w:eastAsia="es-MX"/>
              </w:rPr>
            </w:pPr>
            <w:r w:rsidRPr="0074154F">
              <w:rPr>
                <w:rFonts w:ascii="Arial" w:eastAsia="Times New Roman" w:hAnsi="Arial" w:cs="Arial"/>
                <w:b/>
                <w:bCs/>
                <w:color w:val="000000"/>
                <w:sz w:val="20"/>
                <w:szCs w:val="20"/>
                <w:lang w:eastAsia="es-EC"/>
              </w:rPr>
              <w:t>31/12/2019</w:t>
            </w:r>
          </w:p>
        </w:tc>
      </w:tr>
      <w:tr w:rsidR="001A321F" w:rsidRPr="0074154F" w14:paraId="6FA917B7" w14:textId="77777777" w:rsidTr="003B6E50">
        <w:trPr>
          <w:trHeight w:val="283"/>
          <w:jc w:val="right"/>
        </w:trPr>
        <w:tc>
          <w:tcPr>
            <w:tcW w:w="4706" w:type="dxa"/>
            <w:tcBorders>
              <w:top w:val="nil"/>
              <w:left w:val="nil"/>
              <w:bottom w:val="nil"/>
              <w:right w:val="nil"/>
            </w:tcBorders>
            <w:shd w:val="clear" w:color="auto" w:fill="auto"/>
            <w:noWrap/>
            <w:vAlign w:val="bottom"/>
          </w:tcPr>
          <w:p w14:paraId="6D484192" w14:textId="77777777" w:rsidR="001A321F" w:rsidRPr="0074154F" w:rsidRDefault="001A321F" w:rsidP="003B6E50">
            <w:pPr>
              <w:spacing w:after="0" w:line="240" w:lineRule="auto"/>
              <w:ind w:left="-63"/>
              <w:rPr>
                <w:rFonts w:ascii="Arial" w:eastAsia="Times New Roman" w:hAnsi="Arial" w:cs="Arial"/>
                <w:color w:val="000000"/>
                <w:sz w:val="20"/>
                <w:szCs w:val="20"/>
                <w:u w:val="single"/>
                <w:lang w:val="es-MX" w:eastAsia="es-MX"/>
              </w:rPr>
            </w:pPr>
          </w:p>
        </w:tc>
        <w:tc>
          <w:tcPr>
            <w:tcW w:w="1502" w:type="dxa"/>
            <w:tcBorders>
              <w:top w:val="single" w:sz="8" w:space="0" w:color="auto"/>
              <w:left w:val="nil"/>
              <w:right w:val="nil"/>
            </w:tcBorders>
            <w:shd w:val="clear" w:color="auto" w:fill="auto"/>
            <w:noWrap/>
            <w:vAlign w:val="bottom"/>
          </w:tcPr>
          <w:p w14:paraId="08086119" w14:textId="77777777" w:rsidR="001A321F" w:rsidRPr="0074154F" w:rsidRDefault="001A321F" w:rsidP="003B6E50">
            <w:pPr>
              <w:spacing w:after="0" w:line="240" w:lineRule="auto"/>
              <w:rPr>
                <w:rFonts w:ascii="Arial" w:eastAsia="Times New Roman" w:hAnsi="Arial" w:cs="Arial"/>
                <w:color w:val="000000"/>
                <w:sz w:val="20"/>
                <w:szCs w:val="20"/>
                <w:lang w:val="es-MX" w:eastAsia="es-MX"/>
              </w:rPr>
            </w:pPr>
          </w:p>
        </w:tc>
        <w:tc>
          <w:tcPr>
            <w:tcW w:w="227" w:type="dxa"/>
            <w:tcBorders>
              <w:left w:val="nil"/>
              <w:right w:val="nil"/>
            </w:tcBorders>
            <w:vAlign w:val="bottom"/>
          </w:tcPr>
          <w:p w14:paraId="4481B4A7" w14:textId="77777777" w:rsidR="001A321F" w:rsidRPr="0074154F" w:rsidRDefault="001A321F" w:rsidP="003B6E50">
            <w:pPr>
              <w:spacing w:after="0" w:line="240" w:lineRule="auto"/>
              <w:rPr>
                <w:rFonts w:ascii="Arial" w:eastAsia="Times New Roman" w:hAnsi="Arial" w:cs="Arial"/>
                <w:color w:val="000000"/>
                <w:sz w:val="20"/>
                <w:szCs w:val="20"/>
                <w:lang w:val="es-MX" w:eastAsia="es-MX"/>
              </w:rPr>
            </w:pPr>
          </w:p>
        </w:tc>
        <w:tc>
          <w:tcPr>
            <w:tcW w:w="1502" w:type="dxa"/>
            <w:tcBorders>
              <w:top w:val="single" w:sz="8" w:space="0" w:color="auto"/>
              <w:left w:val="nil"/>
              <w:right w:val="nil"/>
            </w:tcBorders>
            <w:shd w:val="clear" w:color="auto" w:fill="auto"/>
            <w:noWrap/>
            <w:vAlign w:val="bottom"/>
          </w:tcPr>
          <w:p w14:paraId="3EFC49D4" w14:textId="77777777" w:rsidR="001A321F" w:rsidRPr="0074154F" w:rsidRDefault="001A321F" w:rsidP="003B6E50">
            <w:pPr>
              <w:spacing w:after="0" w:line="240" w:lineRule="auto"/>
              <w:rPr>
                <w:rFonts w:ascii="Arial" w:eastAsia="Times New Roman" w:hAnsi="Arial" w:cs="Arial"/>
                <w:color w:val="000000"/>
                <w:sz w:val="20"/>
                <w:szCs w:val="20"/>
                <w:lang w:val="es-MX" w:eastAsia="es-MX"/>
              </w:rPr>
            </w:pPr>
          </w:p>
        </w:tc>
      </w:tr>
      <w:tr w:rsidR="001A321F" w:rsidRPr="0074154F" w14:paraId="1C6AA3E9" w14:textId="77777777" w:rsidTr="003B6E50">
        <w:trPr>
          <w:trHeight w:val="283"/>
          <w:jc w:val="right"/>
        </w:trPr>
        <w:tc>
          <w:tcPr>
            <w:tcW w:w="4706" w:type="dxa"/>
            <w:tcBorders>
              <w:top w:val="nil"/>
              <w:left w:val="nil"/>
              <w:bottom w:val="nil"/>
              <w:right w:val="nil"/>
            </w:tcBorders>
            <w:shd w:val="clear" w:color="auto" w:fill="auto"/>
            <w:noWrap/>
            <w:vAlign w:val="bottom"/>
          </w:tcPr>
          <w:p w14:paraId="44FFAF2E" w14:textId="77777777" w:rsidR="001A321F" w:rsidRPr="0074154F" w:rsidRDefault="001A321F" w:rsidP="003B6E50">
            <w:pPr>
              <w:spacing w:after="0" w:line="240" w:lineRule="auto"/>
              <w:ind w:left="-63"/>
              <w:rPr>
                <w:rFonts w:ascii="Arial" w:eastAsia="Times New Roman" w:hAnsi="Arial" w:cs="Arial"/>
                <w:i/>
                <w:iCs/>
                <w:color w:val="000000" w:themeColor="text1"/>
                <w:sz w:val="20"/>
                <w:szCs w:val="20"/>
                <w:lang w:val="es-MX" w:eastAsia="es-MX"/>
              </w:rPr>
            </w:pPr>
            <w:r w:rsidRPr="0074154F">
              <w:rPr>
                <w:rFonts w:ascii="Arial" w:eastAsia="Times New Roman" w:hAnsi="Arial" w:cs="Arial"/>
                <w:i/>
                <w:iCs/>
                <w:color w:val="000000" w:themeColor="text1"/>
                <w:sz w:val="20"/>
                <w:szCs w:val="20"/>
                <w:u w:val="single"/>
                <w:lang w:val="es-MX" w:eastAsia="es-MX"/>
              </w:rPr>
              <w:t>Activos financieros</w:t>
            </w:r>
            <w:r w:rsidRPr="0074154F">
              <w:rPr>
                <w:rFonts w:ascii="Arial" w:eastAsia="Times New Roman" w:hAnsi="Arial" w:cs="Arial"/>
                <w:i/>
                <w:iCs/>
                <w:color w:val="000000" w:themeColor="text1"/>
                <w:sz w:val="20"/>
                <w:szCs w:val="20"/>
                <w:lang w:val="es-MX" w:eastAsia="es-MX"/>
              </w:rPr>
              <w:t>:</w:t>
            </w:r>
          </w:p>
        </w:tc>
        <w:tc>
          <w:tcPr>
            <w:tcW w:w="1502" w:type="dxa"/>
            <w:tcBorders>
              <w:left w:val="nil"/>
              <w:right w:val="nil"/>
            </w:tcBorders>
            <w:shd w:val="clear" w:color="auto" w:fill="auto"/>
            <w:noWrap/>
            <w:vAlign w:val="bottom"/>
          </w:tcPr>
          <w:p w14:paraId="1FF0608A" w14:textId="77777777" w:rsidR="001A321F" w:rsidRPr="0074154F" w:rsidRDefault="001A321F" w:rsidP="003B6E50">
            <w:pPr>
              <w:spacing w:after="0" w:line="240" w:lineRule="auto"/>
              <w:rPr>
                <w:rFonts w:ascii="Arial" w:eastAsia="Times New Roman" w:hAnsi="Arial" w:cs="Arial"/>
                <w:b/>
                <w:bCs/>
                <w:color w:val="FF0000"/>
                <w:sz w:val="20"/>
                <w:szCs w:val="20"/>
                <w:lang w:val="es-MX" w:eastAsia="es-MX"/>
              </w:rPr>
            </w:pPr>
          </w:p>
        </w:tc>
        <w:tc>
          <w:tcPr>
            <w:tcW w:w="227" w:type="dxa"/>
            <w:tcBorders>
              <w:left w:val="nil"/>
              <w:right w:val="nil"/>
            </w:tcBorders>
            <w:vAlign w:val="bottom"/>
          </w:tcPr>
          <w:p w14:paraId="63B44607" w14:textId="77777777" w:rsidR="001A321F" w:rsidRPr="0074154F" w:rsidRDefault="001A321F" w:rsidP="003B6E50">
            <w:pPr>
              <w:spacing w:after="0" w:line="240" w:lineRule="auto"/>
              <w:rPr>
                <w:rFonts w:ascii="Arial" w:eastAsia="Times New Roman" w:hAnsi="Arial" w:cs="Arial"/>
                <w:b/>
                <w:bCs/>
                <w:color w:val="FF0000"/>
                <w:sz w:val="20"/>
                <w:szCs w:val="20"/>
                <w:lang w:val="es-MX" w:eastAsia="es-MX"/>
              </w:rPr>
            </w:pPr>
          </w:p>
        </w:tc>
        <w:tc>
          <w:tcPr>
            <w:tcW w:w="1502" w:type="dxa"/>
            <w:tcBorders>
              <w:left w:val="nil"/>
              <w:right w:val="nil"/>
            </w:tcBorders>
            <w:shd w:val="clear" w:color="auto" w:fill="auto"/>
            <w:noWrap/>
            <w:vAlign w:val="bottom"/>
          </w:tcPr>
          <w:p w14:paraId="15EF67B7" w14:textId="77777777" w:rsidR="001A321F" w:rsidRPr="0074154F" w:rsidRDefault="001A321F" w:rsidP="003B6E50">
            <w:pPr>
              <w:spacing w:after="0" w:line="240" w:lineRule="auto"/>
              <w:rPr>
                <w:rFonts w:ascii="Arial" w:eastAsia="Times New Roman" w:hAnsi="Arial" w:cs="Arial"/>
                <w:b/>
                <w:bCs/>
                <w:color w:val="FF0000"/>
                <w:sz w:val="20"/>
                <w:szCs w:val="20"/>
                <w:lang w:val="es-MX" w:eastAsia="es-MX"/>
              </w:rPr>
            </w:pPr>
          </w:p>
        </w:tc>
      </w:tr>
      <w:tr w:rsidR="001A321F" w:rsidRPr="0074154F" w14:paraId="3E958DAB" w14:textId="77777777" w:rsidTr="003B6E50">
        <w:trPr>
          <w:trHeight w:val="283"/>
          <w:jc w:val="right"/>
        </w:trPr>
        <w:tc>
          <w:tcPr>
            <w:tcW w:w="4706" w:type="dxa"/>
            <w:tcBorders>
              <w:top w:val="nil"/>
              <w:left w:val="nil"/>
              <w:bottom w:val="nil"/>
              <w:right w:val="nil"/>
            </w:tcBorders>
            <w:shd w:val="clear" w:color="auto" w:fill="auto"/>
            <w:noWrap/>
            <w:vAlign w:val="bottom"/>
          </w:tcPr>
          <w:p w14:paraId="421EDF9C" w14:textId="776E121A" w:rsidR="001A321F"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1A321F" w:rsidRPr="0074154F">
              <w:rPr>
                <w:rFonts w:ascii="Arial" w:eastAsia="Times New Roman" w:hAnsi="Arial" w:cs="Arial"/>
                <w:color w:val="000000" w:themeColor="text1"/>
                <w:sz w:val="20"/>
                <w:szCs w:val="20"/>
                <w:lang w:val="es-MX" w:eastAsia="es-MX"/>
              </w:rPr>
              <w:t>Efectivo y equivalentes de efectivo, Nota 3</w:t>
            </w:r>
          </w:p>
        </w:tc>
        <w:tc>
          <w:tcPr>
            <w:tcW w:w="1502" w:type="dxa"/>
            <w:tcBorders>
              <w:left w:val="nil"/>
              <w:right w:val="nil"/>
            </w:tcBorders>
            <w:shd w:val="clear" w:color="auto" w:fill="auto"/>
            <w:noWrap/>
            <w:vAlign w:val="bottom"/>
          </w:tcPr>
          <w:p w14:paraId="357545D4" w14:textId="1F74AAFE"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23,111,567</w:t>
            </w:r>
          </w:p>
        </w:tc>
        <w:tc>
          <w:tcPr>
            <w:tcW w:w="227" w:type="dxa"/>
            <w:tcBorders>
              <w:top w:val="nil"/>
              <w:left w:val="nil"/>
              <w:right w:val="nil"/>
            </w:tcBorders>
            <w:vAlign w:val="bottom"/>
          </w:tcPr>
          <w:p w14:paraId="6F04ADE7"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21907998" w14:textId="7C47EB25"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7,639,576</w:t>
            </w:r>
          </w:p>
        </w:tc>
      </w:tr>
      <w:tr w:rsidR="001A321F" w:rsidRPr="0074154F" w14:paraId="487F9F5F" w14:textId="77777777" w:rsidTr="003B6E50">
        <w:trPr>
          <w:trHeight w:val="283"/>
          <w:jc w:val="right"/>
        </w:trPr>
        <w:tc>
          <w:tcPr>
            <w:tcW w:w="4706" w:type="dxa"/>
            <w:tcBorders>
              <w:top w:val="nil"/>
              <w:left w:val="nil"/>
              <w:bottom w:val="nil"/>
              <w:right w:val="nil"/>
            </w:tcBorders>
            <w:shd w:val="clear" w:color="auto" w:fill="auto"/>
            <w:noWrap/>
            <w:vAlign w:val="bottom"/>
          </w:tcPr>
          <w:p w14:paraId="0A689D9C" w14:textId="19A14575" w:rsidR="001A321F"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3322E2" w:rsidRPr="0074154F">
              <w:rPr>
                <w:rFonts w:ascii="Arial" w:eastAsia="Times New Roman" w:hAnsi="Arial" w:cs="Arial"/>
                <w:color w:val="000000" w:themeColor="text1"/>
                <w:sz w:val="20"/>
                <w:szCs w:val="20"/>
                <w:lang w:val="es-MX" w:eastAsia="es-MX"/>
              </w:rPr>
              <w:t>Documentos y c</w:t>
            </w:r>
            <w:r w:rsidR="001A321F" w:rsidRPr="0074154F">
              <w:rPr>
                <w:rFonts w:ascii="Arial" w:eastAsia="Times New Roman" w:hAnsi="Arial" w:cs="Arial"/>
                <w:color w:val="000000" w:themeColor="text1"/>
                <w:sz w:val="20"/>
                <w:szCs w:val="20"/>
                <w:lang w:val="es-MX" w:eastAsia="es-MX"/>
              </w:rPr>
              <w:t>uentas por cobrar, Nota 4</w:t>
            </w:r>
          </w:p>
        </w:tc>
        <w:tc>
          <w:tcPr>
            <w:tcW w:w="1502" w:type="dxa"/>
            <w:tcBorders>
              <w:left w:val="nil"/>
              <w:right w:val="nil"/>
            </w:tcBorders>
            <w:shd w:val="clear" w:color="auto" w:fill="auto"/>
            <w:noWrap/>
            <w:vAlign w:val="bottom"/>
          </w:tcPr>
          <w:p w14:paraId="6A731DE5" w14:textId="2E3243D5"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55,955,704</w:t>
            </w:r>
          </w:p>
        </w:tc>
        <w:tc>
          <w:tcPr>
            <w:tcW w:w="227" w:type="dxa"/>
            <w:tcBorders>
              <w:top w:val="nil"/>
              <w:left w:val="nil"/>
              <w:right w:val="nil"/>
            </w:tcBorders>
            <w:vAlign w:val="bottom"/>
          </w:tcPr>
          <w:p w14:paraId="5D4ECB2F"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32D5A09E" w14:textId="4635348A"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60,114,766</w:t>
            </w:r>
          </w:p>
        </w:tc>
      </w:tr>
      <w:tr w:rsidR="001A321F" w:rsidRPr="0074154F" w14:paraId="30DF234D" w14:textId="77777777" w:rsidTr="00232FA8">
        <w:trPr>
          <w:trHeight w:val="283"/>
          <w:jc w:val="right"/>
        </w:trPr>
        <w:tc>
          <w:tcPr>
            <w:tcW w:w="4706" w:type="dxa"/>
            <w:tcBorders>
              <w:top w:val="nil"/>
              <w:left w:val="nil"/>
              <w:bottom w:val="nil"/>
              <w:right w:val="nil"/>
            </w:tcBorders>
            <w:shd w:val="clear" w:color="auto" w:fill="auto"/>
            <w:noWrap/>
            <w:vAlign w:val="bottom"/>
          </w:tcPr>
          <w:p w14:paraId="6311CE69" w14:textId="2F901287" w:rsidR="001A321F"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1A321F" w:rsidRPr="0074154F">
              <w:rPr>
                <w:rFonts w:ascii="Arial" w:eastAsia="Times New Roman" w:hAnsi="Arial" w:cs="Arial"/>
                <w:color w:val="000000" w:themeColor="text1"/>
                <w:sz w:val="20"/>
                <w:szCs w:val="20"/>
                <w:lang w:val="es-MX" w:eastAsia="es-MX"/>
              </w:rPr>
              <w:t>Inversiones temporales, Nota 5</w:t>
            </w:r>
          </w:p>
        </w:tc>
        <w:tc>
          <w:tcPr>
            <w:tcW w:w="1502" w:type="dxa"/>
            <w:tcBorders>
              <w:left w:val="nil"/>
              <w:right w:val="nil"/>
            </w:tcBorders>
            <w:shd w:val="clear" w:color="auto" w:fill="auto"/>
            <w:noWrap/>
            <w:vAlign w:val="bottom"/>
          </w:tcPr>
          <w:p w14:paraId="3D287640" w14:textId="32687127"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3,119,911</w:t>
            </w:r>
          </w:p>
        </w:tc>
        <w:tc>
          <w:tcPr>
            <w:tcW w:w="227" w:type="dxa"/>
            <w:tcBorders>
              <w:top w:val="nil"/>
              <w:left w:val="nil"/>
              <w:right w:val="nil"/>
            </w:tcBorders>
            <w:vAlign w:val="bottom"/>
          </w:tcPr>
          <w:p w14:paraId="544D4280"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32FD0CC1" w14:textId="0FDB4917"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3,358,789</w:t>
            </w:r>
          </w:p>
        </w:tc>
      </w:tr>
      <w:tr w:rsidR="001A321F" w:rsidRPr="0074154F" w14:paraId="062CB21B" w14:textId="77777777" w:rsidTr="00232FA8">
        <w:trPr>
          <w:trHeight w:val="283"/>
          <w:jc w:val="right"/>
        </w:trPr>
        <w:tc>
          <w:tcPr>
            <w:tcW w:w="4706" w:type="dxa"/>
            <w:tcBorders>
              <w:top w:val="nil"/>
              <w:left w:val="nil"/>
              <w:bottom w:val="nil"/>
              <w:right w:val="nil"/>
            </w:tcBorders>
            <w:shd w:val="clear" w:color="auto" w:fill="auto"/>
            <w:noWrap/>
            <w:vAlign w:val="bottom"/>
          </w:tcPr>
          <w:p w14:paraId="7B5A1CFB" w14:textId="63C2DA4C" w:rsidR="001A321F"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1A321F" w:rsidRPr="0074154F">
              <w:rPr>
                <w:rFonts w:ascii="Arial" w:eastAsia="Times New Roman" w:hAnsi="Arial" w:cs="Arial"/>
                <w:color w:val="000000" w:themeColor="text1"/>
                <w:sz w:val="20"/>
                <w:szCs w:val="20"/>
                <w:lang w:val="es-MX" w:eastAsia="es-MX"/>
              </w:rPr>
              <w:t xml:space="preserve">Inversiones en </w:t>
            </w:r>
            <w:r w:rsidR="00E735BA" w:rsidRPr="0074154F">
              <w:rPr>
                <w:rFonts w:ascii="Arial" w:eastAsia="Times New Roman" w:hAnsi="Arial" w:cs="Arial"/>
                <w:color w:val="000000" w:themeColor="text1"/>
                <w:sz w:val="20"/>
                <w:szCs w:val="20"/>
                <w:lang w:val="es-MX" w:eastAsia="es-MX"/>
              </w:rPr>
              <w:t>subsidiarias y asociadas</w:t>
            </w:r>
            <w:r w:rsidRPr="0074154F">
              <w:rPr>
                <w:rFonts w:ascii="Arial" w:eastAsia="Times New Roman" w:hAnsi="Arial" w:cs="Arial"/>
                <w:color w:val="000000" w:themeColor="text1"/>
                <w:sz w:val="20"/>
                <w:szCs w:val="20"/>
                <w:lang w:val="es-MX" w:eastAsia="es-MX"/>
              </w:rPr>
              <w:t xml:space="preserve">, Nota </w:t>
            </w:r>
            <w:r w:rsidR="001C4677" w:rsidRPr="0074154F">
              <w:rPr>
                <w:rFonts w:ascii="Arial" w:eastAsia="Times New Roman" w:hAnsi="Arial" w:cs="Arial"/>
                <w:color w:val="000000" w:themeColor="text1"/>
                <w:sz w:val="20"/>
                <w:szCs w:val="20"/>
                <w:lang w:val="es-MX" w:eastAsia="es-MX"/>
              </w:rPr>
              <w:t>8</w:t>
            </w:r>
          </w:p>
        </w:tc>
        <w:tc>
          <w:tcPr>
            <w:tcW w:w="1502" w:type="dxa"/>
            <w:tcBorders>
              <w:left w:val="nil"/>
              <w:bottom w:val="single" w:sz="6" w:space="0" w:color="auto"/>
              <w:right w:val="nil"/>
            </w:tcBorders>
            <w:shd w:val="clear" w:color="auto" w:fill="auto"/>
            <w:noWrap/>
            <w:vAlign w:val="bottom"/>
          </w:tcPr>
          <w:p w14:paraId="4B16CB7C" w14:textId="71714087"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42,165,207</w:t>
            </w:r>
          </w:p>
        </w:tc>
        <w:tc>
          <w:tcPr>
            <w:tcW w:w="227" w:type="dxa"/>
            <w:tcBorders>
              <w:top w:val="nil"/>
              <w:left w:val="nil"/>
              <w:right w:val="nil"/>
            </w:tcBorders>
            <w:vAlign w:val="bottom"/>
          </w:tcPr>
          <w:p w14:paraId="44892917"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bottom w:val="single" w:sz="6" w:space="0" w:color="auto"/>
              <w:right w:val="nil"/>
            </w:tcBorders>
            <w:shd w:val="clear" w:color="auto" w:fill="auto"/>
            <w:noWrap/>
            <w:vAlign w:val="bottom"/>
          </w:tcPr>
          <w:p w14:paraId="5CFA3769" w14:textId="14E24816"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39,018,371</w:t>
            </w:r>
          </w:p>
        </w:tc>
      </w:tr>
      <w:tr w:rsidR="001A321F" w:rsidRPr="0074154F" w14:paraId="45352CD7" w14:textId="77777777" w:rsidTr="00232FA8">
        <w:trPr>
          <w:trHeight w:val="283"/>
          <w:jc w:val="right"/>
        </w:trPr>
        <w:tc>
          <w:tcPr>
            <w:tcW w:w="4706" w:type="dxa"/>
            <w:tcBorders>
              <w:top w:val="nil"/>
              <w:left w:val="nil"/>
              <w:bottom w:val="nil"/>
              <w:right w:val="nil"/>
            </w:tcBorders>
            <w:shd w:val="clear" w:color="auto" w:fill="auto"/>
            <w:noWrap/>
            <w:vAlign w:val="bottom"/>
          </w:tcPr>
          <w:p w14:paraId="7BB96C0E" w14:textId="77777777" w:rsidR="001A321F" w:rsidRPr="0074154F" w:rsidRDefault="001A321F" w:rsidP="003B6E50">
            <w:pPr>
              <w:spacing w:after="0" w:line="240" w:lineRule="auto"/>
              <w:ind w:left="-63"/>
              <w:rPr>
                <w:rFonts w:ascii="Arial" w:eastAsia="Times New Roman" w:hAnsi="Arial" w:cs="Arial"/>
                <w:b/>
                <w:bCs/>
                <w:color w:val="FF0000"/>
                <w:sz w:val="20"/>
                <w:szCs w:val="20"/>
                <w:lang w:val="es-MX" w:eastAsia="es-MX"/>
              </w:rPr>
            </w:pPr>
          </w:p>
        </w:tc>
        <w:tc>
          <w:tcPr>
            <w:tcW w:w="1502" w:type="dxa"/>
            <w:tcBorders>
              <w:top w:val="single" w:sz="6" w:space="0" w:color="auto"/>
              <w:left w:val="nil"/>
              <w:right w:val="nil"/>
            </w:tcBorders>
            <w:shd w:val="clear" w:color="auto" w:fill="auto"/>
            <w:noWrap/>
            <w:vAlign w:val="bottom"/>
          </w:tcPr>
          <w:p w14:paraId="13734269" w14:textId="77777777" w:rsidR="001A321F" w:rsidRPr="0074154F" w:rsidRDefault="001A321F" w:rsidP="003B6E50">
            <w:pPr>
              <w:tabs>
                <w:tab w:val="decimal" w:pos="1276"/>
              </w:tabs>
              <w:spacing w:after="0" w:line="240" w:lineRule="auto"/>
              <w:rPr>
                <w:rFonts w:ascii="Arial" w:eastAsia="Times New Roman" w:hAnsi="Arial" w:cs="Arial"/>
                <w:color w:val="000000" w:themeColor="text1"/>
                <w:sz w:val="20"/>
                <w:szCs w:val="20"/>
                <w:lang w:val="es-MX" w:eastAsia="es-MX"/>
              </w:rPr>
            </w:pPr>
          </w:p>
        </w:tc>
        <w:tc>
          <w:tcPr>
            <w:tcW w:w="227" w:type="dxa"/>
            <w:tcBorders>
              <w:left w:val="nil"/>
              <w:bottom w:val="nil"/>
              <w:right w:val="nil"/>
            </w:tcBorders>
            <w:vAlign w:val="bottom"/>
          </w:tcPr>
          <w:p w14:paraId="47C76A38"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single" w:sz="6" w:space="0" w:color="auto"/>
              <w:left w:val="nil"/>
              <w:right w:val="nil"/>
            </w:tcBorders>
            <w:shd w:val="clear" w:color="auto" w:fill="auto"/>
            <w:noWrap/>
            <w:vAlign w:val="bottom"/>
          </w:tcPr>
          <w:p w14:paraId="4842C966" w14:textId="77777777" w:rsidR="001A321F" w:rsidRPr="0074154F" w:rsidRDefault="001A321F" w:rsidP="003B6E50">
            <w:pPr>
              <w:tabs>
                <w:tab w:val="decimal" w:pos="1276"/>
              </w:tabs>
              <w:spacing w:after="0" w:line="240" w:lineRule="auto"/>
              <w:rPr>
                <w:rFonts w:ascii="Arial" w:eastAsia="Times New Roman" w:hAnsi="Arial" w:cs="Arial"/>
                <w:color w:val="000000" w:themeColor="text1"/>
                <w:sz w:val="20"/>
                <w:szCs w:val="20"/>
                <w:lang w:val="es-MX" w:eastAsia="es-MX"/>
              </w:rPr>
            </w:pPr>
          </w:p>
        </w:tc>
      </w:tr>
      <w:tr w:rsidR="001A321F" w:rsidRPr="0074154F" w14:paraId="65E14FD5" w14:textId="77777777" w:rsidTr="003B6E50">
        <w:trPr>
          <w:trHeight w:val="283"/>
          <w:jc w:val="right"/>
        </w:trPr>
        <w:tc>
          <w:tcPr>
            <w:tcW w:w="4706" w:type="dxa"/>
            <w:tcBorders>
              <w:top w:val="nil"/>
              <w:left w:val="nil"/>
              <w:bottom w:val="nil"/>
              <w:right w:val="nil"/>
            </w:tcBorders>
            <w:shd w:val="clear" w:color="auto" w:fill="auto"/>
            <w:noWrap/>
            <w:vAlign w:val="bottom"/>
          </w:tcPr>
          <w:p w14:paraId="24060554" w14:textId="77777777" w:rsidR="001A321F" w:rsidRPr="0074154F" w:rsidRDefault="001A321F" w:rsidP="003B6E50">
            <w:pPr>
              <w:spacing w:after="0" w:line="240" w:lineRule="auto"/>
              <w:ind w:left="-63"/>
              <w:rPr>
                <w:rFonts w:ascii="Arial" w:eastAsia="Times New Roman" w:hAnsi="Arial" w:cs="Arial"/>
                <w:color w:val="FF0000"/>
                <w:sz w:val="20"/>
                <w:szCs w:val="20"/>
                <w:lang w:val="es-MX" w:eastAsia="es-MX"/>
              </w:rPr>
            </w:pPr>
            <w:r w:rsidRPr="0074154F">
              <w:rPr>
                <w:rFonts w:ascii="Arial" w:eastAsia="Times New Roman" w:hAnsi="Arial" w:cs="Arial"/>
                <w:color w:val="000000" w:themeColor="text1"/>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16073D76" w14:textId="0BF8152E"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124,352,389</w:t>
            </w:r>
          </w:p>
        </w:tc>
        <w:tc>
          <w:tcPr>
            <w:tcW w:w="227" w:type="dxa"/>
            <w:tcBorders>
              <w:top w:val="nil"/>
              <w:left w:val="nil"/>
              <w:bottom w:val="nil"/>
              <w:right w:val="nil"/>
            </w:tcBorders>
            <w:vAlign w:val="bottom"/>
          </w:tcPr>
          <w:p w14:paraId="2ECD9875"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bottom w:val="double" w:sz="4" w:space="0" w:color="auto"/>
              <w:right w:val="nil"/>
            </w:tcBorders>
            <w:shd w:val="clear" w:color="auto" w:fill="auto"/>
            <w:noWrap/>
            <w:vAlign w:val="bottom"/>
          </w:tcPr>
          <w:p w14:paraId="205E8A03" w14:textId="2A40F8DF" w:rsidR="001A321F" w:rsidRPr="0074154F" w:rsidRDefault="00232FA8" w:rsidP="00387E19">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110,131,502</w:t>
            </w:r>
          </w:p>
        </w:tc>
      </w:tr>
      <w:tr w:rsidR="001A321F" w:rsidRPr="0074154F" w14:paraId="3283F92B" w14:textId="77777777" w:rsidTr="003B6E50">
        <w:trPr>
          <w:trHeight w:val="283"/>
          <w:jc w:val="right"/>
        </w:trPr>
        <w:tc>
          <w:tcPr>
            <w:tcW w:w="4706" w:type="dxa"/>
            <w:tcBorders>
              <w:top w:val="nil"/>
              <w:left w:val="nil"/>
              <w:bottom w:val="nil"/>
              <w:right w:val="nil"/>
            </w:tcBorders>
            <w:shd w:val="clear" w:color="auto" w:fill="auto"/>
            <w:noWrap/>
            <w:vAlign w:val="bottom"/>
          </w:tcPr>
          <w:p w14:paraId="0FC087CE" w14:textId="77777777" w:rsidR="001A321F" w:rsidRPr="0074154F" w:rsidRDefault="001A321F" w:rsidP="003B6E50">
            <w:pPr>
              <w:spacing w:after="0" w:line="240" w:lineRule="auto"/>
              <w:ind w:left="-63"/>
              <w:rPr>
                <w:rFonts w:ascii="Arial" w:eastAsia="Times New Roman" w:hAnsi="Arial" w:cs="Arial"/>
                <w:b/>
                <w:bCs/>
                <w:color w:val="FF0000"/>
                <w:sz w:val="20"/>
                <w:szCs w:val="20"/>
                <w:lang w:val="es-MX" w:eastAsia="es-MX"/>
              </w:rPr>
            </w:pPr>
          </w:p>
        </w:tc>
        <w:tc>
          <w:tcPr>
            <w:tcW w:w="1502" w:type="dxa"/>
            <w:tcBorders>
              <w:top w:val="double" w:sz="4" w:space="0" w:color="auto"/>
              <w:left w:val="nil"/>
              <w:right w:val="nil"/>
            </w:tcBorders>
            <w:shd w:val="clear" w:color="auto" w:fill="auto"/>
            <w:noWrap/>
            <w:vAlign w:val="bottom"/>
          </w:tcPr>
          <w:p w14:paraId="6826B31D" w14:textId="77777777" w:rsidR="001A321F" w:rsidRPr="0074154F" w:rsidRDefault="001A321F" w:rsidP="003B6E50">
            <w:pPr>
              <w:tabs>
                <w:tab w:val="decimal" w:pos="1276"/>
              </w:tabs>
              <w:spacing w:after="0" w:line="240" w:lineRule="auto"/>
              <w:rPr>
                <w:rFonts w:ascii="Arial" w:eastAsia="Times New Roman" w:hAnsi="Arial" w:cs="Arial"/>
                <w:b/>
                <w:bCs/>
                <w:color w:val="FF0000"/>
                <w:sz w:val="20"/>
                <w:szCs w:val="20"/>
                <w:lang w:val="es-MX" w:eastAsia="es-MX"/>
              </w:rPr>
            </w:pPr>
          </w:p>
        </w:tc>
        <w:tc>
          <w:tcPr>
            <w:tcW w:w="227" w:type="dxa"/>
            <w:tcBorders>
              <w:top w:val="nil"/>
              <w:left w:val="nil"/>
              <w:right w:val="nil"/>
            </w:tcBorders>
            <w:vAlign w:val="bottom"/>
          </w:tcPr>
          <w:p w14:paraId="2FB2521A" w14:textId="77777777" w:rsidR="001A321F" w:rsidRPr="0074154F" w:rsidRDefault="001A321F" w:rsidP="003B6E50">
            <w:pPr>
              <w:spacing w:after="0" w:line="240" w:lineRule="auto"/>
              <w:rPr>
                <w:rFonts w:ascii="Arial" w:eastAsia="Times New Roman" w:hAnsi="Arial" w:cs="Arial"/>
                <w:b/>
                <w:bCs/>
                <w:color w:val="FF0000"/>
                <w:sz w:val="20"/>
                <w:szCs w:val="20"/>
                <w:lang w:val="es-MX" w:eastAsia="es-MX"/>
              </w:rPr>
            </w:pPr>
          </w:p>
        </w:tc>
        <w:tc>
          <w:tcPr>
            <w:tcW w:w="1502" w:type="dxa"/>
            <w:tcBorders>
              <w:top w:val="double" w:sz="4" w:space="0" w:color="auto"/>
              <w:left w:val="nil"/>
              <w:right w:val="nil"/>
            </w:tcBorders>
            <w:shd w:val="clear" w:color="auto" w:fill="auto"/>
            <w:noWrap/>
            <w:vAlign w:val="bottom"/>
          </w:tcPr>
          <w:p w14:paraId="67047EDE" w14:textId="77777777" w:rsidR="001A321F" w:rsidRPr="0074154F" w:rsidRDefault="001A321F" w:rsidP="003B6E50">
            <w:pPr>
              <w:tabs>
                <w:tab w:val="decimal" w:pos="1276"/>
              </w:tabs>
              <w:spacing w:after="0" w:line="240" w:lineRule="auto"/>
              <w:rPr>
                <w:rFonts w:ascii="Arial" w:eastAsia="Times New Roman" w:hAnsi="Arial" w:cs="Arial"/>
                <w:b/>
                <w:bCs/>
                <w:color w:val="FF0000"/>
                <w:sz w:val="20"/>
                <w:szCs w:val="20"/>
                <w:lang w:val="es-MX" w:eastAsia="es-MX"/>
              </w:rPr>
            </w:pPr>
          </w:p>
        </w:tc>
      </w:tr>
      <w:tr w:rsidR="001A321F" w:rsidRPr="0074154F" w14:paraId="15786AE8" w14:textId="77777777" w:rsidTr="003B6E50">
        <w:trPr>
          <w:trHeight w:val="283"/>
          <w:jc w:val="right"/>
        </w:trPr>
        <w:tc>
          <w:tcPr>
            <w:tcW w:w="4706" w:type="dxa"/>
            <w:tcBorders>
              <w:top w:val="nil"/>
              <w:left w:val="nil"/>
              <w:bottom w:val="nil"/>
              <w:right w:val="nil"/>
            </w:tcBorders>
            <w:shd w:val="clear" w:color="auto" w:fill="auto"/>
            <w:noWrap/>
            <w:vAlign w:val="bottom"/>
          </w:tcPr>
          <w:p w14:paraId="0BFABD64" w14:textId="77777777" w:rsidR="001A321F" w:rsidRPr="0074154F" w:rsidRDefault="001A321F" w:rsidP="003B6E50">
            <w:pPr>
              <w:spacing w:after="0" w:line="240" w:lineRule="auto"/>
              <w:ind w:left="-63"/>
              <w:rPr>
                <w:rFonts w:ascii="Arial" w:eastAsia="Times New Roman" w:hAnsi="Arial" w:cs="Arial"/>
                <w:i/>
                <w:iCs/>
                <w:color w:val="000000" w:themeColor="text1"/>
                <w:sz w:val="20"/>
                <w:szCs w:val="20"/>
                <w:u w:val="single"/>
                <w:lang w:val="es-MX" w:eastAsia="es-MX"/>
              </w:rPr>
            </w:pPr>
            <w:r w:rsidRPr="0074154F">
              <w:rPr>
                <w:rFonts w:ascii="Arial" w:eastAsia="Times New Roman" w:hAnsi="Arial" w:cs="Arial"/>
                <w:i/>
                <w:iCs/>
                <w:color w:val="000000" w:themeColor="text1"/>
                <w:sz w:val="20"/>
                <w:szCs w:val="20"/>
                <w:u w:val="single"/>
                <w:lang w:val="es-MX" w:eastAsia="es-MX"/>
              </w:rPr>
              <w:t>Pasivos financieros</w:t>
            </w:r>
            <w:r w:rsidRPr="0074154F">
              <w:rPr>
                <w:rFonts w:ascii="Arial" w:eastAsia="Times New Roman" w:hAnsi="Arial" w:cs="Arial"/>
                <w:i/>
                <w:iCs/>
                <w:color w:val="000000" w:themeColor="text1"/>
                <w:sz w:val="20"/>
                <w:szCs w:val="20"/>
                <w:lang w:val="es-MX" w:eastAsia="es-MX"/>
              </w:rPr>
              <w:t>:</w:t>
            </w:r>
          </w:p>
        </w:tc>
        <w:tc>
          <w:tcPr>
            <w:tcW w:w="1502" w:type="dxa"/>
            <w:tcBorders>
              <w:left w:val="nil"/>
              <w:right w:val="nil"/>
            </w:tcBorders>
            <w:shd w:val="clear" w:color="auto" w:fill="auto"/>
            <w:noWrap/>
            <w:vAlign w:val="bottom"/>
          </w:tcPr>
          <w:p w14:paraId="2D4065D8" w14:textId="77777777" w:rsidR="001A321F" w:rsidRPr="0074154F" w:rsidRDefault="001A321F" w:rsidP="003B6E50">
            <w:pPr>
              <w:tabs>
                <w:tab w:val="decimal" w:pos="1276"/>
              </w:tabs>
              <w:spacing w:after="0" w:line="240" w:lineRule="auto"/>
              <w:rPr>
                <w:rFonts w:ascii="Arial" w:eastAsia="Times New Roman" w:hAnsi="Arial" w:cs="Arial"/>
                <w:color w:val="000000" w:themeColor="text1"/>
                <w:sz w:val="20"/>
                <w:szCs w:val="20"/>
                <w:lang w:eastAsia="es-EC"/>
              </w:rPr>
            </w:pPr>
          </w:p>
        </w:tc>
        <w:tc>
          <w:tcPr>
            <w:tcW w:w="227" w:type="dxa"/>
            <w:tcBorders>
              <w:left w:val="nil"/>
              <w:right w:val="nil"/>
            </w:tcBorders>
            <w:vAlign w:val="bottom"/>
          </w:tcPr>
          <w:p w14:paraId="1A8FD202" w14:textId="77777777" w:rsidR="001A321F" w:rsidRPr="0074154F" w:rsidRDefault="001A321F"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1A785598" w14:textId="77777777" w:rsidR="001A321F" w:rsidRPr="0074154F" w:rsidRDefault="001A321F" w:rsidP="003B6E50">
            <w:pPr>
              <w:tabs>
                <w:tab w:val="decimal" w:pos="1276"/>
              </w:tabs>
              <w:spacing w:after="0" w:line="240" w:lineRule="auto"/>
              <w:rPr>
                <w:rFonts w:ascii="Arial" w:eastAsia="Times New Roman" w:hAnsi="Arial" w:cs="Arial"/>
                <w:color w:val="000000" w:themeColor="text1"/>
                <w:sz w:val="20"/>
                <w:szCs w:val="20"/>
                <w:lang w:eastAsia="es-EC"/>
              </w:rPr>
            </w:pPr>
          </w:p>
        </w:tc>
      </w:tr>
      <w:tr w:rsidR="00D252D7" w:rsidRPr="0074154F" w14:paraId="43E907D5" w14:textId="77777777" w:rsidTr="003B6E50">
        <w:trPr>
          <w:trHeight w:val="283"/>
          <w:jc w:val="right"/>
        </w:trPr>
        <w:tc>
          <w:tcPr>
            <w:tcW w:w="4706" w:type="dxa"/>
            <w:tcBorders>
              <w:top w:val="nil"/>
              <w:left w:val="nil"/>
              <w:bottom w:val="nil"/>
              <w:right w:val="nil"/>
            </w:tcBorders>
            <w:shd w:val="clear" w:color="auto" w:fill="auto"/>
            <w:noWrap/>
            <w:vAlign w:val="bottom"/>
          </w:tcPr>
          <w:p w14:paraId="5749D3C2" w14:textId="7196A862" w:rsidR="00D252D7" w:rsidRPr="0074154F" w:rsidRDefault="00D252D7"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3322E2" w:rsidRPr="0074154F">
              <w:rPr>
                <w:rFonts w:ascii="Arial" w:eastAsia="Times New Roman" w:hAnsi="Arial" w:cs="Arial"/>
                <w:color w:val="000000" w:themeColor="text1"/>
                <w:sz w:val="20"/>
                <w:szCs w:val="20"/>
                <w:lang w:val="es-MX" w:eastAsia="es-MX"/>
              </w:rPr>
              <w:t>Documentos y c</w:t>
            </w:r>
            <w:r w:rsidRPr="0074154F">
              <w:rPr>
                <w:rFonts w:ascii="Arial" w:eastAsia="Times New Roman" w:hAnsi="Arial" w:cs="Arial"/>
                <w:color w:val="000000" w:themeColor="text1"/>
                <w:sz w:val="20"/>
                <w:szCs w:val="20"/>
                <w:lang w:val="es-MX" w:eastAsia="es-MX"/>
              </w:rPr>
              <w:t>uentas por pagar, Nota 13</w:t>
            </w:r>
          </w:p>
        </w:tc>
        <w:tc>
          <w:tcPr>
            <w:tcW w:w="1502" w:type="dxa"/>
            <w:tcBorders>
              <w:left w:val="nil"/>
              <w:right w:val="nil"/>
            </w:tcBorders>
            <w:shd w:val="clear" w:color="auto" w:fill="auto"/>
            <w:noWrap/>
            <w:vAlign w:val="bottom"/>
          </w:tcPr>
          <w:p w14:paraId="464D94AA" w14:textId="303A0848" w:rsidR="00D252D7" w:rsidRPr="0074154F" w:rsidRDefault="00772AA1" w:rsidP="00D252D7">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35,844,252</w:t>
            </w:r>
          </w:p>
        </w:tc>
        <w:tc>
          <w:tcPr>
            <w:tcW w:w="227" w:type="dxa"/>
            <w:tcBorders>
              <w:left w:val="nil"/>
              <w:right w:val="nil"/>
            </w:tcBorders>
            <w:vAlign w:val="bottom"/>
          </w:tcPr>
          <w:p w14:paraId="294D19C5" w14:textId="77777777" w:rsidR="00D252D7" w:rsidRPr="0074154F" w:rsidRDefault="00D252D7" w:rsidP="003B6E50">
            <w:pPr>
              <w:spacing w:after="0" w:line="240" w:lineRule="auto"/>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0DE27682" w14:textId="294B70CB" w:rsidR="00D252D7" w:rsidRPr="0074154F" w:rsidRDefault="0056146C" w:rsidP="00D252D7">
            <w:pPr>
              <w:tabs>
                <w:tab w:val="decimal" w:pos="1276"/>
              </w:tabs>
              <w:spacing w:after="0" w:line="240" w:lineRule="auto"/>
              <w:jc w:val="right"/>
              <w:rPr>
                <w:rFonts w:ascii="Arial" w:eastAsia="Times New Roman" w:hAnsi="Arial" w:cs="Arial"/>
                <w:color w:val="000000" w:themeColor="text1"/>
                <w:sz w:val="20"/>
                <w:szCs w:val="20"/>
                <w:lang w:eastAsia="es-EC"/>
              </w:rPr>
            </w:pPr>
            <w:r>
              <w:rPr>
                <w:rFonts w:ascii="Arial" w:eastAsia="Times New Roman" w:hAnsi="Arial" w:cs="Arial"/>
                <w:color w:val="000000" w:themeColor="text1"/>
                <w:sz w:val="20"/>
                <w:szCs w:val="20"/>
                <w:lang w:eastAsia="es-EC"/>
              </w:rPr>
              <w:t>29,244,842</w:t>
            </w:r>
          </w:p>
        </w:tc>
      </w:tr>
      <w:tr w:rsidR="001A321F" w:rsidRPr="0074154F" w14:paraId="0F329ECE" w14:textId="77777777" w:rsidTr="003B6E50">
        <w:trPr>
          <w:trHeight w:val="283"/>
          <w:jc w:val="right"/>
        </w:trPr>
        <w:tc>
          <w:tcPr>
            <w:tcW w:w="4706" w:type="dxa"/>
            <w:tcBorders>
              <w:top w:val="nil"/>
              <w:left w:val="nil"/>
              <w:bottom w:val="nil"/>
              <w:right w:val="nil"/>
            </w:tcBorders>
            <w:shd w:val="clear" w:color="auto" w:fill="auto"/>
            <w:noWrap/>
            <w:vAlign w:val="bottom"/>
          </w:tcPr>
          <w:p w14:paraId="47AA1315" w14:textId="3BC6A97E" w:rsidR="001A321F"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1A321F" w:rsidRPr="0074154F">
              <w:rPr>
                <w:rFonts w:ascii="Arial" w:eastAsia="Times New Roman" w:hAnsi="Arial" w:cs="Arial"/>
                <w:color w:val="000000" w:themeColor="text1"/>
                <w:sz w:val="20"/>
                <w:szCs w:val="20"/>
                <w:lang w:val="es-MX" w:eastAsia="es-MX"/>
              </w:rPr>
              <w:t>Préstamo</w:t>
            </w:r>
            <w:r w:rsidR="003322E2" w:rsidRPr="0074154F">
              <w:rPr>
                <w:rFonts w:ascii="Arial" w:eastAsia="Times New Roman" w:hAnsi="Arial" w:cs="Arial"/>
                <w:color w:val="000000" w:themeColor="text1"/>
                <w:sz w:val="20"/>
                <w:szCs w:val="20"/>
                <w:lang w:val="es-MX" w:eastAsia="es-MX"/>
              </w:rPr>
              <w:t>s</w:t>
            </w:r>
            <w:r w:rsidR="001A321F" w:rsidRPr="0074154F">
              <w:rPr>
                <w:rFonts w:ascii="Arial" w:eastAsia="Times New Roman" w:hAnsi="Arial" w:cs="Arial"/>
                <w:color w:val="000000" w:themeColor="text1"/>
                <w:sz w:val="20"/>
                <w:szCs w:val="20"/>
                <w:lang w:val="es-MX" w:eastAsia="es-MX"/>
              </w:rPr>
              <w:t xml:space="preserve">, Nota </w:t>
            </w:r>
            <w:r w:rsidR="001C4677" w:rsidRPr="0074154F">
              <w:rPr>
                <w:rFonts w:ascii="Arial" w:eastAsia="Times New Roman" w:hAnsi="Arial" w:cs="Arial"/>
                <w:color w:val="000000" w:themeColor="text1"/>
                <w:sz w:val="20"/>
                <w:szCs w:val="20"/>
                <w:lang w:val="es-MX" w:eastAsia="es-MX"/>
              </w:rPr>
              <w:t>15</w:t>
            </w:r>
            <w:r w:rsidR="00977FBF" w:rsidRPr="0074154F">
              <w:rPr>
                <w:rFonts w:ascii="Arial" w:eastAsia="Times New Roman" w:hAnsi="Arial" w:cs="Arial"/>
                <w:color w:val="000000" w:themeColor="text1"/>
                <w:sz w:val="20"/>
                <w:szCs w:val="20"/>
                <w:lang w:val="es-MX" w:eastAsia="es-MX"/>
              </w:rPr>
              <w:t xml:space="preserve">  </w:t>
            </w:r>
          </w:p>
        </w:tc>
        <w:tc>
          <w:tcPr>
            <w:tcW w:w="1502" w:type="dxa"/>
            <w:tcBorders>
              <w:left w:val="nil"/>
              <w:right w:val="nil"/>
            </w:tcBorders>
            <w:shd w:val="clear" w:color="auto" w:fill="auto"/>
            <w:noWrap/>
            <w:vAlign w:val="bottom"/>
          </w:tcPr>
          <w:p w14:paraId="62AAED6F" w14:textId="4625C1B6" w:rsidR="001A321F" w:rsidRPr="0074154F" w:rsidRDefault="00772AA1"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8,291,519</w:t>
            </w:r>
          </w:p>
        </w:tc>
        <w:tc>
          <w:tcPr>
            <w:tcW w:w="227" w:type="dxa"/>
            <w:tcBorders>
              <w:top w:val="nil"/>
              <w:left w:val="nil"/>
              <w:right w:val="nil"/>
            </w:tcBorders>
            <w:vAlign w:val="bottom"/>
          </w:tcPr>
          <w:p w14:paraId="5263AF3D" w14:textId="77777777" w:rsidR="001A321F" w:rsidRPr="0074154F" w:rsidRDefault="001A321F" w:rsidP="000C6452">
            <w:pPr>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554690EC" w14:textId="350A4B11" w:rsidR="001A321F" w:rsidRPr="0074154F" w:rsidRDefault="0056146C"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9,952,438</w:t>
            </w:r>
          </w:p>
        </w:tc>
      </w:tr>
      <w:tr w:rsidR="007B6C15" w:rsidRPr="0074154F" w14:paraId="10AB3433" w14:textId="77777777" w:rsidTr="003B6E50">
        <w:trPr>
          <w:trHeight w:val="283"/>
          <w:jc w:val="right"/>
        </w:trPr>
        <w:tc>
          <w:tcPr>
            <w:tcW w:w="4706" w:type="dxa"/>
            <w:tcBorders>
              <w:top w:val="nil"/>
              <w:left w:val="nil"/>
              <w:bottom w:val="nil"/>
              <w:right w:val="nil"/>
            </w:tcBorders>
            <w:shd w:val="clear" w:color="auto" w:fill="auto"/>
            <w:noWrap/>
            <w:vAlign w:val="bottom"/>
          </w:tcPr>
          <w:p w14:paraId="0D4BF359" w14:textId="36CCBD25" w:rsidR="007B6C15" w:rsidRPr="0074154F" w:rsidRDefault="006A79C3"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 xml:space="preserve">  </w:t>
            </w:r>
            <w:r w:rsidR="001C4677" w:rsidRPr="0074154F">
              <w:rPr>
                <w:rFonts w:ascii="Arial" w:eastAsia="Times New Roman" w:hAnsi="Arial" w:cs="Arial"/>
                <w:color w:val="000000" w:themeColor="text1"/>
                <w:sz w:val="20"/>
                <w:szCs w:val="20"/>
                <w:lang w:val="es-MX" w:eastAsia="es-MX"/>
              </w:rPr>
              <w:t>Otros pasivos financieros</w:t>
            </w:r>
            <w:r w:rsidRPr="0074154F">
              <w:rPr>
                <w:rFonts w:ascii="Arial" w:eastAsia="Times New Roman" w:hAnsi="Arial" w:cs="Arial"/>
                <w:color w:val="000000" w:themeColor="text1"/>
                <w:sz w:val="20"/>
                <w:szCs w:val="20"/>
                <w:lang w:val="es-MX" w:eastAsia="es-MX"/>
              </w:rPr>
              <w:t>, Nota 1</w:t>
            </w:r>
            <w:r w:rsidR="001C4677" w:rsidRPr="0074154F">
              <w:rPr>
                <w:rFonts w:ascii="Arial" w:eastAsia="Times New Roman" w:hAnsi="Arial" w:cs="Arial"/>
                <w:color w:val="000000" w:themeColor="text1"/>
                <w:sz w:val="20"/>
                <w:szCs w:val="20"/>
                <w:lang w:val="es-MX" w:eastAsia="es-MX"/>
              </w:rPr>
              <w:t>6</w:t>
            </w:r>
          </w:p>
        </w:tc>
        <w:tc>
          <w:tcPr>
            <w:tcW w:w="1502" w:type="dxa"/>
            <w:tcBorders>
              <w:left w:val="nil"/>
              <w:right w:val="nil"/>
            </w:tcBorders>
            <w:shd w:val="clear" w:color="auto" w:fill="auto"/>
            <w:noWrap/>
            <w:vAlign w:val="bottom"/>
          </w:tcPr>
          <w:p w14:paraId="35C34F89" w14:textId="6C4C142A" w:rsidR="007B6C15" w:rsidRPr="0074154F" w:rsidRDefault="00772AA1"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13,597,781</w:t>
            </w:r>
          </w:p>
        </w:tc>
        <w:tc>
          <w:tcPr>
            <w:tcW w:w="227" w:type="dxa"/>
            <w:tcBorders>
              <w:top w:val="nil"/>
              <w:left w:val="nil"/>
              <w:right w:val="nil"/>
            </w:tcBorders>
            <w:vAlign w:val="bottom"/>
          </w:tcPr>
          <w:p w14:paraId="20CF0912" w14:textId="77777777" w:rsidR="007B6C15" w:rsidRPr="0074154F" w:rsidRDefault="007B6C15" w:rsidP="000C6452">
            <w:pPr>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419BCA43" w14:textId="098B252E" w:rsidR="007B6C15" w:rsidRPr="0074154F" w:rsidRDefault="0056146C"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2,484,731</w:t>
            </w:r>
          </w:p>
        </w:tc>
      </w:tr>
      <w:tr w:rsidR="001A321F" w:rsidRPr="0074154F" w14:paraId="1B833709" w14:textId="77777777" w:rsidTr="003B6E50">
        <w:trPr>
          <w:trHeight w:val="283"/>
          <w:jc w:val="right"/>
        </w:trPr>
        <w:tc>
          <w:tcPr>
            <w:tcW w:w="4706" w:type="dxa"/>
            <w:tcBorders>
              <w:top w:val="nil"/>
              <w:left w:val="nil"/>
              <w:bottom w:val="nil"/>
              <w:right w:val="nil"/>
            </w:tcBorders>
            <w:shd w:val="clear" w:color="auto" w:fill="auto"/>
            <w:noWrap/>
            <w:vAlign w:val="bottom"/>
          </w:tcPr>
          <w:p w14:paraId="5469657B" w14:textId="77777777" w:rsidR="001A321F" w:rsidRPr="0074154F" w:rsidRDefault="001A321F" w:rsidP="003B6E50">
            <w:pPr>
              <w:spacing w:after="0" w:line="240" w:lineRule="auto"/>
              <w:ind w:left="-63"/>
              <w:rPr>
                <w:rFonts w:ascii="Arial" w:eastAsia="Times New Roman" w:hAnsi="Arial" w:cs="Arial"/>
                <w:color w:val="000000" w:themeColor="text1"/>
                <w:sz w:val="20"/>
                <w:szCs w:val="20"/>
                <w:lang w:val="es-MX" w:eastAsia="es-MX"/>
              </w:rPr>
            </w:pPr>
          </w:p>
        </w:tc>
        <w:tc>
          <w:tcPr>
            <w:tcW w:w="1502" w:type="dxa"/>
            <w:tcBorders>
              <w:top w:val="single" w:sz="4" w:space="0" w:color="auto"/>
              <w:left w:val="nil"/>
              <w:right w:val="nil"/>
            </w:tcBorders>
            <w:shd w:val="clear" w:color="auto" w:fill="auto"/>
            <w:noWrap/>
            <w:vAlign w:val="bottom"/>
          </w:tcPr>
          <w:p w14:paraId="6A670FA0" w14:textId="77777777" w:rsidR="001A321F" w:rsidRPr="0074154F" w:rsidRDefault="001A321F"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227" w:type="dxa"/>
            <w:tcBorders>
              <w:top w:val="nil"/>
              <w:left w:val="nil"/>
              <w:right w:val="nil"/>
            </w:tcBorders>
            <w:vAlign w:val="bottom"/>
          </w:tcPr>
          <w:p w14:paraId="0ECF5534" w14:textId="77777777" w:rsidR="001A321F" w:rsidRPr="0074154F" w:rsidRDefault="001A321F" w:rsidP="000C6452">
            <w:pPr>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single" w:sz="4" w:space="0" w:color="auto"/>
              <w:left w:val="nil"/>
              <w:right w:val="nil"/>
            </w:tcBorders>
            <w:shd w:val="clear" w:color="auto" w:fill="auto"/>
            <w:noWrap/>
            <w:vAlign w:val="bottom"/>
          </w:tcPr>
          <w:p w14:paraId="43046AD5" w14:textId="77777777" w:rsidR="001A321F" w:rsidRPr="0074154F" w:rsidRDefault="001A321F"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p>
        </w:tc>
      </w:tr>
      <w:tr w:rsidR="001A321F" w:rsidRPr="0074154F" w14:paraId="47F99022" w14:textId="77777777" w:rsidTr="003B6E50">
        <w:trPr>
          <w:trHeight w:val="283"/>
          <w:jc w:val="right"/>
        </w:trPr>
        <w:tc>
          <w:tcPr>
            <w:tcW w:w="4706" w:type="dxa"/>
            <w:tcBorders>
              <w:top w:val="nil"/>
              <w:left w:val="nil"/>
              <w:bottom w:val="nil"/>
              <w:right w:val="nil"/>
            </w:tcBorders>
            <w:shd w:val="clear" w:color="auto" w:fill="auto"/>
            <w:noWrap/>
            <w:vAlign w:val="bottom"/>
          </w:tcPr>
          <w:p w14:paraId="13E31CF4" w14:textId="77777777" w:rsidR="001A321F" w:rsidRPr="0074154F" w:rsidRDefault="001A321F" w:rsidP="003B6E50">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0ADA7777" w14:textId="770631D9" w:rsidR="001A321F" w:rsidRPr="0074154F" w:rsidRDefault="00772AA1"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57,733,552</w:t>
            </w:r>
          </w:p>
        </w:tc>
        <w:tc>
          <w:tcPr>
            <w:tcW w:w="227" w:type="dxa"/>
            <w:tcBorders>
              <w:top w:val="nil"/>
              <w:left w:val="nil"/>
              <w:right w:val="nil"/>
            </w:tcBorders>
            <w:vAlign w:val="bottom"/>
          </w:tcPr>
          <w:p w14:paraId="7A25B3E5" w14:textId="77777777" w:rsidR="001A321F" w:rsidRPr="0074154F" w:rsidRDefault="001A321F" w:rsidP="000C6452">
            <w:pPr>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nil"/>
              <w:left w:val="nil"/>
              <w:bottom w:val="double" w:sz="4" w:space="0" w:color="auto"/>
              <w:right w:val="nil"/>
            </w:tcBorders>
            <w:shd w:val="clear" w:color="auto" w:fill="auto"/>
            <w:noWrap/>
            <w:vAlign w:val="bottom"/>
          </w:tcPr>
          <w:p w14:paraId="137343B7" w14:textId="4C5C4EA9" w:rsidR="001A321F" w:rsidRPr="0074154F" w:rsidRDefault="0056146C" w:rsidP="000C6452">
            <w:pPr>
              <w:tabs>
                <w:tab w:val="decimal" w:pos="1276"/>
              </w:tabs>
              <w:spacing w:after="0" w:line="240" w:lineRule="auto"/>
              <w:jc w:val="right"/>
              <w:rPr>
                <w:rFonts w:ascii="Arial" w:eastAsia="Times New Roman" w:hAnsi="Arial" w:cs="Arial"/>
                <w:color w:val="000000" w:themeColor="text1"/>
                <w:sz w:val="20"/>
                <w:szCs w:val="20"/>
                <w:lang w:val="es-MX" w:eastAsia="es-MX"/>
              </w:rPr>
            </w:pPr>
            <w:r>
              <w:rPr>
                <w:rFonts w:ascii="Arial" w:eastAsia="Times New Roman" w:hAnsi="Arial" w:cs="Arial"/>
                <w:color w:val="000000" w:themeColor="text1"/>
                <w:sz w:val="20"/>
                <w:szCs w:val="20"/>
                <w:lang w:val="es-MX" w:eastAsia="es-MX"/>
              </w:rPr>
              <w:t>41,682,011</w:t>
            </w:r>
          </w:p>
        </w:tc>
      </w:tr>
    </w:tbl>
    <w:p w14:paraId="4C1B3B39" w14:textId="1C5D7420" w:rsidR="001A321F" w:rsidRDefault="001A321F" w:rsidP="001A321F">
      <w:pPr>
        <w:pStyle w:val="ListParagraph"/>
        <w:spacing w:after="0" w:line="240" w:lineRule="auto"/>
        <w:ind w:left="1134"/>
        <w:jc w:val="both"/>
        <w:rPr>
          <w:rFonts w:ascii="Arial" w:hAnsi="Arial" w:cs="Arial"/>
          <w:b/>
          <w:sz w:val="20"/>
          <w:szCs w:val="20"/>
          <w:u w:val="single"/>
        </w:rPr>
      </w:pPr>
    </w:p>
    <w:p w14:paraId="483CAB91" w14:textId="5A8EBF81" w:rsidR="008146FA" w:rsidRDefault="008146FA" w:rsidP="001A321F">
      <w:pPr>
        <w:pStyle w:val="ListParagraph"/>
        <w:spacing w:after="0" w:line="240" w:lineRule="auto"/>
        <w:ind w:left="1134"/>
        <w:jc w:val="both"/>
        <w:rPr>
          <w:rFonts w:ascii="Arial" w:hAnsi="Arial" w:cs="Arial"/>
          <w:b/>
          <w:sz w:val="20"/>
          <w:szCs w:val="20"/>
          <w:u w:val="single"/>
        </w:rPr>
      </w:pPr>
    </w:p>
    <w:p w14:paraId="31558BEF" w14:textId="77777777" w:rsidR="008146FA" w:rsidRPr="0074154F" w:rsidRDefault="008146FA" w:rsidP="001A321F">
      <w:pPr>
        <w:pStyle w:val="ListParagraph"/>
        <w:spacing w:after="0" w:line="240" w:lineRule="auto"/>
        <w:ind w:left="1134"/>
        <w:jc w:val="both"/>
        <w:rPr>
          <w:rFonts w:ascii="Arial" w:hAnsi="Arial" w:cs="Arial"/>
          <w:b/>
          <w:sz w:val="20"/>
          <w:szCs w:val="20"/>
          <w:u w:val="single"/>
        </w:rPr>
      </w:pPr>
    </w:p>
    <w:p w14:paraId="5BD9A4CF" w14:textId="03E67FE9" w:rsidR="001A321F" w:rsidRPr="0074154F" w:rsidRDefault="001A321F" w:rsidP="00A66DD1">
      <w:pPr>
        <w:pStyle w:val="ListParagraph"/>
        <w:widowControl w:val="0"/>
        <w:spacing w:after="0" w:line="240" w:lineRule="auto"/>
        <w:ind w:left="1134"/>
        <w:jc w:val="both"/>
        <w:rPr>
          <w:rFonts w:ascii="Arial" w:hAnsi="Arial" w:cs="Arial"/>
          <w:sz w:val="18"/>
          <w:szCs w:val="18"/>
        </w:rPr>
      </w:pPr>
      <w:r w:rsidRPr="0074154F">
        <w:rPr>
          <w:rFonts w:ascii="Arial" w:hAnsi="Arial" w:cs="Arial"/>
          <w:b/>
          <w:i/>
          <w:iCs/>
          <w:sz w:val="20"/>
          <w:szCs w:val="20"/>
        </w:rPr>
        <w:lastRenderedPageBreak/>
        <w:t xml:space="preserve">Valor razonable de los instrumentos financieros. </w:t>
      </w:r>
      <w:r w:rsidRPr="0074154F">
        <w:rPr>
          <w:rFonts w:ascii="Arial" w:hAnsi="Arial" w:cs="Arial"/>
          <w:b/>
          <w:sz w:val="20"/>
          <w:szCs w:val="20"/>
        </w:rPr>
        <w:t xml:space="preserve">- </w:t>
      </w:r>
      <w:r w:rsidRPr="0074154F">
        <w:rPr>
          <w:rFonts w:ascii="Arial" w:hAnsi="Arial" w:cs="Arial"/>
          <w:bCs/>
          <w:sz w:val="20"/>
          <w:szCs w:val="20"/>
        </w:rPr>
        <w:t xml:space="preserve">La Administración considera que los importes en libros de los activos y pasivos financieros reconocidos al costo amortizado en los estados financieros </w:t>
      </w:r>
      <w:r w:rsidR="004C05BF" w:rsidRPr="0074154F">
        <w:rPr>
          <w:rFonts w:ascii="Arial" w:hAnsi="Arial" w:cs="Arial"/>
          <w:bCs/>
          <w:sz w:val="20"/>
          <w:szCs w:val="20"/>
        </w:rPr>
        <w:t>consolidados</w:t>
      </w:r>
      <w:r w:rsidR="00477714" w:rsidRPr="0074154F">
        <w:rPr>
          <w:rFonts w:ascii="Arial" w:hAnsi="Arial" w:cs="Arial"/>
          <w:bCs/>
          <w:sz w:val="20"/>
          <w:szCs w:val="20"/>
        </w:rPr>
        <w:t xml:space="preserve"> </w:t>
      </w:r>
      <w:r w:rsidRPr="0074154F">
        <w:rPr>
          <w:rFonts w:ascii="Arial" w:hAnsi="Arial" w:cs="Arial"/>
          <w:bCs/>
          <w:sz w:val="20"/>
          <w:szCs w:val="20"/>
        </w:rPr>
        <w:t>se aproximan a su valor razonable.</w:t>
      </w:r>
    </w:p>
    <w:p w14:paraId="245EC032" w14:textId="62000665" w:rsidR="001A321F" w:rsidRPr="0074154F" w:rsidRDefault="001A321F" w:rsidP="00FE0950">
      <w:pPr>
        <w:pStyle w:val="ListParagraph"/>
        <w:widowControl w:val="0"/>
        <w:spacing w:after="0" w:line="240" w:lineRule="auto"/>
        <w:ind w:left="1560"/>
        <w:jc w:val="both"/>
        <w:rPr>
          <w:rFonts w:ascii="Arial" w:hAnsi="Arial" w:cs="Arial"/>
          <w:sz w:val="20"/>
          <w:szCs w:val="20"/>
        </w:rPr>
      </w:pPr>
    </w:p>
    <w:p w14:paraId="2B22D8CD" w14:textId="335A75D8" w:rsidR="000F199D" w:rsidRPr="0074154F" w:rsidRDefault="000F199D"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PATRIMONIO</w:t>
      </w:r>
    </w:p>
    <w:p w14:paraId="72E4097C" w14:textId="77777777" w:rsidR="000F199D" w:rsidRPr="0074154F" w:rsidRDefault="000F199D" w:rsidP="00413455">
      <w:pPr>
        <w:widowControl w:val="0"/>
        <w:spacing w:after="0" w:line="240" w:lineRule="auto"/>
        <w:ind w:left="567"/>
        <w:jc w:val="both"/>
        <w:rPr>
          <w:rFonts w:ascii="Arial" w:hAnsi="Arial" w:cs="Arial"/>
          <w:sz w:val="20"/>
          <w:szCs w:val="20"/>
          <w:lang w:eastAsia="es-EC"/>
        </w:rPr>
      </w:pPr>
    </w:p>
    <w:p w14:paraId="314CD228" w14:textId="121C3F3D" w:rsidR="000F199D" w:rsidRPr="0074154F" w:rsidRDefault="00991871" w:rsidP="00413455">
      <w:pPr>
        <w:spacing w:after="0" w:line="240" w:lineRule="auto"/>
        <w:ind w:left="567"/>
        <w:contextualSpacing/>
        <w:jc w:val="both"/>
        <w:rPr>
          <w:rFonts w:ascii="Arial" w:hAnsi="Arial" w:cs="Arial"/>
          <w:bCs/>
          <w:sz w:val="20"/>
          <w:szCs w:val="20"/>
        </w:rPr>
      </w:pPr>
      <w:r w:rsidRPr="0074154F">
        <w:rPr>
          <w:rFonts w:ascii="Arial" w:hAnsi="Arial" w:cs="Arial"/>
          <w:b/>
          <w:sz w:val="20"/>
          <w:szCs w:val="20"/>
          <w:u w:val="single"/>
        </w:rPr>
        <w:t xml:space="preserve">Capital </w:t>
      </w:r>
      <w:proofErr w:type="gramStart"/>
      <w:r w:rsidRPr="0074154F">
        <w:rPr>
          <w:rFonts w:ascii="Arial" w:hAnsi="Arial" w:cs="Arial"/>
          <w:b/>
          <w:sz w:val="20"/>
          <w:szCs w:val="20"/>
          <w:u w:val="single"/>
        </w:rPr>
        <w:t>social</w:t>
      </w:r>
      <w:r w:rsidR="0088709B" w:rsidRPr="0074154F">
        <w:rPr>
          <w:rFonts w:ascii="Arial" w:hAnsi="Arial" w:cs="Arial"/>
          <w:sz w:val="20"/>
          <w:szCs w:val="20"/>
        </w:rPr>
        <w:t>.</w:t>
      </w:r>
      <w:r w:rsidR="008365F9" w:rsidRPr="0074154F">
        <w:rPr>
          <w:rFonts w:ascii="Arial" w:hAnsi="Arial" w:cs="Arial"/>
          <w:sz w:val="20"/>
          <w:szCs w:val="20"/>
        </w:rPr>
        <w:t>-</w:t>
      </w:r>
      <w:proofErr w:type="gramEnd"/>
      <w:r w:rsidR="000F199D" w:rsidRPr="0074154F">
        <w:rPr>
          <w:rFonts w:ascii="Arial" w:hAnsi="Arial" w:cs="Arial"/>
          <w:b/>
          <w:sz w:val="20"/>
          <w:szCs w:val="20"/>
        </w:rPr>
        <w:t xml:space="preserve"> </w:t>
      </w:r>
      <w:r w:rsidR="0088709B" w:rsidRPr="0074154F">
        <w:rPr>
          <w:rFonts w:ascii="Arial" w:hAnsi="Arial" w:cs="Arial"/>
          <w:bCs/>
          <w:sz w:val="20"/>
          <w:szCs w:val="20"/>
        </w:rPr>
        <w:t>Es</w:t>
      </w:r>
      <w:r w:rsidR="000F199D" w:rsidRPr="0074154F">
        <w:rPr>
          <w:rFonts w:ascii="Arial" w:hAnsi="Arial" w:cs="Arial"/>
          <w:bCs/>
          <w:sz w:val="20"/>
          <w:szCs w:val="20"/>
        </w:rPr>
        <w:t xml:space="preserve">tá constituido por </w:t>
      </w:r>
      <w:r w:rsidR="008A4341">
        <w:rPr>
          <w:rFonts w:ascii="Arial" w:hAnsi="Arial" w:cs="Arial"/>
          <w:bCs/>
          <w:sz w:val="20"/>
          <w:szCs w:val="20"/>
        </w:rPr>
        <w:t>40</w:t>
      </w:r>
      <w:r w:rsidR="000F199D" w:rsidRPr="0074154F">
        <w:rPr>
          <w:rFonts w:ascii="Arial" w:hAnsi="Arial" w:cs="Arial"/>
          <w:bCs/>
          <w:sz w:val="20"/>
          <w:szCs w:val="20"/>
        </w:rPr>
        <w:t>,</w:t>
      </w:r>
      <w:r w:rsidR="008A4341">
        <w:rPr>
          <w:rFonts w:ascii="Arial" w:hAnsi="Arial" w:cs="Arial"/>
          <w:bCs/>
          <w:sz w:val="20"/>
          <w:szCs w:val="20"/>
        </w:rPr>
        <w:t>193</w:t>
      </w:r>
      <w:r w:rsidR="0068439D" w:rsidRPr="0074154F">
        <w:rPr>
          <w:rFonts w:ascii="Arial" w:hAnsi="Arial" w:cs="Arial"/>
          <w:bCs/>
          <w:sz w:val="20"/>
          <w:szCs w:val="20"/>
        </w:rPr>
        <w:t>,</w:t>
      </w:r>
      <w:r w:rsidR="008A4341">
        <w:rPr>
          <w:rFonts w:ascii="Arial" w:hAnsi="Arial" w:cs="Arial"/>
          <w:bCs/>
          <w:sz w:val="20"/>
          <w:szCs w:val="20"/>
        </w:rPr>
        <w:t>359</w:t>
      </w:r>
      <w:r w:rsidR="000F199D" w:rsidRPr="0074154F">
        <w:rPr>
          <w:rFonts w:ascii="Arial" w:hAnsi="Arial" w:cs="Arial"/>
          <w:bCs/>
          <w:sz w:val="20"/>
          <w:szCs w:val="20"/>
        </w:rPr>
        <w:t xml:space="preserve"> acciones ordinarias, pagadas y en circulación con un valor nominal de US$1</w:t>
      </w:r>
      <w:r w:rsidR="001F3BDF" w:rsidRPr="0074154F">
        <w:rPr>
          <w:rFonts w:ascii="Arial" w:hAnsi="Arial" w:cs="Arial"/>
          <w:bCs/>
          <w:sz w:val="20"/>
          <w:szCs w:val="20"/>
        </w:rPr>
        <w:t>.</w:t>
      </w:r>
      <w:r w:rsidR="000F199D" w:rsidRPr="0074154F">
        <w:rPr>
          <w:rFonts w:ascii="Arial" w:hAnsi="Arial" w:cs="Arial"/>
          <w:bCs/>
          <w:sz w:val="20"/>
          <w:szCs w:val="20"/>
        </w:rPr>
        <w:t>00 cada una.</w:t>
      </w:r>
    </w:p>
    <w:p w14:paraId="269DD028" w14:textId="0F476287" w:rsidR="003322E2" w:rsidRPr="0074154F" w:rsidRDefault="003322E2" w:rsidP="00413455">
      <w:pPr>
        <w:spacing w:after="0" w:line="240" w:lineRule="auto"/>
        <w:ind w:left="567"/>
        <w:contextualSpacing/>
        <w:jc w:val="both"/>
        <w:rPr>
          <w:rFonts w:ascii="Arial" w:hAnsi="Arial" w:cs="Arial"/>
          <w:bCs/>
          <w:sz w:val="20"/>
          <w:szCs w:val="20"/>
        </w:rPr>
      </w:pPr>
    </w:p>
    <w:p w14:paraId="5C0E7886" w14:textId="39E62205" w:rsidR="003322E2" w:rsidRDefault="00907EA6" w:rsidP="003322E2">
      <w:pPr>
        <w:pStyle w:val="ListParagraph"/>
        <w:autoSpaceDE w:val="0"/>
        <w:autoSpaceDN w:val="0"/>
        <w:adjustRightInd w:val="0"/>
        <w:spacing w:after="0" w:line="240" w:lineRule="auto"/>
        <w:ind w:left="567"/>
        <w:jc w:val="both"/>
        <w:rPr>
          <w:rFonts w:ascii="Arial" w:hAnsi="Arial" w:cs="Arial"/>
          <w:sz w:val="20"/>
          <w:szCs w:val="20"/>
        </w:rPr>
      </w:pPr>
      <w:r w:rsidRPr="005F0AB6">
        <w:rPr>
          <w:rFonts w:ascii="Arial" w:hAnsi="Arial" w:cs="Arial"/>
          <w:sz w:val="20"/>
          <w:szCs w:val="20"/>
        </w:rPr>
        <w:t>Con fecha 20 de enero del 2020, se celebró el Acta de Junta General Universal y Extraordinaria resuelve dar en cumplimiento a la sentencia mediante auto dictada el 20 de noviembre del 2019 con oficio No. 09332-2019-117701-Oficio-439182019 referente al aumento de capital por           US$6.1 millones y el 29 de diciembre del 2020, se celebró el Acta de Junta General Universal y Extraordinaria de Accionistas para conocer y resolver acerca de la disminución de capital social de Telconet S.A. por US$21.6 millones y la respectiva reforma del estatuto social.</w:t>
      </w:r>
    </w:p>
    <w:p w14:paraId="4CB3FD9F" w14:textId="77777777" w:rsidR="008146FA" w:rsidRPr="0074154F" w:rsidRDefault="008146FA" w:rsidP="003322E2">
      <w:pPr>
        <w:pStyle w:val="ListParagraph"/>
        <w:autoSpaceDE w:val="0"/>
        <w:autoSpaceDN w:val="0"/>
        <w:adjustRightInd w:val="0"/>
        <w:spacing w:after="0" w:line="240" w:lineRule="auto"/>
        <w:ind w:left="567"/>
        <w:jc w:val="both"/>
        <w:rPr>
          <w:rFonts w:ascii="Arial" w:hAnsi="Arial" w:cs="Arial"/>
          <w:sz w:val="20"/>
          <w:szCs w:val="20"/>
        </w:rPr>
      </w:pPr>
    </w:p>
    <w:p w14:paraId="1BA1DD7A" w14:textId="7597CFDE" w:rsidR="003322E2" w:rsidRPr="0074154F" w:rsidRDefault="003322E2" w:rsidP="003322E2">
      <w:pPr>
        <w:pStyle w:val="ListParagraph"/>
        <w:autoSpaceDE w:val="0"/>
        <w:autoSpaceDN w:val="0"/>
        <w:adjustRightInd w:val="0"/>
        <w:spacing w:after="0" w:line="240" w:lineRule="auto"/>
        <w:ind w:left="567"/>
        <w:jc w:val="both"/>
        <w:rPr>
          <w:rFonts w:ascii="Arial" w:hAnsi="Arial" w:cs="Arial"/>
          <w:sz w:val="20"/>
          <w:szCs w:val="20"/>
        </w:rPr>
      </w:pPr>
      <w:r w:rsidRPr="0074154F">
        <w:rPr>
          <w:rFonts w:ascii="Arial" w:hAnsi="Arial" w:cs="Arial"/>
          <w:sz w:val="20"/>
          <w:szCs w:val="20"/>
        </w:rPr>
        <w:t xml:space="preserve">El accionista Sr. Marion Tomislav Topic Granados renuncia a su derecho de reparto por la devolución de aportes y no será proporcional al capital pagado por cada accionista, pues la totalidad de las acciones que se retiran del capital social corresponden al accionista Sr. Jan Tomislav Topic Feraud, de manera que la integridad de la devolución por la reducción de capital se la deberá realizar íntegramente al referido accionista, quedando su participación accionaria reducida a US$13.8 millones.  </w:t>
      </w:r>
    </w:p>
    <w:p w14:paraId="2BBA5E46" w14:textId="722C39BF" w:rsidR="003322E2" w:rsidRDefault="003322E2" w:rsidP="003322E2">
      <w:pPr>
        <w:spacing w:after="0" w:line="240" w:lineRule="auto"/>
        <w:ind w:left="567"/>
        <w:contextualSpacing/>
        <w:jc w:val="both"/>
        <w:rPr>
          <w:rFonts w:ascii="Arial" w:hAnsi="Arial" w:cs="Arial"/>
          <w:sz w:val="20"/>
          <w:szCs w:val="20"/>
        </w:rPr>
      </w:pPr>
    </w:p>
    <w:p w14:paraId="27BF6BD0" w14:textId="6938B45E" w:rsidR="003322E2" w:rsidRPr="0074154F" w:rsidRDefault="00EF6DE1" w:rsidP="003322E2">
      <w:pPr>
        <w:spacing w:after="0" w:line="240" w:lineRule="auto"/>
        <w:ind w:left="567"/>
        <w:contextualSpacing/>
        <w:jc w:val="both"/>
        <w:rPr>
          <w:rFonts w:ascii="Arial" w:hAnsi="Arial" w:cs="Arial"/>
          <w:sz w:val="20"/>
          <w:szCs w:val="20"/>
        </w:rPr>
      </w:pPr>
      <w:r w:rsidRPr="0074154F">
        <w:rPr>
          <w:rFonts w:ascii="Arial" w:hAnsi="Arial" w:cs="Arial"/>
          <w:sz w:val="20"/>
          <w:szCs w:val="20"/>
        </w:rPr>
        <w:t xml:space="preserve">La devolución de aportes por US$21.6 millones se pagará de la siguiente forma:                                   (a) US$5.8 millones mediante la cesión de derechos del crédito registrado en la cuenta contable denominada </w:t>
      </w:r>
      <w:proofErr w:type="spellStart"/>
      <w:r w:rsidRPr="0074154F">
        <w:rPr>
          <w:rFonts w:ascii="Arial" w:hAnsi="Arial" w:cs="Arial"/>
          <w:sz w:val="20"/>
          <w:szCs w:val="20"/>
        </w:rPr>
        <w:t>Bruxedkin</w:t>
      </w:r>
      <w:proofErr w:type="spellEnd"/>
      <w:r w:rsidRPr="0074154F">
        <w:rPr>
          <w:rFonts w:ascii="Arial" w:hAnsi="Arial" w:cs="Arial"/>
          <w:sz w:val="20"/>
          <w:szCs w:val="20"/>
        </w:rPr>
        <w:t xml:space="preserve"> S.A.; (b) US$2.1 millones mediante la cesión de derechos del crédito registrado en la cuenta contable denominada </w:t>
      </w:r>
      <w:proofErr w:type="spellStart"/>
      <w:r w:rsidRPr="0074154F">
        <w:rPr>
          <w:rFonts w:ascii="Arial" w:hAnsi="Arial" w:cs="Arial"/>
          <w:sz w:val="20"/>
          <w:szCs w:val="20"/>
        </w:rPr>
        <w:t>Transcorpecuador</w:t>
      </w:r>
      <w:proofErr w:type="spellEnd"/>
      <w:r w:rsidRPr="0074154F">
        <w:rPr>
          <w:rFonts w:ascii="Arial" w:hAnsi="Arial" w:cs="Arial"/>
          <w:sz w:val="20"/>
          <w:szCs w:val="20"/>
        </w:rPr>
        <w:t xml:space="preserve">; (c) US$11.5 millones mediante la cesión parcial de los derechos sobre el depósito provisional de la Compañía en la cuenta </w:t>
      </w:r>
      <w:proofErr w:type="spellStart"/>
      <w:r w:rsidRPr="0074154F">
        <w:rPr>
          <w:rFonts w:ascii="Arial" w:hAnsi="Arial" w:cs="Arial"/>
          <w:sz w:val="20"/>
          <w:szCs w:val="20"/>
        </w:rPr>
        <w:t>Inmobiliar</w:t>
      </w:r>
      <w:proofErr w:type="spellEnd"/>
      <w:r w:rsidRPr="0074154F">
        <w:rPr>
          <w:rFonts w:ascii="Arial" w:hAnsi="Arial" w:cs="Arial"/>
          <w:sz w:val="20"/>
          <w:szCs w:val="20"/>
        </w:rPr>
        <w:t xml:space="preserve">, conforme a lo ordenado por el Juez de Garantías Penales como medida cautelar al Expediente No. 09281-2019-00096G de la Unidad Judicial Penal de Delitos Flagrantes                        de Guayaquil; y (d) US$2.2 millones mediante la compensación de la cuenta por cobrar al accionista. El nuevo capital social de la Compañía quedaría integrado de la siguiente manera:          Sr. Jan Tomislav Topic Feraud con 13.8 millones de acciones (64% del paquete accionario) y el Sr. Marion </w:t>
      </w:r>
      <w:proofErr w:type="spellStart"/>
      <w:r w:rsidRPr="0074154F">
        <w:rPr>
          <w:rFonts w:ascii="Arial" w:hAnsi="Arial" w:cs="Arial"/>
          <w:sz w:val="20"/>
          <w:szCs w:val="20"/>
        </w:rPr>
        <w:t>Tomislva</w:t>
      </w:r>
      <w:proofErr w:type="spellEnd"/>
      <w:r w:rsidRPr="0074154F">
        <w:rPr>
          <w:rFonts w:ascii="Arial" w:hAnsi="Arial" w:cs="Arial"/>
          <w:sz w:val="20"/>
          <w:szCs w:val="20"/>
        </w:rPr>
        <w:t xml:space="preserve"> Topic Granados con 7.8 millones de acciones (36% del paquete accionario), siendo todas las acciones ordinarias y nominativas de un valor nominal de US$1.00 cada una. Hasta la fecha de emisión de este informe, la Compañía en conjunto con sus asesores legales, se encuentran en proceso de obtener la aprobación ante el organismo de control la disminución del capital y la nueva composición accionaria es como sigue:</w:t>
      </w:r>
    </w:p>
    <w:p w14:paraId="66409E3C" w14:textId="58034C05" w:rsidR="00F16097" w:rsidRPr="0074154F" w:rsidRDefault="00F16097" w:rsidP="003322E2">
      <w:pPr>
        <w:spacing w:after="0" w:line="240" w:lineRule="auto"/>
        <w:ind w:left="567"/>
        <w:contextualSpacing/>
        <w:jc w:val="both"/>
        <w:rPr>
          <w:rFonts w:ascii="Arial" w:hAnsi="Arial" w:cs="Arial"/>
          <w:sz w:val="20"/>
          <w:szCs w:val="20"/>
        </w:rPr>
      </w:pPr>
    </w:p>
    <w:tbl>
      <w:tblPr>
        <w:tblW w:w="8409" w:type="dxa"/>
        <w:jc w:val="right"/>
        <w:tblLayout w:type="fixed"/>
        <w:tblCellMar>
          <w:left w:w="70" w:type="dxa"/>
          <w:right w:w="70" w:type="dxa"/>
        </w:tblCellMar>
        <w:tblLook w:val="04A0" w:firstRow="1" w:lastRow="0" w:firstColumn="1" w:lastColumn="0" w:noHBand="0" w:noVBand="1"/>
      </w:tblPr>
      <w:tblGrid>
        <w:gridCol w:w="3402"/>
        <w:gridCol w:w="164"/>
        <w:gridCol w:w="1502"/>
        <w:gridCol w:w="177"/>
        <w:gridCol w:w="1502"/>
        <w:gridCol w:w="160"/>
        <w:gridCol w:w="1502"/>
      </w:tblGrid>
      <w:tr w:rsidR="00F16097" w:rsidRPr="0074154F" w14:paraId="6CB9A0FA" w14:textId="16F84435" w:rsidTr="003322E2">
        <w:trPr>
          <w:trHeight w:val="283"/>
          <w:jc w:val="right"/>
        </w:trPr>
        <w:tc>
          <w:tcPr>
            <w:tcW w:w="3402" w:type="dxa"/>
            <w:tcBorders>
              <w:top w:val="nil"/>
              <w:left w:val="nil"/>
              <w:bottom w:val="single" w:sz="8" w:space="0" w:color="auto"/>
              <w:right w:val="nil"/>
            </w:tcBorders>
            <w:shd w:val="clear" w:color="auto" w:fill="auto"/>
            <w:noWrap/>
            <w:vAlign w:val="bottom"/>
            <w:hideMark/>
          </w:tcPr>
          <w:p w14:paraId="3676CDBB" w14:textId="00014D0E" w:rsidR="002D5BCF" w:rsidRPr="0074154F" w:rsidRDefault="002D5BCF" w:rsidP="00A52BCD">
            <w:pPr>
              <w:spacing w:after="0" w:line="240" w:lineRule="auto"/>
              <w:ind w:left="-63"/>
              <w:rPr>
                <w:rFonts w:ascii="Arial" w:eastAsia="Times New Roman" w:hAnsi="Arial" w:cs="Arial"/>
                <w:b/>
                <w:bCs/>
                <w:color w:val="000000" w:themeColor="text1"/>
                <w:sz w:val="20"/>
                <w:szCs w:val="20"/>
                <w:lang w:val="es-MX" w:eastAsia="es-MX"/>
              </w:rPr>
            </w:pPr>
            <w:r w:rsidRPr="0074154F">
              <w:rPr>
                <w:rFonts w:ascii="Arial" w:hAnsi="Arial" w:cs="Arial"/>
                <w:b/>
                <w:bCs/>
                <w:color w:val="000000" w:themeColor="text1"/>
                <w:sz w:val="20"/>
                <w:szCs w:val="20"/>
              </w:rPr>
              <w:br w:type="page"/>
            </w:r>
            <w:r w:rsidRPr="0074154F">
              <w:rPr>
                <w:rFonts w:ascii="Arial" w:eastAsia="Times New Roman" w:hAnsi="Arial" w:cs="Arial"/>
                <w:b/>
                <w:bCs/>
                <w:color w:val="000000" w:themeColor="text1"/>
                <w:sz w:val="20"/>
                <w:szCs w:val="20"/>
                <w:lang w:val="es-MX" w:eastAsia="es-MX"/>
              </w:rPr>
              <w:t>Nombre</w:t>
            </w:r>
          </w:p>
        </w:tc>
        <w:tc>
          <w:tcPr>
            <w:tcW w:w="164" w:type="dxa"/>
            <w:tcBorders>
              <w:top w:val="nil"/>
              <w:left w:val="nil"/>
              <w:right w:val="nil"/>
            </w:tcBorders>
          </w:tcPr>
          <w:p w14:paraId="53B7CE81" w14:textId="77777777"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06BF3EB4" w14:textId="4980227C"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val="es-MX" w:eastAsia="es-MX"/>
              </w:rPr>
            </w:pPr>
            <w:r w:rsidRPr="0074154F">
              <w:rPr>
                <w:rFonts w:ascii="Arial" w:eastAsia="Times New Roman" w:hAnsi="Arial" w:cs="Arial"/>
                <w:b/>
                <w:bCs/>
                <w:color w:val="000000" w:themeColor="text1"/>
                <w:sz w:val="20"/>
                <w:szCs w:val="20"/>
                <w:lang w:eastAsia="es-EC"/>
              </w:rPr>
              <w:t>Nacionalidad</w:t>
            </w:r>
          </w:p>
        </w:tc>
        <w:tc>
          <w:tcPr>
            <w:tcW w:w="177" w:type="dxa"/>
            <w:tcBorders>
              <w:top w:val="nil"/>
              <w:left w:val="nil"/>
              <w:right w:val="nil"/>
            </w:tcBorders>
            <w:vAlign w:val="bottom"/>
          </w:tcPr>
          <w:p w14:paraId="71D5229B" w14:textId="77777777"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val="es-MX" w:eastAsia="es-MX"/>
              </w:rPr>
            </w:pPr>
          </w:p>
        </w:tc>
        <w:tc>
          <w:tcPr>
            <w:tcW w:w="1502" w:type="dxa"/>
            <w:tcBorders>
              <w:top w:val="nil"/>
              <w:left w:val="nil"/>
              <w:bottom w:val="single" w:sz="8" w:space="0" w:color="auto"/>
              <w:right w:val="nil"/>
            </w:tcBorders>
            <w:shd w:val="clear" w:color="auto" w:fill="auto"/>
            <w:noWrap/>
            <w:vAlign w:val="bottom"/>
            <w:hideMark/>
          </w:tcPr>
          <w:p w14:paraId="189D7C63" w14:textId="62AEC7E7"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val="es-MX" w:eastAsia="es-MX"/>
              </w:rPr>
            </w:pPr>
            <w:r w:rsidRPr="0074154F">
              <w:rPr>
                <w:rFonts w:ascii="Arial" w:eastAsia="Times New Roman" w:hAnsi="Arial" w:cs="Arial"/>
                <w:b/>
                <w:bCs/>
                <w:color w:val="000000" w:themeColor="text1"/>
                <w:sz w:val="20"/>
                <w:szCs w:val="20"/>
                <w:lang w:eastAsia="es-EC"/>
              </w:rPr>
              <w:t>Acciones</w:t>
            </w:r>
          </w:p>
        </w:tc>
        <w:tc>
          <w:tcPr>
            <w:tcW w:w="160" w:type="dxa"/>
            <w:tcBorders>
              <w:top w:val="nil"/>
              <w:left w:val="nil"/>
              <w:right w:val="nil"/>
            </w:tcBorders>
          </w:tcPr>
          <w:p w14:paraId="185E6011" w14:textId="77777777"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eastAsia="es-EC"/>
              </w:rPr>
            </w:pPr>
          </w:p>
        </w:tc>
        <w:tc>
          <w:tcPr>
            <w:tcW w:w="1502" w:type="dxa"/>
            <w:tcBorders>
              <w:top w:val="nil"/>
              <w:left w:val="nil"/>
              <w:bottom w:val="single" w:sz="8" w:space="0" w:color="auto"/>
              <w:right w:val="nil"/>
            </w:tcBorders>
            <w:vAlign w:val="bottom"/>
          </w:tcPr>
          <w:p w14:paraId="4D5D68B0" w14:textId="17F4F14F" w:rsidR="002D5BCF" w:rsidRPr="0074154F" w:rsidRDefault="002D5BCF" w:rsidP="00A52BCD">
            <w:pPr>
              <w:spacing w:after="0" w:line="240" w:lineRule="auto"/>
              <w:ind w:right="70"/>
              <w:jc w:val="right"/>
              <w:rPr>
                <w:rFonts w:ascii="Arial" w:eastAsia="Times New Roman" w:hAnsi="Arial" w:cs="Arial"/>
                <w:b/>
                <w:bCs/>
                <w:color w:val="000000" w:themeColor="text1"/>
                <w:sz w:val="20"/>
                <w:szCs w:val="20"/>
                <w:lang w:eastAsia="es-EC"/>
              </w:rPr>
            </w:pPr>
            <w:r w:rsidRPr="0074154F">
              <w:rPr>
                <w:rFonts w:ascii="Arial" w:eastAsia="Times New Roman" w:hAnsi="Arial" w:cs="Arial"/>
                <w:b/>
                <w:bCs/>
                <w:color w:val="000000" w:themeColor="text1"/>
                <w:sz w:val="20"/>
                <w:szCs w:val="20"/>
                <w:lang w:eastAsia="es-EC"/>
              </w:rPr>
              <w:t>Participación</w:t>
            </w:r>
          </w:p>
        </w:tc>
      </w:tr>
      <w:tr w:rsidR="00F16097" w:rsidRPr="0074154F" w14:paraId="203C8A36" w14:textId="13861410" w:rsidTr="002B3B9F">
        <w:trPr>
          <w:trHeight w:val="129"/>
          <w:jc w:val="right"/>
        </w:trPr>
        <w:tc>
          <w:tcPr>
            <w:tcW w:w="3402" w:type="dxa"/>
            <w:tcBorders>
              <w:top w:val="single" w:sz="8" w:space="0" w:color="auto"/>
              <w:left w:val="nil"/>
              <w:bottom w:val="nil"/>
              <w:right w:val="nil"/>
            </w:tcBorders>
            <w:shd w:val="clear" w:color="auto" w:fill="auto"/>
            <w:noWrap/>
            <w:vAlign w:val="bottom"/>
          </w:tcPr>
          <w:p w14:paraId="28618DCF" w14:textId="77777777" w:rsidR="002D5BCF" w:rsidRPr="0074154F" w:rsidRDefault="002D5BCF" w:rsidP="00A52BCD">
            <w:pPr>
              <w:spacing w:after="0" w:line="240" w:lineRule="auto"/>
              <w:ind w:left="-63"/>
              <w:rPr>
                <w:rFonts w:ascii="Arial" w:eastAsia="Times New Roman" w:hAnsi="Arial" w:cs="Arial"/>
                <w:color w:val="000000" w:themeColor="text1"/>
                <w:sz w:val="20"/>
                <w:szCs w:val="20"/>
                <w:u w:val="single"/>
                <w:lang w:val="es-MX" w:eastAsia="es-MX"/>
              </w:rPr>
            </w:pPr>
          </w:p>
        </w:tc>
        <w:tc>
          <w:tcPr>
            <w:tcW w:w="164" w:type="dxa"/>
            <w:tcBorders>
              <w:left w:val="nil"/>
              <w:right w:val="nil"/>
            </w:tcBorders>
          </w:tcPr>
          <w:p w14:paraId="5F6EE3E7"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single" w:sz="8" w:space="0" w:color="auto"/>
              <w:left w:val="nil"/>
              <w:right w:val="nil"/>
            </w:tcBorders>
            <w:shd w:val="clear" w:color="auto" w:fill="auto"/>
            <w:noWrap/>
            <w:vAlign w:val="bottom"/>
          </w:tcPr>
          <w:p w14:paraId="418A02C2" w14:textId="4D7A1470"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77" w:type="dxa"/>
            <w:tcBorders>
              <w:left w:val="nil"/>
              <w:right w:val="nil"/>
            </w:tcBorders>
            <w:vAlign w:val="bottom"/>
          </w:tcPr>
          <w:p w14:paraId="6698AE08"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single" w:sz="8" w:space="0" w:color="auto"/>
              <w:left w:val="nil"/>
              <w:right w:val="nil"/>
            </w:tcBorders>
            <w:shd w:val="clear" w:color="auto" w:fill="auto"/>
            <w:noWrap/>
            <w:vAlign w:val="bottom"/>
          </w:tcPr>
          <w:p w14:paraId="0A5955C8"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60" w:type="dxa"/>
            <w:tcBorders>
              <w:left w:val="nil"/>
              <w:right w:val="nil"/>
            </w:tcBorders>
          </w:tcPr>
          <w:p w14:paraId="21902084"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single" w:sz="8" w:space="0" w:color="auto"/>
              <w:left w:val="nil"/>
              <w:right w:val="nil"/>
            </w:tcBorders>
          </w:tcPr>
          <w:p w14:paraId="19BC6169"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r>
      <w:tr w:rsidR="00F16097" w:rsidRPr="0074154F" w14:paraId="43257CF6" w14:textId="45850A5E" w:rsidTr="008008F0">
        <w:trPr>
          <w:trHeight w:val="283"/>
          <w:jc w:val="right"/>
        </w:trPr>
        <w:tc>
          <w:tcPr>
            <w:tcW w:w="3402" w:type="dxa"/>
            <w:tcBorders>
              <w:top w:val="nil"/>
              <w:left w:val="nil"/>
              <w:bottom w:val="nil"/>
              <w:right w:val="nil"/>
            </w:tcBorders>
            <w:shd w:val="clear" w:color="auto" w:fill="auto"/>
            <w:noWrap/>
            <w:vAlign w:val="bottom"/>
          </w:tcPr>
          <w:p w14:paraId="015FB787" w14:textId="7F64B9A2" w:rsidR="002D5BCF" w:rsidRPr="0074154F" w:rsidRDefault="002D5BCF" w:rsidP="00A52BCD">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Topic Feraud Jan Tomislav</w:t>
            </w:r>
          </w:p>
        </w:tc>
        <w:tc>
          <w:tcPr>
            <w:tcW w:w="164" w:type="dxa"/>
            <w:tcBorders>
              <w:left w:val="nil"/>
              <w:right w:val="nil"/>
            </w:tcBorders>
          </w:tcPr>
          <w:p w14:paraId="1D41F61A" w14:textId="77777777" w:rsidR="002D5BCF" w:rsidRPr="0074154F" w:rsidRDefault="002D5BCF"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501062B3" w14:textId="30BE774F" w:rsidR="002D5BCF" w:rsidRPr="0074154F" w:rsidRDefault="00ED2CF6" w:rsidP="00ED2CF6">
            <w:pPr>
              <w:tabs>
                <w:tab w:val="decimal" w:pos="1276"/>
              </w:tabs>
              <w:spacing w:after="0" w:line="240" w:lineRule="auto"/>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Ecuador</w:t>
            </w:r>
          </w:p>
        </w:tc>
        <w:tc>
          <w:tcPr>
            <w:tcW w:w="177" w:type="dxa"/>
            <w:tcBorders>
              <w:top w:val="nil"/>
              <w:left w:val="nil"/>
              <w:right w:val="nil"/>
            </w:tcBorders>
            <w:vAlign w:val="bottom"/>
          </w:tcPr>
          <w:p w14:paraId="1FA750C3"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right w:val="nil"/>
            </w:tcBorders>
            <w:shd w:val="clear" w:color="auto" w:fill="auto"/>
            <w:noWrap/>
            <w:vAlign w:val="bottom"/>
          </w:tcPr>
          <w:p w14:paraId="70D1FEB6" w14:textId="458A62EC" w:rsidR="002D5BCF" w:rsidRPr="0074154F" w:rsidRDefault="00F16097"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35,430,661</w:t>
            </w:r>
          </w:p>
        </w:tc>
        <w:tc>
          <w:tcPr>
            <w:tcW w:w="160" w:type="dxa"/>
            <w:tcBorders>
              <w:top w:val="nil"/>
              <w:left w:val="nil"/>
              <w:right w:val="nil"/>
            </w:tcBorders>
          </w:tcPr>
          <w:p w14:paraId="724F39E2" w14:textId="77777777" w:rsidR="002D5BCF" w:rsidRPr="0074154F" w:rsidRDefault="002D5BCF"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nil"/>
              <w:left w:val="nil"/>
              <w:right w:val="nil"/>
            </w:tcBorders>
          </w:tcPr>
          <w:p w14:paraId="1BEB8CF8" w14:textId="4BD5EE3F" w:rsidR="002D5BCF" w:rsidRPr="0074154F" w:rsidRDefault="00F16097"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82</w:t>
            </w:r>
            <w:r w:rsidR="00ED2CF6" w:rsidRPr="0074154F">
              <w:rPr>
                <w:rFonts w:ascii="Arial" w:eastAsia="Times New Roman" w:hAnsi="Arial" w:cs="Arial"/>
                <w:color w:val="000000" w:themeColor="text1"/>
                <w:sz w:val="20"/>
                <w:szCs w:val="20"/>
                <w:lang w:val="es-MX" w:eastAsia="es-MX"/>
              </w:rPr>
              <w:t>.00%</w:t>
            </w:r>
          </w:p>
        </w:tc>
      </w:tr>
      <w:tr w:rsidR="00F16097" w:rsidRPr="0074154F" w14:paraId="31EB84AD" w14:textId="368BD13F" w:rsidTr="008008F0">
        <w:trPr>
          <w:trHeight w:val="283"/>
          <w:jc w:val="right"/>
        </w:trPr>
        <w:tc>
          <w:tcPr>
            <w:tcW w:w="3402" w:type="dxa"/>
            <w:tcBorders>
              <w:top w:val="nil"/>
              <w:left w:val="nil"/>
              <w:bottom w:val="nil"/>
              <w:right w:val="nil"/>
            </w:tcBorders>
            <w:shd w:val="clear" w:color="auto" w:fill="auto"/>
            <w:noWrap/>
            <w:vAlign w:val="bottom"/>
          </w:tcPr>
          <w:p w14:paraId="55D6B560" w14:textId="1D22E7A2" w:rsidR="002D5BCF" w:rsidRPr="0074154F" w:rsidRDefault="002D5BCF" w:rsidP="00A52BCD">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Topic Granados Marion Tomislav</w:t>
            </w:r>
          </w:p>
        </w:tc>
        <w:tc>
          <w:tcPr>
            <w:tcW w:w="164" w:type="dxa"/>
            <w:tcBorders>
              <w:left w:val="nil"/>
              <w:right w:val="nil"/>
            </w:tcBorders>
          </w:tcPr>
          <w:p w14:paraId="1CCDA64C" w14:textId="77777777" w:rsidR="002D5BCF" w:rsidRPr="0074154F" w:rsidRDefault="002D5BCF" w:rsidP="00A52BCD">
            <w:pPr>
              <w:tabs>
                <w:tab w:val="decimal" w:pos="1276"/>
              </w:tabs>
              <w:spacing w:after="0" w:line="240" w:lineRule="auto"/>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28F9140B" w14:textId="1F8F9E4C" w:rsidR="002D5BCF" w:rsidRPr="0074154F" w:rsidRDefault="00ED2CF6" w:rsidP="00ED2CF6">
            <w:pPr>
              <w:tabs>
                <w:tab w:val="decimal" w:pos="1276"/>
              </w:tabs>
              <w:spacing w:after="0" w:line="240" w:lineRule="auto"/>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Ecuador</w:t>
            </w:r>
          </w:p>
        </w:tc>
        <w:tc>
          <w:tcPr>
            <w:tcW w:w="177" w:type="dxa"/>
            <w:tcBorders>
              <w:left w:val="nil"/>
              <w:bottom w:val="nil"/>
              <w:right w:val="nil"/>
            </w:tcBorders>
            <w:vAlign w:val="bottom"/>
          </w:tcPr>
          <w:p w14:paraId="7682C09C"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left w:val="nil"/>
              <w:bottom w:val="single" w:sz="4" w:space="0" w:color="auto"/>
              <w:right w:val="nil"/>
            </w:tcBorders>
            <w:shd w:val="clear" w:color="auto" w:fill="auto"/>
            <w:noWrap/>
            <w:vAlign w:val="bottom"/>
          </w:tcPr>
          <w:p w14:paraId="11241FFA" w14:textId="01E05350" w:rsidR="002D5BCF" w:rsidRPr="0074154F" w:rsidRDefault="00ED2CF6" w:rsidP="00ED2CF6">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7,</w:t>
            </w:r>
            <w:r w:rsidR="0019130A" w:rsidRPr="0074154F">
              <w:rPr>
                <w:rFonts w:ascii="Arial" w:eastAsia="Times New Roman" w:hAnsi="Arial" w:cs="Arial"/>
                <w:color w:val="000000" w:themeColor="text1"/>
                <w:sz w:val="20"/>
                <w:szCs w:val="20"/>
                <w:lang w:val="es-MX" w:eastAsia="es-MX"/>
              </w:rPr>
              <w:t>8</w:t>
            </w:r>
            <w:r w:rsidR="00F16097" w:rsidRPr="0074154F">
              <w:rPr>
                <w:rFonts w:ascii="Arial" w:eastAsia="Times New Roman" w:hAnsi="Arial" w:cs="Arial"/>
                <w:color w:val="000000" w:themeColor="text1"/>
                <w:sz w:val="20"/>
                <w:szCs w:val="20"/>
                <w:lang w:val="es-MX" w:eastAsia="es-MX"/>
              </w:rPr>
              <w:t>27</w:t>
            </w:r>
            <w:r w:rsidR="0019130A" w:rsidRPr="0074154F">
              <w:rPr>
                <w:rFonts w:ascii="Arial" w:eastAsia="Times New Roman" w:hAnsi="Arial" w:cs="Arial"/>
                <w:color w:val="000000" w:themeColor="text1"/>
                <w:sz w:val="20"/>
                <w:szCs w:val="20"/>
                <w:lang w:val="es-MX" w:eastAsia="es-MX"/>
              </w:rPr>
              <w:t>,</w:t>
            </w:r>
            <w:r w:rsidR="00F16097" w:rsidRPr="0074154F">
              <w:rPr>
                <w:rFonts w:ascii="Arial" w:eastAsia="Times New Roman" w:hAnsi="Arial" w:cs="Arial"/>
                <w:color w:val="000000" w:themeColor="text1"/>
                <w:sz w:val="20"/>
                <w:szCs w:val="20"/>
                <w:lang w:val="es-MX" w:eastAsia="es-MX"/>
              </w:rPr>
              <w:t>701</w:t>
            </w:r>
          </w:p>
        </w:tc>
        <w:tc>
          <w:tcPr>
            <w:tcW w:w="160" w:type="dxa"/>
            <w:tcBorders>
              <w:left w:val="nil"/>
              <w:right w:val="nil"/>
            </w:tcBorders>
          </w:tcPr>
          <w:p w14:paraId="31062F92" w14:textId="77777777" w:rsidR="002D5BCF" w:rsidRPr="0074154F" w:rsidRDefault="002D5BCF" w:rsidP="00A52BCD">
            <w:pPr>
              <w:tabs>
                <w:tab w:val="decimal" w:pos="1276"/>
              </w:tabs>
              <w:spacing w:after="0" w:line="240" w:lineRule="auto"/>
              <w:rPr>
                <w:rFonts w:ascii="Arial" w:eastAsia="Times New Roman" w:hAnsi="Arial" w:cs="Arial"/>
                <w:color w:val="000000" w:themeColor="text1"/>
                <w:sz w:val="20"/>
                <w:szCs w:val="20"/>
                <w:lang w:val="es-MX" w:eastAsia="es-MX"/>
              </w:rPr>
            </w:pPr>
          </w:p>
        </w:tc>
        <w:tc>
          <w:tcPr>
            <w:tcW w:w="1502" w:type="dxa"/>
            <w:tcBorders>
              <w:left w:val="nil"/>
              <w:bottom w:val="single" w:sz="4" w:space="0" w:color="auto"/>
              <w:right w:val="nil"/>
            </w:tcBorders>
          </w:tcPr>
          <w:p w14:paraId="2CE73ED8" w14:textId="25A499A2" w:rsidR="002D5BCF" w:rsidRPr="0074154F" w:rsidRDefault="00F16097" w:rsidP="00A52BCD">
            <w:pPr>
              <w:tabs>
                <w:tab w:val="decimal" w:pos="1276"/>
              </w:tabs>
              <w:spacing w:after="0" w:line="240" w:lineRule="auto"/>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18</w:t>
            </w:r>
            <w:r w:rsidR="00ED2CF6" w:rsidRPr="0074154F">
              <w:rPr>
                <w:rFonts w:ascii="Arial" w:eastAsia="Times New Roman" w:hAnsi="Arial" w:cs="Arial"/>
                <w:color w:val="000000" w:themeColor="text1"/>
                <w:sz w:val="20"/>
                <w:szCs w:val="20"/>
                <w:lang w:val="es-MX" w:eastAsia="es-MX"/>
              </w:rPr>
              <w:t>.00%</w:t>
            </w:r>
          </w:p>
        </w:tc>
      </w:tr>
      <w:tr w:rsidR="00F16097" w:rsidRPr="0074154F" w14:paraId="5D28C8BA" w14:textId="77777777" w:rsidTr="008008F0">
        <w:trPr>
          <w:trHeight w:val="283"/>
          <w:jc w:val="right"/>
        </w:trPr>
        <w:tc>
          <w:tcPr>
            <w:tcW w:w="3402" w:type="dxa"/>
            <w:tcBorders>
              <w:top w:val="nil"/>
              <w:left w:val="nil"/>
              <w:bottom w:val="nil"/>
              <w:right w:val="nil"/>
            </w:tcBorders>
            <w:shd w:val="clear" w:color="auto" w:fill="auto"/>
            <w:noWrap/>
            <w:vAlign w:val="bottom"/>
          </w:tcPr>
          <w:p w14:paraId="3EE31898" w14:textId="77777777" w:rsidR="00ED2CF6" w:rsidRPr="0074154F" w:rsidRDefault="00ED2CF6" w:rsidP="00A52BCD">
            <w:pPr>
              <w:spacing w:after="0" w:line="240" w:lineRule="auto"/>
              <w:ind w:left="-63"/>
              <w:rPr>
                <w:rFonts w:ascii="Arial" w:eastAsia="Times New Roman" w:hAnsi="Arial" w:cs="Arial"/>
                <w:color w:val="000000" w:themeColor="text1"/>
                <w:sz w:val="20"/>
                <w:szCs w:val="20"/>
                <w:lang w:val="es-MX" w:eastAsia="es-MX"/>
              </w:rPr>
            </w:pPr>
          </w:p>
        </w:tc>
        <w:tc>
          <w:tcPr>
            <w:tcW w:w="164" w:type="dxa"/>
            <w:tcBorders>
              <w:left w:val="nil"/>
              <w:right w:val="nil"/>
            </w:tcBorders>
          </w:tcPr>
          <w:p w14:paraId="29334893" w14:textId="77777777" w:rsidR="00ED2CF6" w:rsidRPr="0074154F" w:rsidRDefault="00ED2CF6" w:rsidP="00A52BCD">
            <w:pPr>
              <w:tabs>
                <w:tab w:val="decimal" w:pos="1276"/>
              </w:tabs>
              <w:spacing w:after="0" w:line="240" w:lineRule="auto"/>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2F740293" w14:textId="77777777" w:rsidR="00ED2CF6" w:rsidRPr="0074154F" w:rsidRDefault="00ED2CF6" w:rsidP="00ED2CF6">
            <w:pPr>
              <w:tabs>
                <w:tab w:val="decimal" w:pos="1276"/>
              </w:tabs>
              <w:spacing w:after="0" w:line="240" w:lineRule="auto"/>
              <w:rPr>
                <w:rFonts w:ascii="Arial" w:eastAsia="Times New Roman" w:hAnsi="Arial" w:cs="Arial"/>
                <w:color w:val="000000" w:themeColor="text1"/>
                <w:sz w:val="20"/>
                <w:szCs w:val="20"/>
                <w:lang w:val="es-MX" w:eastAsia="es-MX"/>
              </w:rPr>
            </w:pPr>
          </w:p>
        </w:tc>
        <w:tc>
          <w:tcPr>
            <w:tcW w:w="177" w:type="dxa"/>
            <w:tcBorders>
              <w:left w:val="nil"/>
              <w:bottom w:val="nil"/>
              <w:right w:val="nil"/>
            </w:tcBorders>
            <w:vAlign w:val="bottom"/>
          </w:tcPr>
          <w:p w14:paraId="10938CB5" w14:textId="77777777" w:rsidR="00ED2CF6" w:rsidRPr="0074154F" w:rsidRDefault="00ED2CF6"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single" w:sz="4" w:space="0" w:color="auto"/>
              <w:left w:val="nil"/>
              <w:right w:val="nil"/>
            </w:tcBorders>
            <w:shd w:val="clear" w:color="auto" w:fill="auto"/>
            <w:noWrap/>
            <w:vAlign w:val="bottom"/>
          </w:tcPr>
          <w:p w14:paraId="0789C44A" w14:textId="77777777" w:rsidR="00ED2CF6" w:rsidRPr="0074154F" w:rsidRDefault="00ED2CF6" w:rsidP="00ED2CF6">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60" w:type="dxa"/>
            <w:tcBorders>
              <w:left w:val="nil"/>
              <w:right w:val="nil"/>
            </w:tcBorders>
          </w:tcPr>
          <w:p w14:paraId="4B3BF7C4" w14:textId="77777777" w:rsidR="00ED2CF6" w:rsidRPr="0074154F" w:rsidRDefault="00ED2CF6" w:rsidP="00A52BCD">
            <w:pPr>
              <w:tabs>
                <w:tab w:val="decimal" w:pos="1276"/>
              </w:tabs>
              <w:spacing w:after="0" w:line="240" w:lineRule="auto"/>
              <w:rPr>
                <w:rFonts w:ascii="Arial" w:eastAsia="Times New Roman" w:hAnsi="Arial" w:cs="Arial"/>
                <w:color w:val="000000" w:themeColor="text1"/>
                <w:sz w:val="20"/>
                <w:szCs w:val="20"/>
                <w:lang w:val="es-MX" w:eastAsia="es-MX"/>
              </w:rPr>
            </w:pPr>
          </w:p>
        </w:tc>
        <w:tc>
          <w:tcPr>
            <w:tcW w:w="1502" w:type="dxa"/>
            <w:tcBorders>
              <w:top w:val="single" w:sz="4" w:space="0" w:color="auto"/>
              <w:left w:val="nil"/>
              <w:right w:val="nil"/>
            </w:tcBorders>
          </w:tcPr>
          <w:p w14:paraId="569CEC79" w14:textId="77777777" w:rsidR="00ED2CF6" w:rsidRPr="0074154F" w:rsidRDefault="00ED2CF6" w:rsidP="00A52BCD">
            <w:pPr>
              <w:tabs>
                <w:tab w:val="decimal" w:pos="1276"/>
              </w:tabs>
              <w:spacing w:after="0" w:line="240" w:lineRule="auto"/>
              <w:rPr>
                <w:rFonts w:ascii="Arial" w:eastAsia="Times New Roman" w:hAnsi="Arial" w:cs="Arial"/>
                <w:color w:val="000000" w:themeColor="text1"/>
                <w:sz w:val="20"/>
                <w:szCs w:val="20"/>
                <w:lang w:val="es-MX" w:eastAsia="es-MX"/>
              </w:rPr>
            </w:pPr>
          </w:p>
        </w:tc>
      </w:tr>
      <w:tr w:rsidR="00F16097" w:rsidRPr="0074154F" w14:paraId="4ADD7F2C" w14:textId="3E62BFF5" w:rsidTr="008008F0">
        <w:trPr>
          <w:trHeight w:val="283"/>
          <w:jc w:val="right"/>
        </w:trPr>
        <w:tc>
          <w:tcPr>
            <w:tcW w:w="3402" w:type="dxa"/>
            <w:tcBorders>
              <w:top w:val="nil"/>
              <w:left w:val="nil"/>
              <w:bottom w:val="nil"/>
              <w:right w:val="nil"/>
            </w:tcBorders>
            <w:shd w:val="clear" w:color="auto" w:fill="auto"/>
            <w:noWrap/>
            <w:vAlign w:val="bottom"/>
          </w:tcPr>
          <w:p w14:paraId="334DA5EF" w14:textId="77777777" w:rsidR="002D5BCF" w:rsidRPr="0074154F" w:rsidRDefault="002D5BCF" w:rsidP="00A52BCD">
            <w:pPr>
              <w:spacing w:after="0" w:line="240" w:lineRule="auto"/>
              <w:ind w:left="-63"/>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Total</w:t>
            </w:r>
          </w:p>
        </w:tc>
        <w:tc>
          <w:tcPr>
            <w:tcW w:w="164" w:type="dxa"/>
            <w:tcBorders>
              <w:left w:val="nil"/>
              <w:right w:val="nil"/>
            </w:tcBorders>
          </w:tcPr>
          <w:p w14:paraId="51B5A95C" w14:textId="77777777" w:rsidR="002D5BCF" w:rsidRPr="0074154F" w:rsidRDefault="002D5BCF"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502" w:type="dxa"/>
            <w:tcBorders>
              <w:left w:val="nil"/>
              <w:right w:val="nil"/>
            </w:tcBorders>
            <w:shd w:val="clear" w:color="auto" w:fill="auto"/>
            <w:noWrap/>
            <w:vAlign w:val="bottom"/>
          </w:tcPr>
          <w:p w14:paraId="44E3876F" w14:textId="453B5EC5" w:rsidR="002D5BCF" w:rsidRPr="0074154F" w:rsidRDefault="002D5BCF"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77" w:type="dxa"/>
            <w:tcBorders>
              <w:top w:val="nil"/>
              <w:left w:val="nil"/>
              <w:bottom w:val="nil"/>
              <w:right w:val="nil"/>
            </w:tcBorders>
            <w:vAlign w:val="bottom"/>
          </w:tcPr>
          <w:p w14:paraId="67CF7D58" w14:textId="77777777" w:rsidR="002D5BCF" w:rsidRPr="0074154F" w:rsidRDefault="002D5BCF" w:rsidP="00A52BCD">
            <w:pPr>
              <w:spacing w:after="0" w:line="240" w:lineRule="auto"/>
              <w:rPr>
                <w:rFonts w:ascii="Arial" w:eastAsia="Times New Roman" w:hAnsi="Arial" w:cs="Arial"/>
                <w:color w:val="000000" w:themeColor="text1"/>
                <w:sz w:val="20"/>
                <w:szCs w:val="20"/>
                <w:lang w:val="es-MX" w:eastAsia="es-MX"/>
              </w:rPr>
            </w:pPr>
          </w:p>
        </w:tc>
        <w:tc>
          <w:tcPr>
            <w:tcW w:w="1502" w:type="dxa"/>
            <w:tcBorders>
              <w:top w:val="nil"/>
              <w:left w:val="nil"/>
              <w:bottom w:val="double" w:sz="4" w:space="0" w:color="auto"/>
              <w:right w:val="nil"/>
            </w:tcBorders>
            <w:shd w:val="clear" w:color="auto" w:fill="auto"/>
            <w:noWrap/>
            <w:vAlign w:val="bottom"/>
          </w:tcPr>
          <w:p w14:paraId="1E0898E0" w14:textId="18D7542F" w:rsidR="002D5BCF" w:rsidRPr="0074154F" w:rsidRDefault="00F16097"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43</w:t>
            </w:r>
            <w:r w:rsidR="00ED2CF6" w:rsidRPr="0074154F">
              <w:rPr>
                <w:rFonts w:ascii="Arial" w:eastAsia="Times New Roman" w:hAnsi="Arial" w:cs="Arial"/>
                <w:color w:val="000000" w:themeColor="text1"/>
                <w:sz w:val="20"/>
                <w:szCs w:val="20"/>
                <w:lang w:val="es-MX" w:eastAsia="es-MX"/>
              </w:rPr>
              <w:t>,</w:t>
            </w:r>
            <w:r w:rsidRPr="0074154F">
              <w:rPr>
                <w:rFonts w:ascii="Arial" w:eastAsia="Times New Roman" w:hAnsi="Arial" w:cs="Arial"/>
                <w:color w:val="000000" w:themeColor="text1"/>
                <w:sz w:val="20"/>
                <w:szCs w:val="20"/>
                <w:lang w:val="es-MX" w:eastAsia="es-MX"/>
              </w:rPr>
              <w:t>458</w:t>
            </w:r>
            <w:r w:rsidR="00ED2CF6" w:rsidRPr="0074154F">
              <w:rPr>
                <w:rFonts w:ascii="Arial" w:eastAsia="Times New Roman" w:hAnsi="Arial" w:cs="Arial"/>
                <w:color w:val="000000" w:themeColor="text1"/>
                <w:sz w:val="20"/>
                <w:szCs w:val="20"/>
                <w:lang w:val="es-MX" w:eastAsia="es-MX"/>
              </w:rPr>
              <w:t>,</w:t>
            </w:r>
            <w:r w:rsidRPr="0074154F">
              <w:rPr>
                <w:rFonts w:ascii="Arial" w:eastAsia="Times New Roman" w:hAnsi="Arial" w:cs="Arial"/>
                <w:color w:val="000000" w:themeColor="text1"/>
                <w:sz w:val="20"/>
                <w:szCs w:val="20"/>
                <w:lang w:val="es-MX" w:eastAsia="es-MX"/>
              </w:rPr>
              <w:t>362</w:t>
            </w:r>
          </w:p>
        </w:tc>
        <w:tc>
          <w:tcPr>
            <w:tcW w:w="160" w:type="dxa"/>
            <w:tcBorders>
              <w:top w:val="nil"/>
              <w:left w:val="nil"/>
              <w:right w:val="nil"/>
            </w:tcBorders>
          </w:tcPr>
          <w:p w14:paraId="39AED3AF" w14:textId="77777777" w:rsidR="002D5BCF" w:rsidRPr="0074154F" w:rsidRDefault="002D5BCF"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p>
        </w:tc>
        <w:tc>
          <w:tcPr>
            <w:tcW w:w="1502" w:type="dxa"/>
            <w:tcBorders>
              <w:top w:val="nil"/>
              <w:left w:val="nil"/>
              <w:bottom w:val="double" w:sz="4" w:space="0" w:color="auto"/>
              <w:right w:val="nil"/>
            </w:tcBorders>
          </w:tcPr>
          <w:p w14:paraId="6D6AEB86" w14:textId="16A484D4" w:rsidR="002D5BCF" w:rsidRPr="0074154F" w:rsidRDefault="00ED2CF6" w:rsidP="00A52BCD">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74154F">
              <w:rPr>
                <w:rFonts w:ascii="Arial" w:eastAsia="Times New Roman" w:hAnsi="Arial" w:cs="Arial"/>
                <w:color w:val="000000" w:themeColor="text1"/>
                <w:sz w:val="20"/>
                <w:szCs w:val="20"/>
                <w:lang w:val="es-MX" w:eastAsia="es-MX"/>
              </w:rPr>
              <w:t>100.00%</w:t>
            </w:r>
          </w:p>
        </w:tc>
      </w:tr>
      <w:tr w:rsidR="00F16097" w:rsidRPr="0074154F" w14:paraId="4EA6BCED" w14:textId="39DA657F" w:rsidTr="002B3B9F">
        <w:trPr>
          <w:trHeight w:val="153"/>
          <w:jc w:val="right"/>
        </w:trPr>
        <w:tc>
          <w:tcPr>
            <w:tcW w:w="3402" w:type="dxa"/>
            <w:tcBorders>
              <w:top w:val="nil"/>
              <w:left w:val="nil"/>
              <w:bottom w:val="nil"/>
              <w:right w:val="nil"/>
            </w:tcBorders>
            <w:shd w:val="clear" w:color="auto" w:fill="auto"/>
            <w:noWrap/>
            <w:vAlign w:val="bottom"/>
          </w:tcPr>
          <w:p w14:paraId="2E64A4DC" w14:textId="77777777" w:rsidR="002D5BCF" w:rsidRPr="0074154F" w:rsidRDefault="002D5BCF" w:rsidP="00A52BCD">
            <w:pPr>
              <w:spacing w:after="0" w:line="240" w:lineRule="auto"/>
              <w:ind w:left="-63"/>
              <w:rPr>
                <w:rFonts w:ascii="Arial" w:eastAsia="Times New Roman" w:hAnsi="Arial" w:cs="Arial"/>
                <w:b/>
                <w:bCs/>
                <w:color w:val="000000" w:themeColor="text1"/>
                <w:sz w:val="20"/>
                <w:szCs w:val="20"/>
                <w:lang w:val="es-MX" w:eastAsia="es-MX"/>
              </w:rPr>
            </w:pPr>
          </w:p>
        </w:tc>
        <w:tc>
          <w:tcPr>
            <w:tcW w:w="164" w:type="dxa"/>
            <w:tcBorders>
              <w:left w:val="nil"/>
              <w:right w:val="nil"/>
            </w:tcBorders>
          </w:tcPr>
          <w:p w14:paraId="47B83D58" w14:textId="77777777" w:rsidR="002D5BCF" w:rsidRPr="0074154F" w:rsidRDefault="002D5BCF" w:rsidP="00A52BCD">
            <w:pPr>
              <w:tabs>
                <w:tab w:val="decimal" w:pos="1276"/>
              </w:tabs>
              <w:spacing w:after="0" w:line="240" w:lineRule="auto"/>
              <w:rPr>
                <w:rFonts w:ascii="Arial" w:eastAsia="Times New Roman" w:hAnsi="Arial" w:cs="Arial"/>
                <w:b/>
                <w:bCs/>
                <w:color w:val="000000" w:themeColor="text1"/>
                <w:sz w:val="20"/>
                <w:szCs w:val="20"/>
                <w:lang w:val="es-MX" w:eastAsia="es-MX"/>
              </w:rPr>
            </w:pPr>
          </w:p>
        </w:tc>
        <w:tc>
          <w:tcPr>
            <w:tcW w:w="1502" w:type="dxa"/>
            <w:tcBorders>
              <w:left w:val="nil"/>
              <w:right w:val="nil"/>
            </w:tcBorders>
            <w:shd w:val="clear" w:color="auto" w:fill="auto"/>
            <w:noWrap/>
            <w:vAlign w:val="bottom"/>
          </w:tcPr>
          <w:p w14:paraId="661558A5" w14:textId="412F1EAA" w:rsidR="002D5BCF" w:rsidRPr="0074154F" w:rsidRDefault="002D5BCF" w:rsidP="00A52BCD">
            <w:pPr>
              <w:tabs>
                <w:tab w:val="decimal" w:pos="1276"/>
              </w:tabs>
              <w:spacing w:after="0" w:line="240" w:lineRule="auto"/>
              <w:rPr>
                <w:rFonts w:ascii="Arial" w:eastAsia="Times New Roman" w:hAnsi="Arial" w:cs="Arial"/>
                <w:b/>
                <w:bCs/>
                <w:color w:val="000000" w:themeColor="text1"/>
                <w:sz w:val="20"/>
                <w:szCs w:val="20"/>
                <w:lang w:val="es-MX" w:eastAsia="es-MX"/>
              </w:rPr>
            </w:pPr>
          </w:p>
        </w:tc>
        <w:tc>
          <w:tcPr>
            <w:tcW w:w="177" w:type="dxa"/>
            <w:tcBorders>
              <w:top w:val="nil"/>
              <w:left w:val="nil"/>
              <w:right w:val="nil"/>
            </w:tcBorders>
            <w:vAlign w:val="bottom"/>
          </w:tcPr>
          <w:p w14:paraId="5BF6B224" w14:textId="77777777" w:rsidR="002D5BCF" w:rsidRPr="0074154F" w:rsidRDefault="002D5BCF" w:rsidP="00A52BCD">
            <w:pPr>
              <w:spacing w:after="0" w:line="240" w:lineRule="auto"/>
              <w:rPr>
                <w:rFonts w:ascii="Arial" w:eastAsia="Times New Roman" w:hAnsi="Arial" w:cs="Arial"/>
                <w:b/>
                <w:bCs/>
                <w:color w:val="000000" w:themeColor="text1"/>
                <w:sz w:val="20"/>
                <w:szCs w:val="20"/>
                <w:lang w:val="es-MX" w:eastAsia="es-MX"/>
              </w:rPr>
            </w:pPr>
          </w:p>
        </w:tc>
        <w:tc>
          <w:tcPr>
            <w:tcW w:w="1502" w:type="dxa"/>
            <w:tcBorders>
              <w:top w:val="double" w:sz="4" w:space="0" w:color="auto"/>
              <w:left w:val="nil"/>
              <w:right w:val="nil"/>
            </w:tcBorders>
            <w:shd w:val="clear" w:color="auto" w:fill="auto"/>
            <w:noWrap/>
            <w:vAlign w:val="bottom"/>
          </w:tcPr>
          <w:p w14:paraId="221D071E" w14:textId="77777777" w:rsidR="002D5BCF" w:rsidRPr="0074154F" w:rsidRDefault="002D5BCF" w:rsidP="00A52BCD">
            <w:pPr>
              <w:tabs>
                <w:tab w:val="decimal" w:pos="1276"/>
              </w:tabs>
              <w:spacing w:after="0" w:line="240" w:lineRule="auto"/>
              <w:rPr>
                <w:rFonts w:ascii="Arial" w:eastAsia="Times New Roman" w:hAnsi="Arial" w:cs="Arial"/>
                <w:b/>
                <w:bCs/>
                <w:color w:val="000000" w:themeColor="text1"/>
                <w:sz w:val="20"/>
                <w:szCs w:val="20"/>
                <w:lang w:val="es-MX" w:eastAsia="es-MX"/>
              </w:rPr>
            </w:pPr>
          </w:p>
        </w:tc>
        <w:tc>
          <w:tcPr>
            <w:tcW w:w="160" w:type="dxa"/>
            <w:tcBorders>
              <w:left w:val="nil"/>
              <w:right w:val="nil"/>
            </w:tcBorders>
          </w:tcPr>
          <w:p w14:paraId="0DAFABBE" w14:textId="77777777" w:rsidR="002D5BCF" w:rsidRPr="0074154F" w:rsidRDefault="002D5BCF" w:rsidP="00A52BCD">
            <w:pPr>
              <w:tabs>
                <w:tab w:val="decimal" w:pos="1276"/>
              </w:tabs>
              <w:spacing w:after="0" w:line="240" w:lineRule="auto"/>
              <w:rPr>
                <w:rFonts w:ascii="Arial" w:eastAsia="Times New Roman" w:hAnsi="Arial" w:cs="Arial"/>
                <w:b/>
                <w:bCs/>
                <w:color w:val="000000" w:themeColor="text1"/>
                <w:sz w:val="20"/>
                <w:szCs w:val="20"/>
                <w:lang w:val="es-MX" w:eastAsia="es-MX"/>
              </w:rPr>
            </w:pPr>
          </w:p>
        </w:tc>
        <w:tc>
          <w:tcPr>
            <w:tcW w:w="1502" w:type="dxa"/>
            <w:tcBorders>
              <w:top w:val="double" w:sz="4" w:space="0" w:color="auto"/>
              <w:left w:val="nil"/>
              <w:right w:val="nil"/>
            </w:tcBorders>
          </w:tcPr>
          <w:p w14:paraId="0A748FAF" w14:textId="77777777" w:rsidR="002D5BCF" w:rsidRPr="0074154F" w:rsidRDefault="002D5BCF" w:rsidP="00A52BCD">
            <w:pPr>
              <w:tabs>
                <w:tab w:val="decimal" w:pos="1276"/>
              </w:tabs>
              <w:spacing w:after="0" w:line="240" w:lineRule="auto"/>
              <w:rPr>
                <w:rFonts w:ascii="Arial" w:eastAsia="Times New Roman" w:hAnsi="Arial" w:cs="Arial"/>
                <w:b/>
                <w:bCs/>
                <w:color w:val="000000" w:themeColor="text1"/>
                <w:sz w:val="20"/>
                <w:szCs w:val="20"/>
                <w:lang w:val="es-MX" w:eastAsia="es-MX"/>
              </w:rPr>
            </w:pPr>
          </w:p>
        </w:tc>
      </w:tr>
    </w:tbl>
    <w:p w14:paraId="7E027075" w14:textId="0B9BDB0E" w:rsidR="00DA3BB5" w:rsidRPr="0074154F" w:rsidRDefault="00DA3BB5" w:rsidP="00413455">
      <w:pPr>
        <w:spacing w:after="0" w:line="240" w:lineRule="auto"/>
        <w:ind w:left="567"/>
        <w:contextualSpacing/>
        <w:jc w:val="both"/>
        <w:rPr>
          <w:rFonts w:ascii="Arial" w:hAnsi="Arial" w:cs="Arial"/>
          <w:b/>
          <w:sz w:val="20"/>
          <w:szCs w:val="20"/>
          <w:u w:val="single"/>
        </w:rPr>
      </w:pPr>
      <w:r w:rsidRPr="0074154F">
        <w:rPr>
          <w:rFonts w:ascii="Arial" w:hAnsi="Arial" w:cs="Arial"/>
          <w:b/>
          <w:sz w:val="20"/>
          <w:szCs w:val="20"/>
          <w:u w:val="single"/>
        </w:rPr>
        <w:t xml:space="preserve">Aportes para futuras </w:t>
      </w:r>
      <w:proofErr w:type="gramStart"/>
      <w:r w:rsidRPr="0074154F">
        <w:rPr>
          <w:rFonts w:ascii="Arial" w:hAnsi="Arial" w:cs="Arial"/>
          <w:b/>
          <w:sz w:val="20"/>
          <w:szCs w:val="20"/>
          <w:u w:val="single"/>
        </w:rPr>
        <w:t>capitalizaciones</w:t>
      </w:r>
      <w:r w:rsidRPr="0074154F">
        <w:rPr>
          <w:rFonts w:ascii="Arial" w:hAnsi="Arial" w:cs="Arial"/>
          <w:b/>
          <w:sz w:val="20"/>
          <w:szCs w:val="20"/>
        </w:rPr>
        <w:t>.</w:t>
      </w:r>
      <w:r w:rsidRPr="0074154F">
        <w:rPr>
          <w:rFonts w:ascii="Arial" w:hAnsi="Arial" w:cs="Arial"/>
          <w:sz w:val="20"/>
          <w:szCs w:val="20"/>
        </w:rPr>
        <w:t>-</w:t>
      </w:r>
      <w:proofErr w:type="gramEnd"/>
      <w:r w:rsidRPr="0074154F">
        <w:rPr>
          <w:rFonts w:ascii="Arial" w:hAnsi="Arial" w:cs="Arial"/>
          <w:sz w:val="20"/>
          <w:szCs w:val="20"/>
        </w:rPr>
        <w:t xml:space="preserve"> </w:t>
      </w:r>
      <w:r w:rsidR="003C5120" w:rsidRPr="0074154F">
        <w:rPr>
          <w:rFonts w:ascii="Arial" w:hAnsi="Arial" w:cs="Arial"/>
          <w:sz w:val="20"/>
          <w:szCs w:val="20"/>
        </w:rPr>
        <w:t xml:space="preserve">Mediante resolución No. SCVS-INC-DNASD-2019-00004038 de fecha 20 de mayo del 2019 la Superintendencia de Compañías, Valores y Seguros ordena la cancelación de la inscripción de fecha 22 de enero de 2013 en el Registro Mercantil del cantón Guayaquil del acto societario de aumento de capital y reforma de estatuto de la Compañía, por haberse constatado la existencia de infracciones a normas jurídicas </w:t>
      </w:r>
      <w:r w:rsidR="00EA16E1" w:rsidRPr="0074154F">
        <w:rPr>
          <w:rFonts w:ascii="Arial" w:hAnsi="Arial" w:cs="Arial"/>
          <w:sz w:val="20"/>
          <w:szCs w:val="20"/>
        </w:rPr>
        <w:t>vigentes. Por lo que la Compañía con fecha 1 de agosto del 2019 da de baja US$6</w:t>
      </w:r>
      <w:r w:rsidR="00AD020B" w:rsidRPr="0074154F">
        <w:rPr>
          <w:rFonts w:ascii="Arial" w:hAnsi="Arial" w:cs="Arial"/>
          <w:sz w:val="20"/>
          <w:szCs w:val="20"/>
        </w:rPr>
        <w:t>.</w:t>
      </w:r>
      <w:r w:rsidR="00EA16E1" w:rsidRPr="0074154F">
        <w:rPr>
          <w:rFonts w:ascii="Arial" w:hAnsi="Arial" w:cs="Arial"/>
          <w:sz w:val="20"/>
          <w:szCs w:val="20"/>
        </w:rPr>
        <w:t>1</w:t>
      </w:r>
      <w:r w:rsidR="00AD020B" w:rsidRPr="0074154F">
        <w:rPr>
          <w:rFonts w:ascii="Arial" w:hAnsi="Arial" w:cs="Arial"/>
          <w:sz w:val="20"/>
          <w:szCs w:val="20"/>
        </w:rPr>
        <w:t xml:space="preserve"> millones</w:t>
      </w:r>
      <w:r w:rsidR="00EA16E1" w:rsidRPr="0074154F">
        <w:rPr>
          <w:rFonts w:ascii="Arial" w:hAnsi="Arial" w:cs="Arial"/>
          <w:sz w:val="20"/>
          <w:szCs w:val="20"/>
        </w:rPr>
        <w:t xml:space="preserve"> contra la cuenta aportes para futuras capitalizaciones.</w:t>
      </w:r>
      <w:r w:rsidR="003C5120" w:rsidRPr="0074154F">
        <w:rPr>
          <w:rFonts w:ascii="Arial" w:hAnsi="Arial" w:cs="Arial"/>
          <w:sz w:val="20"/>
          <w:szCs w:val="20"/>
        </w:rPr>
        <w:t xml:space="preserve"> </w:t>
      </w:r>
    </w:p>
    <w:p w14:paraId="49BE8CDD" w14:textId="3068E132" w:rsidR="00DA3BB5" w:rsidRPr="0074154F" w:rsidRDefault="00DA3BB5" w:rsidP="00413455">
      <w:pPr>
        <w:spacing w:after="0" w:line="240" w:lineRule="auto"/>
        <w:ind w:left="567"/>
        <w:contextualSpacing/>
        <w:jc w:val="both"/>
        <w:rPr>
          <w:rFonts w:ascii="Arial" w:hAnsi="Arial" w:cs="Arial"/>
          <w:b/>
          <w:sz w:val="20"/>
          <w:szCs w:val="20"/>
          <w:u w:val="single"/>
        </w:rPr>
      </w:pPr>
    </w:p>
    <w:p w14:paraId="4294171A" w14:textId="20439067" w:rsidR="00EA16E1" w:rsidRPr="0074154F" w:rsidRDefault="00EA16E1" w:rsidP="00413455">
      <w:pPr>
        <w:spacing w:after="0" w:line="240" w:lineRule="auto"/>
        <w:ind w:left="567"/>
        <w:contextualSpacing/>
        <w:jc w:val="both"/>
        <w:rPr>
          <w:rFonts w:ascii="Arial" w:hAnsi="Arial" w:cs="Arial"/>
          <w:bCs/>
          <w:sz w:val="20"/>
          <w:szCs w:val="20"/>
        </w:rPr>
      </w:pPr>
      <w:r w:rsidRPr="0074154F">
        <w:rPr>
          <w:rFonts w:ascii="Arial" w:hAnsi="Arial" w:cs="Arial"/>
          <w:bCs/>
          <w:sz w:val="20"/>
          <w:szCs w:val="20"/>
        </w:rPr>
        <w:t>El 22 de mayo del 2019, el Gerente General de la Compañía present</w:t>
      </w:r>
      <w:r w:rsidR="003322E2" w:rsidRPr="0074154F">
        <w:rPr>
          <w:rFonts w:ascii="Arial" w:hAnsi="Arial" w:cs="Arial"/>
          <w:bCs/>
          <w:sz w:val="20"/>
          <w:szCs w:val="20"/>
        </w:rPr>
        <w:t>ó</w:t>
      </w:r>
      <w:r w:rsidRPr="0074154F">
        <w:rPr>
          <w:rFonts w:ascii="Arial" w:hAnsi="Arial" w:cs="Arial"/>
          <w:bCs/>
          <w:sz w:val="20"/>
          <w:szCs w:val="20"/>
        </w:rPr>
        <w:t xml:space="preserve"> una impugnación a la resolución anterior, posterior a esto el 30 de mayo del 2019, se emitió una providencia por parte de la </w:t>
      </w:r>
      <w:proofErr w:type="gramStart"/>
      <w:r w:rsidRPr="0074154F">
        <w:rPr>
          <w:rFonts w:ascii="Arial" w:hAnsi="Arial" w:cs="Arial"/>
          <w:bCs/>
          <w:sz w:val="20"/>
          <w:szCs w:val="20"/>
        </w:rPr>
        <w:t>Secretaria General</w:t>
      </w:r>
      <w:proofErr w:type="gramEnd"/>
      <w:r w:rsidRPr="0074154F">
        <w:rPr>
          <w:rFonts w:ascii="Arial" w:hAnsi="Arial" w:cs="Arial"/>
          <w:bCs/>
          <w:sz w:val="20"/>
          <w:szCs w:val="20"/>
        </w:rPr>
        <w:t xml:space="preserve"> en la cual se </w:t>
      </w:r>
      <w:r w:rsidR="00BF6922" w:rsidRPr="0074154F">
        <w:rPr>
          <w:rFonts w:ascii="Arial" w:hAnsi="Arial" w:cs="Arial"/>
          <w:bCs/>
          <w:sz w:val="20"/>
          <w:szCs w:val="20"/>
        </w:rPr>
        <w:t>solicitó</w:t>
      </w:r>
      <w:r w:rsidRPr="0074154F">
        <w:rPr>
          <w:rFonts w:ascii="Arial" w:hAnsi="Arial" w:cs="Arial"/>
          <w:bCs/>
          <w:sz w:val="20"/>
          <w:szCs w:val="20"/>
        </w:rPr>
        <w:t xml:space="preserve"> a Telconet S.A., la complementación y aclaración de su escrito de impugnación, siendo así que con fecha 5 de junio del 2019, se presentó la complementación de la solicitud.</w:t>
      </w:r>
    </w:p>
    <w:p w14:paraId="7C747D37" w14:textId="518B2CA1" w:rsidR="00EA16E1" w:rsidRPr="0074154F" w:rsidRDefault="00EA16E1" w:rsidP="00413455">
      <w:pPr>
        <w:spacing w:after="0" w:line="240" w:lineRule="auto"/>
        <w:ind w:left="567"/>
        <w:contextualSpacing/>
        <w:jc w:val="both"/>
        <w:rPr>
          <w:rFonts w:ascii="Arial" w:hAnsi="Arial" w:cs="Arial"/>
          <w:bCs/>
          <w:sz w:val="20"/>
          <w:szCs w:val="20"/>
        </w:rPr>
      </w:pPr>
      <w:r w:rsidRPr="0074154F">
        <w:rPr>
          <w:rFonts w:ascii="Arial" w:hAnsi="Arial" w:cs="Arial"/>
          <w:bCs/>
          <w:sz w:val="20"/>
          <w:szCs w:val="20"/>
        </w:rPr>
        <w:lastRenderedPageBreak/>
        <w:t xml:space="preserve">En base a la impugnación planteada, el 18 de julio del 2019, la Superintendencia de Compañías, Valores y Seguros, mediante resolución No. SCVS-INC-2019-00005732 resuelve negar el reclamo administrativo de la resolución No. SCVS-INC-DNASD-2019-00004038, ratifica dicha resolución en la que ordenó la cancelación del acto societario de aumento de capital y reforma de estatuto de la Compañía, ordena que se </w:t>
      </w:r>
      <w:r w:rsidR="001912A1" w:rsidRPr="0074154F">
        <w:rPr>
          <w:rFonts w:ascii="Arial" w:hAnsi="Arial" w:cs="Arial"/>
          <w:bCs/>
          <w:sz w:val="20"/>
          <w:szCs w:val="20"/>
        </w:rPr>
        <w:t>continúe</w:t>
      </w:r>
      <w:r w:rsidRPr="0074154F">
        <w:rPr>
          <w:rFonts w:ascii="Arial" w:hAnsi="Arial" w:cs="Arial"/>
          <w:bCs/>
          <w:sz w:val="20"/>
          <w:szCs w:val="20"/>
        </w:rPr>
        <w:t xml:space="preserve"> con la ejecución de la resolución, que se inscriba en el Registro Mercantil y disponer su comunicación.</w:t>
      </w:r>
    </w:p>
    <w:p w14:paraId="12C19334" w14:textId="77777777" w:rsidR="00EA16E1" w:rsidRPr="0074154F" w:rsidRDefault="00EA16E1" w:rsidP="00413455">
      <w:pPr>
        <w:spacing w:after="0" w:line="240" w:lineRule="auto"/>
        <w:ind w:left="567"/>
        <w:contextualSpacing/>
        <w:jc w:val="both"/>
        <w:rPr>
          <w:rFonts w:ascii="Arial" w:hAnsi="Arial" w:cs="Arial"/>
          <w:bCs/>
          <w:sz w:val="20"/>
          <w:szCs w:val="20"/>
        </w:rPr>
      </w:pPr>
    </w:p>
    <w:p w14:paraId="6F28AC6A" w14:textId="6B477CB0" w:rsidR="00EA16E1" w:rsidRPr="0074154F" w:rsidRDefault="00EA16E1" w:rsidP="00413455">
      <w:pPr>
        <w:spacing w:after="0" w:line="240" w:lineRule="auto"/>
        <w:ind w:left="567"/>
        <w:contextualSpacing/>
        <w:jc w:val="both"/>
        <w:rPr>
          <w:rFonts w:ascii="Arial" w:hAnsi="Arial" w:cs="Arial"/>
          <w:bCs/>
          <w:sz w:val="20"/>
          <w:szCs w:val="20"/>
        </w:rPr>
      </w:pPr>
      <w:r w:rsidRPr="0074154F">
        <w:rPr>
          <w:rFonts w:ascii="Arial" w:hAnsi="Arial" w:cs="Arial"/>
          <w:bCs/>
          <w:sz w:val="20"/>
          <w:szCs w:val="20"/>
        </w:rPr>
        <w:t xml:space="preserve">La Compañía </w:t>
      </w:r>
      <w:r w:rsidR="007247F8" w:rsidRPr="0074154F">
        <w:rPr>
          <w:rFonts w:ascii="Arial" w:hAnsi="Arial" w:cs="Arial"/>
          <w:bCs/>
          <w:sz w:val="20"/>
          <w:szCs w:val="20"/>
        </w:rPr>
        <w:t xml:space="preserve">presenta un recurso de apelación para el cual el 20 de noviembre de 2019 se dicta sentencia por los jueces de la sala especializada de lo penal, notificado mediante oficio </w:t>
      </w:r>
      <w:r w:rsidR="002B434B" w:rsidRPr="0074154F">
        <w:rPr>
          <w:rFonts w:ascii="Arial" w:hAnsi="Arial" w:cs="Arial"/>
          <w:bCs/>
          <w:sz w:val="20"/>
          <w:szCs w:val="20"/>
        </w:rPr>
        <w:t xml:space="preserve">         </w:t>
      </w:r>
      <w:r w:rsidR="007247F8" w:rsidRPr="0074154F">
        <w:rPr>
          <w:rFonts w:ascii="Arial" w:hAnsi="Arial" w:cs="Arial"/>
          <w:bCs/>
          <w:sz w:val="20"/>
          <w:szCs w:val="20"/>
        </w:rPr>
        <w:t>09332-2019-11701-oficio-43918-2019 de diciembre del 2019 que deja sin efecto la resolución No.</w:t>
      </w:r>
      <w:r w:rsidR="00F47613" w:rsidRPr="0074154F">
        <w:rPr>
          <w:rFonts w:ascii="Arial" w:hAnsi="Arial" w:cs="Arial"/>
          <w:bCs/>
          <w:sz w:val="20"/>
          <w:szCs w:val="20"/>
        </w:rPr>
        <w:t xml:space="preserve"> </w:t>
      </w:r>
      <w:r w:rsidR="007247F8" w:rsidRPr="0074154F">
        <w:rPr>
          <w:rFonts w:ascii="Arial" w:hAnsi="Arial" w:cs="Arial"/>
          <w:bCs/>
          <w:sz w:val="20"/>
          <w:szCs w:val="20"/>
        </w:rPr>
        <w:t>CVS-INC-DNASD-2019-00004038</w:t>
      </w:r>
      <w:r w:rsidRPr="0074154F">
        <w:rPr>
          <w:rFonts w:ascii="Arial" w:hAnsi="Arial" w:cs="Arial"/>
          <w:bCs/>
          <w:sz w:val="20"/>
          <w:szCs w:val="20"/>
        </w:rPr>
        <w:t xml:space="preserve"> </w:t>
      </w:r>
      <w:r w:rsidR="007247F8" w:rsidRPr="0074154F">
        <w:rPr>
          <w:rFonts w:ascii="Arial" w:hAnsi="Arial" w:cs="Arial"/>
          <w:bCs/>
          <w:sz w:val="20"/>
          <w:szCs w:val="20"/>
        </w:rPr>
        <w:t xml:space="preserve">del 20 de mayo del 2019 y resolución </w:t>
      </w:r>
      <w:r w:rsidR="002B434B" w:rsidRPr="0074154F">
        <w:rPr>
          <w:rFonts w:ascii="Arial" w:hAnsi="Arial" w:cs="Arial"/>
          <w:bCs/>
          <w:sz w:val="20"/>
          <w:szCs w:val="20"/>
        </w:rPr>
        <w:t xml:space="preserve"> </w:t>
      </w:r>
      <w:r w:rsidR="00C330B3" w:rsidRPr="0074154F">
        <w:rPr>
          <w:rFonts w:ascii="Arial" w:hAnsi="Arial" w:cs="Arial"/>
          <w:bCs/>
          <w:sz w:val="20"/>
          <w:szCs w:val="20"/>
        </w:rPr>
        <w:t xml:space="preserve">                                     </w:t>
      </w:r>
      <w:r w:rsidR="007247F8" w:rsidRPr="0074154F">
        <w:rPr>
          <w:rFonts w:ascii="Arial" w:hAnsi="Arial" w:cs="Arial"/>
          <w:bCs/>
          <w:sz w:val="20"/>
          <w:szCs w:val="20"/>
        </w:rPr>
        <w:t>No. SCVS-INC-2019-00005732 del 18 de julio del 2019.</w:t>
      </w:r>
    </w:p>
    <w:p w14:paraId="555603C1" w14:textId="2F25CB67" w:rsidR="00DA3BB5" w:rsidRPr="0074154F" w:rsidRDefault="00DA3BB5" w:rsidP="00413455">
      <w:pPr>
        <w:spacing w:after="0" w:line="240" w:lineRule="auto"/>
        <w:ind w:left="567"/>
        <w:contextualSpacing/>
        <w:jc w:val="both"/>
        <w:rPr>
          <w:rFonts w:ascii="Arial" w:hAnsi="Arial" w:cs="Arial"/>
          <w:b/>
          <w:sz w:val="20"/>
          <w:szCs w:val="20"/>
          <w:u w:val="single"/>
        </w:rPr>
      </w:pPr>
    </w:p>
    <w:p w14:paraId="7E30CBE0" w14:textId="2DED5367" w:rsidR="008008F0" w:rsidRPr="0074154F" w:rsidRDefault="008008F0" w:rsidP="008008F0">
      <w:pPr>
        <w:spacing w:after="0" w:line="240" w:lineRule="auto"/>
        <w:ind w:left="567"/>
        <w:contextualSpacing/>
        <w:jc w:val="both"/>
        <w:rPr>
          <w:rFonts w:ascii="Arial" w:hAnsi="Arial" w:cs="Arial"/>
          <w:bCs/>
          <w:sz w:val="20"/>
          <w:szCs w:val="20"/>
        </w:rPr>
      </w:pPr>
      <w:proofErr w:type="gramStart"/>
      <w:r w:rsidRPr="0074154F">
        <w:rPr>
          <w:rFonts w:ascii="Arial" w:hAnsi="Arial" w:cs="Arial"/>
          <w:b/>
          <w:sz w:val="20"/>
          <w:szCs w:val="20"/>
          <w:u w:val="single"/>
        </w:rPr>
        <w:t>Reservas</w:t>
      </w:r>
      <w:r w:rsidRPr="0074154F">
        <w:rPr>
          <w:rFonts w:ascii="Arial" w:hAnsi="Arial" w:cs="Arial"/>
          <w:b/>
          <w:sz w:val="20"/>
          <w:szCs w:val="20"/>
        </w:rPr>
        <w:t>.-</w:t>
      </w:r>
      <w:proofErr w:type="gramEnd"/>
      <w:r w:rsidRPr="0074154F">
        <w:rPr>
          <w:rFonts w:ascii="Arial" w:hAnsi="Arial" w:cs="Arial"/>
          <w:b/>
          <w:sz w:val="20"/>
          <w:szCs w:val="20"/>
        </w:rPr>
        <w:t xml:space="preserve"> </w:t>
      </w:r>
      <w:r w:rsidRPr="0074154F">
        <w:rPr>
          <w:rFonts w:ascii="Arial" w:hAnsi="Arial" w:cs="Arial"/>
          <w:bCs/>
          <w:sz w:val="20"/>
          <w:szCs w:val="20"/>
        </w:rPr>
        <w:t>Al 31 de diciembre del 2020 y 2019, la composición es como sigue:</w:t>
      </w:r>
    </w:p>
    <w:p w14:paraId="79B39952" w14:textId="4967DFFB" w:rsidR="008008F0" w:rsidRPr="0074154F" w:rsidRDefault="008008F0" w:rsidP="00413455">
      <w:pPr>
        <w:spacing w:after="0" w:line="240" w:lineRule="auto"/>
        <w:ind w:left="567"/>
        <w:contextualSpacing/>
        <w:jc w:val="both"/>
        <w:rPr>
          <w:rFonts w:ascii="Arial" w:hAnsi="Arial" w:cs="Arial"/>
          <w:b/>
          <w:color w:val="FF0000"/>
          <w:sz w:val="20"/>
          <w:szCs w:val="20"/>
          <w:u w:val="single"/>
        </w:rPr>
      </w:pPr>
    </w:p>
    <w:tbl>
      <w:tblPr>
        <w:tblW w:w="8475" w:type="dxa"/>
        <w:jc w:val="right"/>
        <w:tblLayout w:type="fixed"/>
        <w:tblCellMar>
          <w:left w:w="70" w:type="dxa"/>
          <w:right w:w="70" w:type="dxa"/>
        </w:tblCellMar>
        <w:tblLook w:val="04A0" w:firstRow="1" w:lastRow="0" w:firstColumn="1" w:lastColumn="0" w:noHBand="0" w:noVBand="1"/>
      </w:tblPr>
      <w:tblGrid>
        <w:gridCol w:w="6973"/>
        <w:gridCol w:w="1502"/>
      </w:tblGrid>
      <w:tr w:rsidR="008008F0" w:rsidRPr="0074154F" w14:paraId="6C2230B2" w14:textId="77777777" w:rsidTr="00A52BCD">
        <w:trPr>
          <w:trHeight w:val="283"/>
          <w:jc w:val="right"/>
        </w:trPr>
        <w:tc>
          <w:tcPr>
            <w:tcW w:w="6973" w:type="dxa"/>
            <w:tcBorders>
              <w:top w:val="nil"/>
              <w:left w:val="nil"/>
              <w:bottom w:val="nil"/>
              <w:right w:val="nil"/>
            </w:tcBorders>
            <w:shd w:val="clear" w:color="auto" w:fill="auto"/>
            <w:noWrap/>
            <w:vAlign w:val="center"/>
          </w:tcPr>
          <w:p w14:paraId="6ED295AE" w14:textId="77777777" w:rsidR="008008F0" w:rsidRPr="0074154F" w:rsidRDefault="008008F0" w:rsidP="00A52BCD">
            <w:pPr>
              <w:spacing w:after="0" w:line="240" w:lineRule="auto"/>
              <w:ind w:left="-70"/>
              <w:rPr>
                <w:rFonts w:ascii="Arial" w:hAnsi="Arial" w:cs="Arial"/>
                <w:sz w:val="20"/>
                <w:szCs w:val="20"/>
              </w:rPr>
            </w:pPr>
          </w:p>
        </w:tc>
        <w:tc>
          <w:tcPr>
            <w:tcW w:w="1502" w:type="dxa"/>
            <w:tcBorders>
              <w:right w:val="nil"/>
            </w:tcBorders>
            <w:shd w:val="clear" w:color="auto" w:fill="auto"/>
            <w:noWrap/>
            <w:vAlign w:val="center"/>
          </w:tcPr>
          <w:p w14:paraId="1FC538D6" w14:textId="77777777" w:rsidR="008008F0" w:rsidRPr="0074154F" w:rsidRDefault="008008F0" w:rsidP="00A52BCD">
            <w:pPr>
              <w:tabs>
                <w:tab w:val="decimal" w:pos="1276"/>
              </w:tabs>
              <w:spacing w:after="0" w:line="240" w:lineRule="auto"/>
              <w:rPr>
                <w:rFonts w:ascii="Arial" w:hAnsi="Arial" w:cs="Arial"/>
                <w:b/>
                <w:sz w:val="20"/>
                <w:szCs w:val="20"/>
                <w:u w:val="single"/>
              </w:rPr>
            </w:pPr>
            <w:r w:rsidRPr="0074154F">
              <w:rPr>
                <w:rFonts w:ascii="Arial" w:hAnsi="Arial" w:cs="Arial"/>
                <w:b/>
                <w:sz w:val="20"/>
                <w:szCs w:val="20"/>
                <w:u w:val="single"/>
              </w:rPr>
              <w:t>US$ dólares</w:t>
            </w:r>
          </w:p>
        </w:tc>
      </w:tr>
      <w:tr w:rsidR="008008F0" w:rsidRPr="0074154F" w14:paraId="285AC23B" w14:textId="77777777" w:rsidTr="002B3B9F">
        <w:trPr>
          <w:trHeight w:val="131"/>
          <w:jc w:val="right"/>
        </w:trPr>
        <w:tc>
          <w:tcPr>
            <w:tcW w:w="6973" w:type="dxa"/>
            <w:tcBorders>
              <w:top w:val="nil"/>
              <w:left w:val="nil"/>
              <w:bottom w:val="nil"/>
              <w:right w:val="nil"/>
            </w:tcBorders>
            <w:shd w:val="clear" w:color="auto" w:fill="auto"/>
            <w:noWrap/>
            <w:vAlign w:val="center"/>
          </w:tcPr>
          <w:p w14:paraId="76B31D63" w14:textId="77777777" w:rsidR="008008F0" w:rsidRPr="0074154F" w:rsidRDefault="008008F0" w:rsidP="00A52BCD">
            <w:pPr>
              <w:spacing w:after="0" w:line="240" w:lineRule="auto"/>
              <w:ind w:left="-70"/>
              <w:rPr>
                <w:rFonts w:ascii="Arial" w:hAnsi="Arial" w:cs="Arial"/>
                <w:sz w:val="20"/>
                <w:szCs w:val="20"/>
              </w:rPr>
            </w:pPr>
          </w:p>
        </w:tc>
        <w:tc>
          <w:tcPr>
            <w:tcW w:w="1502" w:type="dxa"/>
            <w:tcBorders>
              <w:right w:val="nil"/>
            </w:tcBorders>
            <w:shd w:val="clear" w:color="auto" w:fill="auto"/>
            <w:noWrap/>
            <w:vAlign w:val="center"/>
          </w:tcPr>
          <w:p w14:paraId="507B6190" w14:textId="77777777" w:rsidR="008008F0" w:rsidRPr="0074154F" w:rsidRDefault="008008F0" w:rsidP="00A52BCD">
            <w:pPr>
              <w:tabs>
                <w:tab w:val="decimal" w:pos="1276"/>
              </w:tabs>
              <w:spacing w:after="0" w:line="240" w:lineRule="auto"/>
              <w:rPr>
                <w:rFonts w:ascii="Arial" w:hAnsi="Arial" w:cs="Arial"/>
                <w:sz w:val="20"/>
                <w:szCs w:val="20"/>
              </w:rPr>
            </w:pPr>
          </w:p>
        </w:tc>
      </w:tr>
      <w:tr w:rsidR="008008F0" w:rsidRPr="0074154F" w14:paraId="529E89D0" w14:textId="77777777" w:rsidTr="002B3B9F">
        <w:trPr>
          <w:trHeight w:val="283"/>
          <w:jc w:val="right"/>
        </w:trPr>
        <w:tc>
          <w:tcPr>
            <w:tcW w:w="6973" w:type="dxa"/>
            <w:tcBorders>
              <w:top w:val="nil"/>
              <w:left w:val="nil"/>
              <w:bottom w:val="nil"/>
              <w:right w:val="nil"/>
            </w:tcBorders>
            <w:shd w:val="clear" w:color="auto" w:fill="auto"/>
            <w:noWrap/>
            <w:vAlign w:val="center"/>
          </w:tcPr>
          <w:p w14:paraId="3CDA2102" w14:textId="77777777" w:rsidR="008008F0" w:rsidRPr="0074154F" w:rsidRDefault="008008F0" w:rsidP="00A52BCD">
            <w:pPr>
              <w:spacing w:after="0" w:line="240" w:lineRule="auto"/>
              <w:ind w:left="-70"/>
              <w:rPr>
                <w:rFonts w:ascii="Arial" w:hAnsi="Arial" w:cs="Arial"/>
                <w:sz w:val="20"/>
                <w:szCs w:val="20"/>
              </w:rPr>
            </w:pPr>
            <w:r w:rsidRPr="0074154F">
              <w:rPr>
                <w:rFonts w:ascii="Arial" w:hAnsi="Arial" w:cs="Arial"/>
                <w:sz w:val="20"/>
                <w:szCs w:val="20"/>
              </w:rPr>
              <w:t xml:space="preserve">Legal  </w:t>
            </w:r>
          </w:p>
        </w:tc>
        <w:tc>
          <w:tcPr>
            <w:tcW w:w="1502" w:type="dxa"/>
            <w:tcBorders>
              <w:right w:val="nil"/>
            </w:tcBorders>
            <w:shd w:val="clear" w:color="auto" w:fill="auto"/>
            <w:noWrap/>
            <w:vAlign w:val="center"/>
          </w:tcPr>
          <w:p w14:paraId="17311FD2" w14:textId="69D15F8D" w:rsidR="008008F0" w:rsidRPr="0074154F" w:rsidRDefault="008008F0" w:rsidP="00A52BCD">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6,135</w:t>
            </w:r>
            <w:r w:rsidR="00CA7993" w:rsidRPr="0074154F">
              <w:rPr>
                <w:rFonts w:ascii="Arial" w:eastAsia="Times New Roman" w:hAnsi="Arial" w:cs="Arial"/>
                <w:sz w:val="20"/>
                <w:szCs w:val="20"/>
                <w:lang w:eastAsia="es-EC"/>
              </w:rPr>
              <w:t>,362</w:t>
            </w:r>
          </w:p>
        </w:tc>
      </w:tr>
      <w:tr w:rsidR="008008F0" w:rsidRPr="0074154F" w14:paraId="5BF79EA0" w14:textId="77777777" w:rsidTr="002B3B9F">
        <w:trPr>
          <w:trHeight w:val="283"/>
          <w:jc w:val="right"/>
        </w:trPr>
        <w:tc>
          <w:tcPr>
            <w:tcW w:w="6973" w:type="dxa"/>
            <w:tcBorders>
              <w:top w:val="nil"/>
              <w:left w:val="nil"/>
              <w:bottom w:val="nil"/>
              <w:right w:val="nil"/>
            </w:tcBorders>
            <w:shd w:val="clear" w:color="auto" w:fill="auto"/>
            <w:noWrap/>
            <w:vAlign w:val="center"/>
          </w:tcPr>
          <w:p w14:paraId="2719D831" w14:textId="77777777" w:rsidR="008008F0" w:rsidRPr="0074154F" w:rsidRDefault="008008F0" w:rsidP="00A52BCD">
            <w:pPr>
              <w:spacing w:after="0" w:line="240" w:lineRule="auto"/>
              <w:ind w:left="-70"/>
              <w:rPr>
                <w:rFonts w:ascii="Arial" w:hAnsi="Arial" w:cs="Arial"/>
                <w:sz w:val="20"/>
                <w:szCs w:val="20"/>
              </w:rPr>
            </w:pPr>
            <w:r w:rsidRPr="0074154F">
              <w:rPr>
                <w:rFonts w:ascii="Arial" w:hAnsi="Arial" w:cs="Arial"/>
                <w:sz w:val="20"/>
                <w:szCs w:val="20"/>
              </w:rPr>
              <w:t xml:space="preserve">Facultativa </w:t>
            </w:r>
          </w:p>
        </w:tc>
        <w:tc>
          <w:tcPr>
            <w:tcW w:w="1502" w:type="dxa"/>
            <w:tcBorders>
              <w:left w:val="nil"/>
              <w:bottom w:val="single" w:sz="6" w:space="0" w:color="auto"/>
              <w:right w:val="nil"/>
            </w:tcBorders>
            <w:shd w:val="clear" w:color="auto" w:fill="auto"/>
            <w:noWrap/>
            <w:vAlign w:val="center"/>
          </w:tcPr>
          <w:p w14:paraId="25878B4C" w14:textId="60BA435E" w:rsidR="008008F0" w:rsidRPr="0074154F" w:rsidRDefault="00CA7993" w:rsidP="00A52BCD">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34,797</w:t>
            </w:r>
          </w:p>
        </w:tc>
      </w:tr>
      <w:tr w:rsidR="008008F0" w:rsidRPr="0074154F" w14:paraId="43621125" w14:textId="77777777" w:rsidTr="002B3B9F">
        <w:trPr>
          <w:trHeight w:val="283"/>
          <w:jc w:val="right"/>
        </w:trPr>
        <w:tc>
          <w:tcPr>
            <w:tcW w:w="6973" w:type="dxa"/>
            <w:tcBorders>
              <w:top w:val="nil"/>
              <w:left w:val="nil"/>
              <w:right w:val="nil"/>
            </w:tcBorders>
            <w:shd w:val="clear" w:color="auto" w:fill="auto"/>
            <w:noWrap/>
            <w:vAlign w:val="center"/>
          </w:tcPr>
          <w:p w14:paraId="458D4CEC" w14:textId="77777777" w:rsidR="008008F0" w:rsidRPr="0074154F" w:rsidRDefault="008008F0" w:rsidP="00A52BCD">
            <w:pPr>
              <w:spacing w:after="0" w:line="240" w:lineRule="auto"/>
              <w:ind w:left="-70"/>
              <w:rPr>
                <w:rFonts w:ascii="Arial" w:hAnsi="Arial" w:cs="Arial"/>
                <w:sz w:val="20"/>
                <w:szCs w:val="20"/>
              </w:rPr>
            </w:pPr>
          </w:p>
        </w:tc>
        <w:tc>
          <w:tcPr>
            <w:tcW w:w="1502" w:type="dxa"/>
            <w:tcBorders>
              <w:top w:val="single" w:sz="6" w:space="0" w:color="auto"/>
              <w:left w:val="nil"/>
              <w:right w:val="nil"/>
            </w:tcBorders>
            <w:shd w:val="clear" w:color="auto" w:fill="auto"/>
            <w:noWrap/>
            <w:vAlign w:val="center"/>
          </w:tcPr>
          <w:p w14:paraId="58CCC9AF" w14:textId="77777777" w:rsidR="008008F0" w:rsidRPr="0074154F" w:rsidRDefault="008008F0" w:rsidP="00A52BCD">
            <w:pPr>
              <w:tabs>
                <w:tab w:val="decimal" w:pos="1276"/>
              </w:tabs>
              <w:spacing w:after="0" w:line="240" w:lineRule="auto"/>
              <w:rPr>
                <w:rFonts w:ascii="Arial" w:eastAsia="Times New Roman" w:hAnsi="Arial" w:cs="Arial"/>
                <w:sz w:val="20"/>
                <w:szCs w:val="20"/>
                <w:lang w:eastAsia="es-EC"/>
              </w:rPr>
            </w:pPr>
          </w:p>
        </w:tc>
      </w:tr>
      <w:tr w:rsidR="008008F0" w:rsidRPr="0074154F" w14:paraId="219E2201" w14:textId="77777777" w:rsidTr="00A52BCD">
        <w:trPr>
          <w:trHeight w:val="283"/>
          <w:jc w:val="right"/>
        </w:trPr>
        <w:tc>
          <w:tcPr>
            <w:tcW w:w="6973" w:type="dxa"/>
            <w:tcBorders>
              <w:top w:val="nil"/>
              <w:left w:val="nil"/>
              <w:right w:val="nil"/>
            </w:tcBorders>
            <w:shd w:val="clear" w:color="auto" w:fill="auto"/>
            <w:noWrap/>
            <w:vAlign w:val="center"/>
          </w:tcPr>
          <w:p w14:paraId="243898BA" w14:textId="77777777" w:rsidR="008008F0" w:rsidRPr="0074154F" w:rsidRDefault="008008F0" w:rsidP="00A52BCD">
            <w:pPr>
              <w:spacing w:after="0" w:line="240" w:lineRule="auto"/>
              <w:ind w:left="-70"/>
              <w:rPr>
                <w:rFonts w:ascii="Arial" w:hAnsi="Arial" w:cs="Arial"/>
                <w:sz w:val="20"/>
                <w:szCs w:val="20"/>
              </w:rPr>
            </w:pPr>
            <w:r w:rsidRPr="0074154F">
              <w:rPr>
                <w:rFonts w:ascii="Arial" w:hAnsi="Arial" w:cs="Arial"/>
                <w:sz w:val="20"/>
                <w:szCs w:val="20"/>
              </w:rPr>
              <w:t>Total</w:t>
            </w:r>
          </w:p>
        </w:tc>
        <w:tc>
          <w:tcPr>
            <w:tcW w:w="1502" w:type="dxa"/>
            <w:tcBorders>
              <w:left w:val="nil"/>
              <w:bottom w:val="double" w:sz="4" w:space="0" w:color="auto"/>
              <w:right w:val="nil"/>
            </w:tcBorders>
            <w:shd w:val="clear" w:color="auto" w:fill="auto"/>
            <w:noWrap/>
            <w:vAlign w:val="center"/>
          </w:tcPr>
          <w:p w14:paraId="2A47DAB5" w14:textId="69998E9A" w:rsidR="008008F0" w:rsidRPr="0074154F" w:rsidRDefault="00CA7993" w:rsidP="00A52BCD">
            <w:pPr>
              <w:tabs>
                <w:tab w:val="decimal" w:pos="1276"/>
              </w:tabs>
              <w:spacing w:after="0" w:line="240" w:lineRule="auto"/>
              <w:rPr>
                <w:rFonts w:ascii="Arial" w:eastAsia="Times New Roman" w:hAnsi="Arial" w:cs="Arial"/>
                <w:sz w:val="20"/>
                <w:szCs w:val="20"/>
                <w:lang w:eastAsia="es-EC"/>
              </w:rPr>
            </w:pPr>
            <w:r w:rsidRPr="0074154F">
              <w:rPr>
                <w:rFonts w:ascii="Arial" w:eastAsia="Times New Roman" w:hAnsi="Arial" w:cs="Arial"/>
                <w:sz w:val="20"/>
                <w:szCs w:val="20"/>
                <w:lang w:eastAsia="es-EC"/>
              </w:rPr>
              <w:t>6,170,159</w:t>
            </w:r>
          </w:p>
        </w:tc>
      </w:tr>
    </w:tbl>
    <w:p w14:paraId="719FA606" w14:textId="77777777" w:rsidR="005F0AB6" w:rsidRDefault="005F0AB6" w:rsidP="00413455">
      <w:pPr>
        <w:spacing w:after="0" w:line="240" w:lineRule="auto"/>
        <w:ind w:left="567"/>
        <w:contextualSpacing/>
        <w:jc w:val="both"/>
        <w:rPr>
          <w:rFonts w:ascii="Arial" w:hAnsi="Arial" w:cs="Arial"/>
          <w:b/>
          <w:i/>
          <w:iCs/>
          <w:sz w:val="20"/>
          <w:szCs w:val="20"/>
          <w:u w:val="thick"/>
        </w:rPr>
      </w:pPr>
    </w:p>
    <w:p w14:paraId="3D6F0A1D" w14:textId="5A7FBDC2" w:rsidR="000C73AA" w:rsidRPr="0074154F" w:rsidRDefault="000F199D" w:rsidP="00413455">
      <w:pPr>
        <w:spacing w:after="0" w:line="240" w:lineRule="auto"/>
        <w:ind w:left="567"/>
        <w:contextualSpacing/>
        <w:jc w:val="both"/>
        <w:rPr>
          <w:rFonts w:ascii="Arial" w:hAnsi="Arial" w:cs="Arial"/>
          <w:bCs/>
          <w:sz w:val="20"/>
          <w:szCs w:val="20"/>
        </w:rPr>
      </w:pPr>
      <w:r w:rsidRPr="0074154F">
        <w:rPr>
          <w:rFonts w:ascii="Arial" w:hAnsi="Arial" w:cs="Arial"/>
          <w:b/>
          <w:i/>
          <w:iCs/>
          <w:sz w:val="20"/>
          <w:szCs w:val="20"/>
          <w:u w:val="thick"/>
        </w:rPr>
        <w:t>Reserv</w:t>
      </w:r>
      <w:r w:rsidR="00A661C5" w:rsidRPr="0074154F">
        <w:rPr>
          <w:rFonts w:ascii="Arial" w:hAnsi="Arial" w:cs="Arial"/>
          <w:b/>
          <w:i/>
          <w:iCs/>
          <w:sz w:val="20"/>
          <w:szCs w:val="20"/>
          <w:u w:val="thick"/>
        </w:rPr>
        <w:t xml:space="preserve">a </w:t>
      </w:r>
      <w:proofErr w:type="gramStart"/>
      <w:r w:rsidR="00A661C5" w:rsidRPr="0074154F">
        <w:rPr>
          <w:rFonts w:ascii="Arial" w:hAnsi="Arial" w:cs="Arial"/>
          <w:b/>
          <w:i/>
          <w:iCs/>
          <w:sz w:val="20"/>
          <w:szCs w:val="20"/>
          <w:u w:val="thick"/>
        </w:rPr>
        <w:t>legal</w:t>
      </w:r>
      <w:r w:rsidR="0088709B" w:rsidRPr="0074154F">
        <w:rPr>
          <w:rFonts w:ascii="Arial" w:hAnsi="Arial" w:cs="Arial"/>
          <w:b/>
          <w:i/>
          <w:iCs/>
          <w:sz w:val="20"/>
          <w:szCs w:val="20"/>
          <w:u w:val="thick"/>
        </w:rPr>
        <w:t>.</w:t>
      </w:r>
      <w:r w:rsidR="008365F9" w:rsidRPr="0074154F">
        <w:rPr>
          <w:rFonts w:ascii="Arial" w:hAnsi="Arial" w:cs="Arial"/>
          <w:i/>
          <w:iCs/>
          <w:sz w:val="20"/>
          <w:szCs w:val="20"/>
          <w:u w:val="thick"/>
        </w:rPr>
        <w:t>-</w:t>
      </w:r>
      <w:proofErr w:type="gramEnd"/>
      <w:r w:rsidR="00991871" w:rsidRPr="0074154F">
        <w:rPr>
          <w:rFonts w:ascii="Arial" w:hAnsi="Arial" w:cs="Arial"/>
          <w:b/>
          <w:i/>
          <w:iCs/>
          <w:sz w:val="20"/>
          <w:szCs w:val="20"/>
          <w:u w:val="thick"/>
        </w:rPr>
        <w:t xml:space="preserve"> </w:t>
      </w:r>
      <w:r w:rsidR="00A661C5" w:rsidRPr="0074154F">
        <w:rPr>
          <w:rFonts w:ascii="Arial" w:hAnsi="Arial" w:cs="Arial"/>
          <w:bCs/>
          <w:sz w:val="20"/>
          <w:szCs w:val="20"/>
        </w:rPr>
        <w:t>De acuerdo con la legisla</w:t>
      </w:r>
      <w:r w:rsidR="0088709B" w:rsidRPr="0074154F">
        <w:rPr>
          <w:rFonts w:ascii="Arial" w:hAnsi="Arial" w:cs="Arial"/>
          <w:bCs/>
          <w:sz w:val="20"/>
          <w:szCs w:val="20"/>
        </w:rPr>
        <w:t>ción vigente en el Ecuador, la C</w:t>
      </w:r>
      <w:r w:rsidR="00A661C5" w:rsidRPr="0074154F">
        <w:rPr>
          <w:rFonts w:ascii="Arial" w:hAnsi="Arial" w:cs="Arial"/>
          <w:bCs/>
          <w:sz w:val="20"/>
          <w:szCs w:val="20"/>
        </w:rPr>
        <w:t xml:space="preserve">ompañía debe transferir el 10% de su ganancia liquida anual a la reserva legal, hasta completar por lo menos el 50% del capital suscrito pagado. Esta reserva no puede ser distribuida a los accionistas, excepto en el caso de liquidación de la compañía, pero puede ser utilizada para absorber pérdidas futuras o para aumentar el capital. </w:t>
      </w:r>
    </w:p>
    <w:p w14:paraId="4AA009CD" w14:textId="77777777" w:rsidR="000C73AA" w:rsidRPr="0074154F" w:rsidRDefault="000C73AA" w:rsidP="00413455">
      <w:pPr>
        <w:spacing w:after="0" w:line="240" w:lineRule="auto"/>
        <w:ind w:left="567"/>
        <w:contextualSpacing/>
        <w:jc w:val="both"/>
        <w:rPr>
          <w:rFonts w:ascii="Arial" w:hAnsi="Arial" w:cs="Arial"/>
          <w:bCs/>
          <w:sz w:val="20"/>
          <w:szCs w:val="20"/>
        </w:rPr>
      </w:pPr>
    </w:p>
    <w:p w14:paraId="32978FB1" w14:textId="0C53E642" w:rsidR="00A661C5" w:rsidRPr="0074154F" w:rsidRDefault="000C73AA" w:rsidP="00413455">
      <w:pPr>
        <w:spacing w:after="0" w:line="240" w:lineRule="auto"/>
        <w:ind w:left="567"/>
        <w:contextualSpacing/>
        <w:jc w:val="both"/>
        <w:rPr>
          <w:rFonts w:ascii="Arial" w:hAnsi="Arial" w:cs="Arial"/>
          <w:bCs/>
          <w:sz w:val="20"/>
          <w:szCs w:val="20"/>
        </w:rPr>
      </w:pPr>
      <w:r w:rsidRPr="0074154F">
        <w:rPr>
          <w:rFonts w:ascii="Arial" w:hAnsi="Arial" w:cs="Arial"/>
          <w:b/>
          <w:i/>
          <w:iCs/>
          <w:sz w:val="20"/>
          <w:szCs w:val="20"/>
        </w:rPr>
        <w:t xml:space="preserve">Reserva </w:t>
      </w:r>
      <w:proofErr w:type="gramStart"/>
      <w:r w:rsidRPr="0074154F">
        <w:rPr>
          <w:rFonts w:ascii="Arial" w:hAnsi="Arial" w:cs="Arial"/>
          <w:b/>
          <w:i/>
          <w:iCs/>
          <w:sz w:val="20"/>
          <w:szCs w:val="20"/>
        </w:rPr>
        <w:t>facultativa</w:t>
      </w:r>
      <w:r w:rsidR="003322E2" w:rsidRPr="0074154F">
        <w:rPr>
          <w:rFonts w:ascii="Arial" w:hAnsi="Arial" w:cs="Arial"/>
          <w:b/>
          <w:i/>
          <w:iCs/>
          <w:sz w:val="20"/>
          <w:szCs w:val="20"/>
        </w:rPr>
        <w:t>.</w:t>
      </w:r>
      <w:r w:rsidRPr="0074154F">
        <w:rPr>
          <w:rFonts w:ascii="Arial" w:hAnsi="Arial" w:cs="Arial"/>
          <w:i/>
          <w:iCs/>
          <w:sz w:val="20"/>
          <w:szCs w:val="20"/>
        </w:rPr>
        <w:t>-</w:t>
      </w:r>
      <w:proofErr w:type="gramEnd"/>
      <w:r w:rsidRPr="0074154F">
        <w:rPr>
          <w:rFonts w:ascii="Arial" w:hAnsi="Arial" w:cs="Arial"/>
          <w:sz w:val="20"/>
          <w:szCs w:val="20"/>
        </w:rPr>
        <w:t xml:space="preserve"> </w:t>
      </w:r>
      <w:r w:rsidRPr="0074154F">
        <w:rPr>
          <w:rFonts w:ascii="Arial" w:hAnsi="Arial" w:cs="Arial"/>
          <w:bCs/>
          <w:sz w:val="20"/>
        </w:rPr>
        <w:t>Las leyes societarias vigentes determinan que de las utilidades líquidas del ejercicio se destine un porcentaje como reserva especial o facultativa. El porcentaje de apropiación depende de la decisión de la Junta General de Accionistas.</w:t>
      </w:r>
      <w:r w:rsidR="00A661C5" w:rsidRPr="0074154F">
        <w:rPr>
          <w:rFonts w:ascii="Arial" w:hAnsi="Arial" w:cs="Arial"/>
          <w:bCs/>
          <w:sz w:val="20"/>
          <w:szCs w:val="20"/>
        </w:rPr>
        <w:t xml:space="preserve"> </w:t>
      </w:r>
    </w:p>
    <w:p w14:paraId="585B5CCD" w14:textId="26EF9ADD" w:rsidR="000F199D" w:rsidRPr="0074154F" w:rsidRDefault="000F199D" w:rsidP="00413455">
      <w:pPr>
        <w:spacing w:after="0" w:line="240" w:lineRule="auto"/>
        <w:ind w:left="567"/>
        <w:contextualSpacing/>
        <w:jc w:val="both"/>
        <w:rPr>
          <w:rFonts w:ascii="Arial" w:hAnsi="Arial" w:cs="Arial"/>
          <w:bCs/>
          <w:sz w:val="16"/>
          <w:szCs w:val="16"/>
        </w:rPr>
      </w:pPr>
    </w:p>
    <w:p w14:paraId="5991FCDD" w14:textId="716A7CC5" w:rsidR="002D443D" w:rsidRPr="0074154F" w:rsidRDefault="002D443D" w:rsidP="00413455">
      <w:pPr>
        <w:pStyle w:val="Heading1"/>
        <w:tabs>
          <w:tab w:val="clear" w:pos="6960"/>
          <w:tab w:val="clear" w:pos="7800"/>
          <w:tab w:val="clear" w:pos="8280"/>
        </w:tabs>
        <w:ind w:left="567"/>
        <w:jc w:val="both"/>
        <w:rPr>
          <w:rFonts w:ascii="Arial" w:eastAsiaTheme="minorHAnsi" w:hAnsi="Arial" w:cs="Arial"/>
          <w:b w:val="0"/>
          <w:sz w:val="20"/>
          <w:lang w:val="es-EC"/>
        </w:rPr>
      </w:pPr>
      <w:r w:rsidRPr="0074154F">
        <w:rPr>
          <w:rFonts w:ascii="Arial" w:eastAsiaTheme="minorHAnsi" w:hAnsi="Arial" w:cs="Arial"/>
          <w:b w:val="0"/>
          <w:sz w:val="20"/>
          <w:lang w:val="es-EC"/>
        </w:rPr>
        <w:t>Los saldos de las siguientes cuentas surgen de la aplicación por primera vez de las NIIF y del saldo según PCGA anteriores, los cuales según Resolución emitida por la Superintendencia de Compañías, Valores y Seguros (SCVS) el 14 de octubre del 2011, podrán ser utilizados de la siguiente forma:</w:t>
      </w:r>
      <w:r w:rsidR="00977FBF" w:rsidRPr="0074154F">
        <w:rPr>
          <w:rFonts w:ascii="Arial" w:eastAsiaTheme="minorHAnsi" w:hAnsi="Arial" w:cs="Arial"/>
          <w:b w:val="0"/>
          <w:sz w:val="20"/>
          <w:lang w:val="es-EC"/>
        </w:rPr>
        <w:t xml:space="preserve"> </w:t>
      </w:r>
    </w:p>
    <w:p w14:paraId="47223FC5" w14:textId="77777777" w:rsidR="00BE1B07" w:rsidRPr="0074154F" w:rsidRDefault="00BE1B07" w:rsidP="00413455">
      <w:pPr>
        <w:spacing w:after="0" w:line="240" w:lineRule="auto"/>
        <w:rPr>
          <w:sz w:val="16"/>
          <w:szCs w:val="16"/>
        </w:rPr>
      </w:pPr>
    </w:p>
    <w:p w14:paraId="484BE8E5" w14:textId="6D948BFE" w:rsidR="00FE4B78" w:rsidRPr="0074154F" w:rsidRDefault="00FE4B78" w:rsidP="003322E2">
      <w:pPr>
        <w:pStyle w:val="Heading1"/>
        <w:tabs>
          <w:tab w:val="clear" w:pos="6960"/>
          <w:tab w:val="clear" w:pos="7800"/>
          <w:tab w:val="clear" w:pos="8280"/>
        </w:tabs>
        <w:ind w:left="567"/>
        <w:jc w:val="both"/>
        <w:rPr>
          <w:rFonts w:ascii="Arial" w:eastAsiaTheme="minorHAnsi" w:hAnsi="Arial" w:cs="Arial"/>
          <w:bCs/>
          <w:i/>
          <w:sz w:val="20"/>
          <w:lang w:val="es-EC"/>
        </w:rPr>
      </w:pPr>
      <w:r w:rsidRPr="0074154F">
        <w:rPr>
          <w:rFonts w:ascii="Arial" w:eastAsiaTheme="minorHAnsi" w:hAnsi="Arial" w:cs="Arial"/>
          <w:bCs/>
          <w:i/>
          <w:sz w:val="20"/>
          <w:lang w:val="es-EC"/>
        </w:rPr>
        <w:t xml:space="preserve">Resultados acumulados - </w:t>
      </w:r>
      <w:proofErr w:type="gramStart"/>
      <w:r w:rsidRPr="0074154F">
        <w:rPr>
          <w:rFonts w:ascii="Arial" w:eastAsiaTheme="minorHAnsi" w:hAnsi="Arial" w:cs="Arial"/>
          <w:bCs/>
          <w:i/>
          <w:sz w:val="20"/>
          <w:lang w:val="es-EC"/>
        </w:rPr>
        <w:t>distribuibles.-</w:t>
      </w:r>
      <w:proofErr w:type="gramEnd"/>
      <w:r w:rsidRPr="0074154F">
        <w:rPr>
          <w:rFonts w:ascii="Arial" w:eastAsiaTheme="minorHAnsi" w:hAnsi="Arial" w:cs="Arial"/>
          <w:bCs/>
          <w:i/>
          <w:sz w:val="20"/>
          <w:lang w:val="es-EC"/>
        </w:rPr>
        <w:t xml:space="preserve">  </w:t>
      </w:r>
      <w:r w:rsidRPr="0074154F">
        <w:rPr>
          <w:rFonts w:ascii="Arial" w:eastAsiaTheme="minorHAnsi" w:hAnsi="Arial" w:cs="Arial"/>
          <w:b w:val="0"/>
          <w:iCs/>
          <w:sz w:val="20"/>
          <w:lang w:val="es-EC"/>
        </w:rPr>
        <w:t>Corresponden a las utilidades (pérdidas neta si hubieren) de años anteriores pendientes de distribución de acuerdo a su porcentaje de participación accionaria.</w:t>
      </w:r>
    </w:p>
    <w:p w14:paraId="60711737" w14:textId="77777777" w:rsidR="00FE4B78" w:rsidRPr="0074154F" w:rsidRDefault="00FE4B78" w:rsidP="003322E2">
      <w:pPr>
        <w:pStyle w:val="Heading1"/>
        <w:tabs>
          <w:tab w:val="clear" w:pos="6960"/>
          <w:tab w:val="clear" w:pos="7800"/>
          <w:tab w:val="clear" w:pos="8280"/>
        </w:tabs>
        <w:ind w:left="567"/>
        <w:jc w:val="both"/>
        <w:rPr>
          <w:rFonts w:ascii="Arial" w:eastAsiaTheme="minorHAnsi" w:hAnsi="Arial" w:cs="Arial"/>
          <w:bCs/>
          <w:i/>
          <w:sz w:val="20"/>
          <w:lang w:val="es-EC"/>
        </w:rPr>
      </w:pPr>
    </w:p>
    <w:p w14:paraId="6D08C83E" w14:textId="23326C4A" w:rsidR="002D443D" w:rsidRPr="0074154F" w:rsidRDefault="002D443D" w:rsidP="003322E2">
      <w:pPr>
        <w:pStyle w:val="Heading1"/>
        <w:tabs>
          <w:tab w:val="clear" w:pos="6960"/>
          <w:tab w:val="clear" w:pos="7800"/>
          <w:tab w:val="clear" w:pos="8280"/>
        </w:tabs>
        <w:ind w:left="567"/>
        <w:jc w:val="both"/>
        <w:rPr>
          <w:rFonts w:ascii="Arial" w:eastAsiaTheme="minorHAnsi" w:hAnsi="Arial" w:cs="Arial"/>
          <w:b w:val="0"/>
          <w:sz w:val="20"/>
          <w:lang w:val="es-EC"/>
        </w:rPr>
      </w:pPr>
      <w:r w:rsidRPr="0074154F">
        <w:rPr>
          <w:rFonts w:ascii="Arial" w:eastAsiaTheme="minorHAnsi" w:hAnsi="Arial" w:cs="Arial"/>
          <w:bCs/>
          <w:i/>
          <w:sz w:val="20"/>
          <w:lang w:val="es-EC"/>
        </w:rPr>
        <w:t xml:space="preserve">Resultados por adopción de </w:t>
      </w:r>
      <w:proofErr w:type="gramStart"/>
      <w:r w:rsidRPr="0074154F">
        <w:rPr>
          <w:rFonts w:ascii="Arial" w:eastAsiaTheme="minorHAnsi" w:hAnsi="Arial" w:cs="Arial"/>
          <w:bCs/>
          <w:i/>
          <w:sz w:val="20"/>
          <w:lang w:val="es-EC"/>
        </w:rPr>
        <w:t>NIIF</w:t>
      </w:r>
      <w:r w:rsidR="00704FCD" w:rsidRPr="0074154F">
        <w:rPr>
          <w:rFonts w:ascii="Arial" w:eastAsiaTheme="minorHAnsi" w:hAnsi="Arial" w:cs="Arial"/>
          <w:bCs/>
          <w:i/>
          <w:sz w:val="20"/>
          <w:lang w:val="es-EC"/>
        </w:rPr>
        <w:t>.</w:t>
      </w:r>
      <w:r w:rsidRPr="0074154F">
        <w:rPr>
          <w:rFonts w:ascii="Arial" w:eastAsiaTheme="minorHAnsi" w:hAnsi="Arial" w:cs="Arial"/>
          <w:bCs/>
          <w:i/>
          <w:sz w:val="20"/>
          <w:lang w:val="es-EC"/>
        </w:rPr>
        <w:t>-</w:t>
      </w:r>
      <w:proofErr w:type="gramEnd"/>
      <w:r w:rsidRPr="0074154F">
        <w:rPr>
          <w:rFonts w:ascii="Arial" w:eastAsiaTheme="minorHAnsi" w:hAnsi="Arial" w:cs="Arial"/>
          <w:bCs/>
          <w:sz w:val="20"/>
          <w:lang w:val="es-EC"/>
        </w:rPr>
        <w:t xml:space="preserve"> </w:t>
      </w:r>
      <w:r w:rsidRPr="0074154F">
        <w:rPr>
          <w:rFonts w:ascii="Arial" w:eastAsiaTheme="minorHAnsi" w:hAnsi="Arial" w:cs="Arial"/>
          <w:b w:val="0"/>
          <w:sz w:val="20"/>
          <w:lang w:val="es-EC"/>
        </w:rPr>
        <w:t>Incluye los valores resultantes de los ajustes originados en la adopción por primera vez de las NIIF. El saldo sólo podrá ser capitalizado en la parte que exceda al valor de las pérdidas acumuladas y las del último ejercicio económico concluido, si las hubiere; utilizado en absorber pérdidas; o devuelto en el caso de liquidación de la Compañía y no son susceptibles de reparto de dividendos.</w:t>
      </w:r>
    </w:p>
    <w:p w14:paraId="04F6DE59" w14:textId="09121CDF" w:rsidR="002D443D" w:rsidRPr="0074154F" w:rsidRDefault="002D443D" w:rsidP="00413455">
      <w:pPr>
        <w:widowControl w:val="0"/>
        <w:spacing w:after="0" w:line="240" w:lineRule="auto"/>
        <w:ind w:left="567"/>
        <w:jc w:val="both"/>
        <w:rPr>
          <w:rFonts w:ascii="Arial" w:hAnsi="Arial" w:cs="Arial"/>
          <w:bCs/>
          <w:sz w:val="20"/>
          <w:szCs w:val="20"/>
          <w:u w:val="single"/>
        </w:rPr>
      </w:pPr>
    </w:p>
    <w:p w14:paraId="0DBCBE7F" w14:textId="6F03C585" w:rsidR="002D443D" w:rsidRPr="0074154F" w:rsidRDefault="002D443D" w:rsidP="003322E2">
      <w:pPr>
        <w:pStyle w:val="Heading1"/>
        <w:tabs>
          <w:tab w:val="clear" w:pos="6960"/>
          <w:tab w:val="clear" w:pos="7800"/>
          <w:tab w:val="clear" w:pos="8280"/>
        </w:tabs>
        <w:ind w:left="567"/>
        <w:jc w:val="both"/>
        <w:rPr>
          <w:rFonts w:ascii="Arial" w:eastAsiaTheme="minorHAnsi" w:hAnsi="Arial" w:cs="Arial"/>
          <w:b w:val="0"/>
          <w:bCs/>
          <w:sz w:val="20"/>
          <w:u w:val="single"/>
          <w:lang w:val="es-EC"/>
        </w:rPr>
      </w:pPr>
      <w:r w:rsidRPr="0074154F">
        <w:rPr>
          <w:rFonts w:ascii="Arial" w:eastAsiaTheme="minorHAnsi" w:hAnsi="Arial" w:cs="Arial"/>
          <w:bCs/>
          <w:i/>
          <w:sz w:val="20"/>
          <w:lang w:val="es-EC"/>
        </w:rPr>
        <w:t xml:space="preserve">Reservas según PCGA </w:t>
      </w:r>
      <w:proofErr w:type="gramStart"/>
      <w:r w:rsidRPr="0074154F">
        <w:rPr>
          <w:rFonts w:ascii="Arial" w:eastAsiaTheme="minorHAnsi" w:hAnsi="Arial" w:cs="Arial"/>
          <w:bCs/>
          <w:i/>
          <w:sz w:val="20"/>
          <w:lang w:val="es-EC"/>
        </w:rPr>
        <w:t>anteriores</w:t>
      </w:r>
      <w:r w:rsidR="00704FCD" w:rsidRPr="0074154F">
        <w:rPr>
          <w:rFonts w:ascii="Arial" w:eastAsiaTheme="minorHAnsi" w:hAnsi="Arial" w:cs="Arial"/>
          <w:bCs/>
          <w:i/>
          <w:sz w:val="20"/>
          <w:lang w:val="es-EC"/>
        </w:rPr>
        <w:t>.</w:t>
      </w:r>
      <w:r w:rsidRPr="0074154F">
        <w:rPr>
          <w:rFonts w:ascii="Arial" w:eastAsiaTheme="minorHAnsi" w:hAnsi="Arial" w:cs="Arial"/>
          <w:bCs/>
          <w:i/>
          <w:sz w:val="20"/>
          <w:lang w:val="es-EC"/>
        </w:rPr>
        <w:t>-</w:t>
      </w:r>
      <w:proofErr w:type="gramEnd"/>
      <w:r w:rsidRPr="0074154F">
        <w:rPr>
          <w:rFonts w:ascii="Arial" w:eastAsiaTheme="minorHAnsi" w:hAnsi="Arial" w:cs="Arial"/>
          <w:bCs/>
          <w:i/>
          <w:sz w:val="20"/>
          <w:lang w:val="es-EC"/>
        </w:rPr>
        <w:t xml:space="preserve"> </w:t>
      </w:r>
      <w:r w:rsidRPr="0074154F">
        <w:rPr>
          <w:rFonts w:ascii="Arial" w:eastAsiaTheme="minorHAnsi" w:hAnsi="Arial" w:cs="Arial"/>
          <w:b w:val="0"/>
          <w:bCs/>
          <w:sz w:val="20"/>
          <w:lang w:val="es-EC"/>
        </w:rPr>
        <w:t xml:space="preserve">Los saldos acreedores de las reservas de capital podrán ser utilizadas para </w:t>
      </w:r>
      <w:r w:rsidRPr="0074154F">
        <w:rPr>
          <w:rFonts w:ascii="Arial" w:eastAsiaTheme="minorHAnsi" w:hAnsi="Arial" w:cs="Arial"/>
          <w:b w:val="0"/>
          <w:sz w:val="20"/>
          <w:lang w:val="es-EC"/>
        </w:rPr>
        <w:t>compensar</w:t>
      </w:r>
      <w:r w:rsidRPr="0074154F">
        <w:rPr>
          <w:rFonts w:ascii="Arial" w:eastAsiaTheme="minorHAnsi" w:hAnsi="Arial" w:cs="Arial"/>
          <w:b w:val="0"/>
          <w:bCs/>
          <w:sz w:val="20"/>
          <w:lang w:val="es-EC"/>
        </w:rPr>
        <w:t xml:space="preserve"> las pérdidas acumuladas y el excedente, si hubiere, podrá ser capitalizado. Los saldos de estas cuentas podrán ser devueltos en el caso de liquidación de la Compañía y no son susceptibles de reparto de dividendos.</w:t>
      </w:r>
    </w:p>
    <w:p w14:paraId="1CE4D087" w14:textId="0733AD77" w:rsidR="002D443D" w:rsidRPr="0074154F" w:rsidRDefault="002D443D" w:rsidP="00413455">
      <w:pPr>
        <w:widowControl w:val="0"/>
        <w:spacing w:after="0" w:line="240" w:lineRule="auto"/>
        <w:ind w:left="567"/>
        <w:jc w:val="both"/>
        <w:rPr>
          <w:rFonts w:ascii="Arial" w:hAnsi="Arial" w:cs="Arial"/>
          <w:bCs/>
          <w:sz w:val="16"/>
          <w:szCs w:val="16"/>
          <w:u w:val="single"/>
        </w:rPr>
      </w:pPr>
    </w:p>
    <w:p w14:paraId="11207BF9" w14:textId="5C7A5F31" w:rsidR="002D443D" w:rsidRPr="0074154F" w:rsidRDefault="002D443D" w:rsidP="003322E2">
      <w:pPr>
        <w:pStyle w:val="Heading1"/>
        <w:tabs>
          <w:tab w:val="clear" w:pos="6960"/>
          <w:tab w:val="clear" w:pos="7800"/>
          <w:tab w:val="clear" w:pos="8280"/>
        </w:tabs>
        <w:ind w:left="567"/>
        <w:jc w:val="both"/>
        <w:rPr>
          <w:rFonts w:ascii="Arial" w:eastAsiaTheme="minorHAnsi" w:hAnsi="Arial" w:cs="Arial"/>
          <w:bCs/>
          <w:i/>
          <w:sz w:val="20"/>
          <w:lang w:val="es-EC"/>
        </w:rPr>
      </w:pPr>
      <w:r w:rsidRPr="0074154F">
        <w:rPr>
          <w:rFonts w:ascii="Arial" w:eastAsiaTheme="minorHAnsi" w:hAnsi="Arial" w:cs="Arial"/>
          <w:bCs/>
          <w:i/>
          <w:sz w:val="20"/>
          <w:lang w:val="es-EC"/>
        </w:rPr>
        <w:t>Otros resultados integrales:</w:t>
      </w:r>
    </w:p>
    <w:p w14:paraId="2640CA63" w14:textId="77777777" w:rsidR="002D443D" w:rsidRPr="0074154F" w:rsidRDefault="002D443D" w:rsidP="00413455">
      <w:pPr>
        <w:widowControl w:val="0"/>
        <w:spacing w:after="0" w:line="240" w:lineRule="auto"/>
        <w:ind w:left="567"/>
        <w:jc w:val="both"/>
        <w:rPr>
          <w:rFonts w:ascii="Arial" w:hAnsi="Arial" w:cs="Arial"/>
          <w:bCs/>
          <w:sz w:val="16"/>
          <w:szCs w:val="16"/>
          <w:u w:val="single"/>
        </w:rPr>
      </w:pPr>
    </w:p>
    <w:p w14:paraId="46EEE73D" w14:textId="77777777" w:rsidR="008146FA" w:rsidRDefault="002D443D" w:rsidP="003322E2">
      <w:pPr>
        <w:widowControl w:val="0"/>
        <w:spacing w:after="0" w:line="240" w:lineRule="auto"/>
        <w:ind w:left="556"/>
        <w:jc w:val="both"/>
        <w:rPr>
          <w:rFonts w:ascii="Arial" w:hAnsi="Arial" w:cs="Arial"/>
          <w:bCs/>
          <w:sz w:val="20"/>
          <w:szCs w:val="20"/>
        </w:rPr>
      </w:pPr>
      <w:r w:rsidRPr="0074154F">
        <w:rPr>
          <w:rFonts w:ascii="Arial" w:hAnsi="Arial" w:cs="Arial"/>
          <w:bCs/>
          <w:i/>
          <w:sz w:val="20"/>
          <w:szCs w:val="20"/>
          <w:u w:val="single"/>
        </w:rPr>
        <w:t xml:space="preserve">Ganancia </w:t>
      </w:r>
      <w:proofErr w:type="gramStart"/>
      <w:r w:rsidRPr="0074154F">
        <w:rPr>
          <w:rFonts w:ascii="Arial" w:hAnsi="Arial" w:cs="Arial"/>
          <w:bCs/>
          <w:i/>
          <w:sz w:val="20"/>
          <w:szCs w:val="20"/>
          <w:u w:val="single"/>
        </w:rPr>
        <w:t>actuarial</w:t>
      </w:r>
      <w:r w:rsidR="00704FCD" w:rsidRPr="0074154F">
        <w:rPr>
          <w:rFonts w:ascii="Arial" w:hAnsi="Arial" w:cs="Arial"/>
          <w:bCs/>
          <w:i/>
          <w:sz w:val="20"/>
          <w:szCs w:val="20"/>
        </w:rPr>
        <w:t>.</w:t>
      </w:r>
      <w:r w:rsidRPr="0074154F">
        <w:rPr>
          <w:rFonts w:ascii="Arial" w:hAnsi="Arial" w:cs="Arial"/>
          <w:bCs/>
          <w:i/>
          <w:sz w:val="20"/>
          <w:szCs w:val="20"/>
        </w:rPr>
        <w:t>-</w:t>
      </w:r>
      <w:proofErr w:type="gramEnd"/>
      <w:r w:rsidRPr="0074154F">
        <w:rPr>
          <w:rFonts w:ascii="Arial" w:hAnsi="Arial" w:cs="Arial"/>
          <w:bCs/>
          <w:i/>
          <w:sz w:val="20"/>
          <w:szCs w:val="20"/>
        </w:rPr>
        <w:t xml:space="preserve"> </w:t>
      </w:r>
      <w:r w:rsidRPr="0074154F">
        <w:rPr>
          <w:rFonts w:ascii="Arial" w:hAnsi="Arial" w:cs="Arial"/>
          <w:bCs/>
          <w:sz w:val="20"/>
          <w:szCs w:val="20"/>
        </w:rPr>
        <w:t xml:space="preserve">Representa principalmente el efecto de los ajustes por ganancias actuariales de las obligaciones por beneficios definidos. El saldo acreedor solo podrá ser capitalizado en la parte que exceda el valor de las pérdidas acumuladas y las del último ejercicio económico concluido, si las hubieren; utilizado en absorber pérdidas; o devuelto en el caso de liquidación de la Compañía y no son susceptibles de reparto de dividendos. </w:t>
      </w:r>
    </w:p>
    <w:p w14:paraId="20D6B6EF" w14:textId="77777777" w:rsidR="008146FA" w:rsidRDefault="008146FA" w:rsidP="003322E2">
      <w:pPr>
        <w:widowControl w:val="0"/>
        <w:spacing w:after="0" w:line="240" w:lineRule="auto"/>
        <w:ind w:left="556"/>
        <w:jc w:val="both"/>
        <w:rPr>
          <w:rFonts w:ascii="Arial" w:hAnsi="Arial" w:cs="Arial"/>
          <w:bCs/>
          <w:sz w:val="20"/>
          <w:szCs w:val="20"/>
        </w:rPr>
      </w:pPr>
    </w:p>
    <w:p w14:paraId="76B2523D" w14:textId="5629E8D9" w:rsidR="003C777E" w:rsidRDefault="002D443D" w:rsidP="003322E2">
      <w:pPr>
        <w:widowControl w:val="0"/>
        <w:spacing w:after="0" w:line="240" w:lineRule="auto"/>
        <w:ind w:left="556"/>
        <w:jc w:val="both"/>
        <w:rPr>
          <w:rFonts w:ascii="Arial" w:hAnsi="Arial" w:cs="Arial"/>
          <w:bCs/>
          <w:sz w:val="20"/>
          <w:szCs w:val="20"/>
        </w:rPr>
      </w:pPr>
      <w:r w:rsidRPr="0074154F">
        <w:rPr>
          <w:rFonts w:ascii="Arial" w:hAnsi="Arial" w:cs="Arial"/>
          <w:bCs/>
          <w:sz w:val="20"/>
          <w:szCs w:val="20"/>
        </w:rPr>
        <w:lastRenderedPageBreak/>
        <w:t>Durante el año 20</w:t>
      </w:r>
      <w:r w:rsidR="002F5284" w:rsidRPr="0074154F">
        <w:rPr>
          <w:rFonts w:ascii="Arial" w:hAnsi="Arial" w:cs="Arial"/>
          <w:bCs/>
          <w:sz w:val="20"/>
          <w:szCs w:val="20"/>
        </w:rPr>
        <w:t>20</w:t>
      </w:r>
      <w:r w:rsidRPr="0074154F">
        <w:rPr>
          <w:rFonts w:ascii="Arial" w:hAnsi="Arial" w:cs="Arial"/>
          <w:bCs/>
          <w:sz w:val="20"/>
          <w:szCs w:val="20"/>
        </w:rPr>
        <w:t xml:space="preserve">, </w:t>
      </w:r>
      <w:r w:rsidR="00B411BB" w:rsidRPr="0074154F">
        <w:rPr>
          <w:rFonts w:ascii="Arial" w:hAnsi="Arial" w:cs="Arial"/>
          <w:bCs/>
          <w:sz w:val="20"/>
          <w:szCs w:val="20"/>
        </w:rPr>
        <w:t>la Compañía realiz</w:t>
      </w:r>
      <w:r w:rsidR="00AD020B" w:rsidRPr="0074154F">
        <w:rPr>
          <w:rFonts w:ascii="Arial" w:hAnsi="Arial" w:cs="Arial"/>
          <w:bCs/>
          <w:sz w:val="20"/>
          <w:szCs w:val="20"/>
        </w:rPr>
        <w:t>ó</w:t>
      </w:r>
      <w:r w:rsidR="00977FBF" w:rsidRPr="0074154F">
        <w:rPr>
          <w:rFonts w:ascii="Arial" w:hAnsi="Arial" w:cs="Arial"/>
          <w:bCs/>
          <w:sz w:val="20"/>
          <w:szCs w:val="20"/>
        </w:rPr>
        <w:t xml:space="preserve"> </w:t>
      </w:r>
      <w:r w:rsidR="00B411BB" w:rsidRPr="0074154F">
        <w:rPr>
          <w:rFonts w:ascii="Arial" w:hAnsi="Arial" w:cs="Arial"/>
          <w:bCs/>
          <w:sz w:val="20"/>
          <w:szCs w:val="20"/>
        </w:rPr>
        <w:t>ajustes actuariales</w:t>
      </w:r>
      <w:r w:rsidR="007D4973" w:rsidRPr="0074154F">
        <w:rPr>
          <w:rFonts w:ascii="Arial" w:hAnsi="Arial" w:cs="Arial"/>
          <w:bCs/>
          <w:sz w:val="20"/>
          <w:szCs w:val="20"/>
        </w:rPr>
        <w:t xml:space="preserve"> </w:t>
      </w:r>
      <w:r w:rsidR="00B411BB" w:rsidRPr="0074154F">
        <w:rPr>
          <w:rFonts w:ascii="Arial" w:hAnsi="Arial" w:cs="Arial"/>
          <w:bCs/>
          <w:sz w:val="20"/>
          <w:szCs w:val="20"/>
        </w:rPr>
        <w:t>del año 2019 por</w:t>
      </w:r>
      <w:r w:rsidRPr="0074154F">
        <w:rPr>
          <w:rFonts w:ascii="Arial" w:hAnsi="Arial" w:cs="Arial"/>
          <w:bCs/>
          <w:sz w:val="20"/>
          <w:szCs w:val="20"/>
        </w:rPr>
        <w:t xml:space="preserve"> US$</w:t>
      </w:r>
      <w:r w:rsidR="00A05AE0" w:rsidRPr="0074154F">
        <w:rPr>
          <w:rFonts w:ascii="Arial" w:hAnsi="Arial" w:cs="Arial"/>
          <w:bCs/>
          <w:sz w:val="20"/>
          <w:szCs w:val="20"/>
        </w:rPr>
        <w:t>1</w:t>
      </w:r>
      <w:r w:rsidR="00AD020B" w:rsidRPr="0074154F">
        <w:rPr>
          <w:rFonts w:ascii="Arial" w:hAnsi="Arial" w:cs="Arial"/>
          <w:bCs/>
          <w:sz w:val="20"/>
          <w:szCs w:val="20"/>
        </w:rPr>
        <w:t>.</w:t>
      </w:r>
      <w:r w:rsidR="00A479DD" w:rsidRPr="0074154F">
        <w:rPr>
          <w:rFonts w:ascii="Arial" w:hAnsi="Arial" w:cs="Arial"/>
          <w:bCs/>
          <w:sz w:val="20"/>
          <w:szCs w:val="20"/>
        </w:rPr>
        <w:t>8</w:t>
      </w:r>
      <w:r w:rsidR="00AD020B" w:rsidRPr="0074154F">
        <w:rPr>
          <w:rFonts w:ascii="Arial" w:hAnsi="Arial" w:cs="Arial"/>
          <w:bCs/>
          <w:sz w:val="20"/>
          <w:szCs w:val="20"/>
        </w:rPr>
        <w:t xml:space="preserve"> millones</w:t>
      </w:r>
      <w:r w:rsidR="003C777E">
        <w:rPr>
          <w:rFonts w:ascii="Arial" w:hAnsi="Arial" w:cs="Arial"/>
          <w:bCs/>
          <w:sz w:val="20"/>
          <w:szCs w:val="20"/>
        </w:rPr>
        <w:t xml:space="preserve"> por concepto de exceso de provisión en jubilación patronal y desahucio y otros resultados integrales</w:t>
      </w:r>
      <w:r w:rsidR="00DC6AA0">
        <w:rPr>
          <w:rFonts w:ascii="Arial" w:hAnsi="Arial" w:cs="Arial"/>
          <w:bCs/>
          <w:sz w:val="20"/>
          <w:szCs w:val="20"/>
        </w:rPr>
        <w:t>, para el año 2020 se recon</w:t>
      </w:r>
      <w:r w:rsidR="00400CF2">
        <w:rPr>
          <w:rFonts w:ascii="Arial" w:hAnsi="Arial" w:cs="Arial"/>
          <w:bCs/>
          <w:sz w:val="20"/>
          <w:szCs w:val="20"/>
        </w:rPr>
        <w:t>o</w:t>
      </w:r>
      <w:r w:rsidR="00DC6AA0">
        <w:rPr>
          <w:rFonts w:ascii="Arial" w:hAnsi="Arial" w:cs="Arial"/>
          <w:bCs/>
          <w:sz w:val="20"/>
          <w:szCs w:val="20"/>
        </w:rPr>
        <w:t>cieron en otros resultados integrales US$139,500</w:t>
      </w:r>
      <w:r w:rsidR="00315387" w:rsidRPr="0074154F">
        <w:rPr>
          <w:rFonts w:ascii="Arial" w:hAnsi="Arial" w:cs="Arial"/>
          <w:bCs/>
          <w:sz w:val="20"/>
          <w:szCs w:val="20"/>
        </w:rPr>
        <w:t>;</w:t>
      </w:r>
      <w:r w:rsidR="00BB4B5C" w:rsidRPr="0074154F">
        <w:rPr>
          <w:rFonts w:ascii="Arial" w:hAnsi="Arial" w:cs="Arial"/>
          <w:bCs/>
          <w:sz w:val="20"/>
          <w:szCs w:val="20"/>
        </w:rPr>
        <w:t xml:space="preserve"> </w:t>
      </w:r>
    </w:p>
    <w:p w14:paraId="3FC8719A" w14:textId="77777777" w:rsidR="003C777E" w:rsidRDefault="003C777E" w:rsidP="003322E2">
      <w:pPr>
        <w:widowControl w:val="0"/>
        <w:spacing w:after="0" w:line="240" w:lineRule="auto"/>
        <w:ind w:left="556"/>
        <w:jc w:val="both"/>
        <w:rPr>
          <w:rFonts w:ascii="Arial" w:hAnsi="Arial" w:cs="Arial"/>
          <w:bCs/>
          <w:sz w:val="20"/>
          <w:szCs w:val="20"/>
        </w:rPr>
      </w:pPr>
    </w:p>
    <w:p w14:paraId="588681BC" w14:textId="24173CAE" w:rsidR="002D443D" w:rsidRPr="0074154F" w:rsidRDefault="003C777E" w:rsidP="003322E2">
      <w:pPr>
        <w:widowControl w:val="0"/>
        <w:spacing w:after="0" w:line="240" w:lineRule="auto"/>
        <w:ind w:left="556"/>
        <w:jc w:val="both"/>
        <w:rPr>
          <w:rFonts w:ascii="Arial" w:hAnsi="Arial" w:cs="Arial"/>
          <w:bCs/>
          <w:sz w:val="20"/>
          <w:szCs w:val="20"/>
        </w:rPr>
      </w:pPr>
      <w:r>
        <w:rPr>
          <w:rFonts w:ascii="Arial" w:hAnsi="Arial" w:cs="Arial"/>
          <w:bCs/>
          <w:sz w:val="20"/>
          <w:szCs w:val="20"/>
        </w:rPr>
        <w:t>Durante el año 2019, s</w:t>
      </w:r>
      <w:r w:rsidR="00B411BB" w:rsidRPr="0074154F">
        <w:rPr>
          <w:rFonts w:ascii="Arial" w:hAnsi="Arial" w:cs="Arial"/>
          <w:bCs/>
          <w:sz w:val="20"/>
          <w:szCs w:val="20"/>
        </w:rPr>
        <w:t xml:space="preserve">e reconocieron en los resultados </w:t>
      </w:r>
      <w:r w:rsidR="00944A09" w:rsidRPr="0074154F">
        <w:rPr>
          <w:rFonts w:ascii="Arial" w:hAnsi="Arial" w:cs="Arial"/>
          <w:bCs/>
          <w:sz w:val="20"/>
          <w:szCs w:val="20"/>
        </w:rPr>
        <w:t>US$</w:t>
      </w:r>
      <w:r w:rsidR="00B411BB" w:rsidRPr="0074154F">
        <w:rPr>
          <w:rFonts w:ascii="Arial" w:hAnsi="Arial" w:cs="Arial"/>
          <w:bCs/>
          <w:sz w:val="20"/>
          <w:szCs w:val="20"/>
        </w:rPr>
        <w:t>1</w:t>
      </w:r>
      <w:r>
        <w:rPr>
          <w:rFonts w:ascii="Arial" w:hAnsi="Arial" w:cs="Arial"/>
          <w:bCs/>
          <w:sz w:val="20"/>
          <w:szCs w:val="20"/>
        </w:rPr>
        <w:t>.1</w:t>
      </w:r>
      <w:r w:rsidR="00AD020B" w:rsidRPr="0074154F">
        <w:rPr>
          <w:rFonts w:ascii="Arial" w:hAnsi="Arial" w:cs="Arial"/>
          <w:bCs/>
          <w:sz w:val="20"/>
          <w:szCs w:val="20"/>
        </w:rPr>
        <w:t xml:space="preserve"> millón</w:t>
      </w:r>
      <w:r w:rsidR="00315387" w:rsidRPr="0074154F">
        <w:rPr>
          <w:rFonts w:ascii="Arial" w:hAnsi="Arial" w:cs="Arial"/>
          <w:bCs/>
          <w:sz w:val="20"/>
          <w:szCs w:val="20"/>
        </w:rPr>
        <w:t xml:space="preserve"> (para el año 2019)</w:t>
      </w:r>
      <w:r>
        <w:rPr>
          <w:rFonts w:ascii="Arial" w:hAnsi="Arial" w:cs="Arial"/>
          <w:bCs/>
          <w:sz w:val="20"/>
          <w:szCs w:val="20"/>
        </w:rPr>
        <w:t xml:space="preserve"> correspondiente al efecto de los ajustes por pérdidas actuariales</w:t>
      </w:r>
      <w:r w:rsidR="002D443D" w:rsidRPr="0074154F">
        <w:rPr>
          <w:rFonts w:ascii="Arial" w:hAnsi="Arial" w:cs="Arial"/>
          <w:bCs/>
          <w:sz w:val="20"/>
          <w:szCs w:val="20"/>
        </w:rPr>
        <w:t xml:space="preserve"> por beneficios definidos.</w:t>
      </w:r>
    </w:p>
    <w:p w14:paraId="194C9C85" w14:textId="2B1D5F54" w:rsidR="00473418" w:rsidRPr="0074154F" w:rsidRDefault="00473418" w:rsidP="00413455">
      <w:pPr>
        <w:widowControl w:val="0"/>
        <w:spacing w:after="0" w:line="240" w:lineRule="auto"/>
        <w:ind w:left="993"/>
        <w:jc w:val="both"/>
        <w:rPr>
          <w:rFonts w:ascii="Arial" w:hAnsi="Arial" w:cs="Arial"/>
          <w:bCs/>
          <w:sz w:val="20"/>
          <w:szCs w:val="20"/>
        </w:rPr>
      </w:pPr>
    </w:p>
    <w:p w14:paraId="60533536" w14:textId="035BDB0C" w:rsidR="00473418" w:rsidRPr="0074154F" w:rsidRDefault="00473418" w:rsidP="003322E2">
      <w:pPr>
        <w:pStyle w:val="Heading1"/>
        <w:tabs>
          <w:tab w:val="clear" w:pos="6960"/>
          <w:tab w:val="clear" w:pos="7800"/>
          <w:tab w:val="clear" w:pos="8280"/>
        </w:tabs>
        <w:ind w:left="567"/>
        <w:jc w:val="both"/>
        <w:rPr>
          <w:rFonts w:ascii="Arial" w:eastAsiaTheme="minorHAnsi" w:hAnsi="Arial" w:cs="Arial"/>
          <w:bCs/>
          <w:i/>
          <w:sz w:val="20"/>
          <w:u w:val="thick"/>
          <w:lang w:val="es-EC"/>
        </w:rPr>
      </w:pPr>
      <w:r w:rsidRPr="0074154F">
        <w:rPr>
          <w:rFonts w:ascii="Arial" w:eastAsiaTheme="minorHAnsi" w:hAnsi="Arial" w:cs="Arial"/>
          <w:bCs/>
          <w:i/>
          <w:sz w:val="20"/>
          <w:u w:val="thick"/>
          <w:lang w:val="es-EC"/>
        </w:rPr>
        <w:t>Dividendos declarados</w:t>
      </w:r>
    </w:p>
    <w:p w14:paraId="20DED828" w14:textId="43366ADA" w:rsidR="00473418" w:rsidRPr="0074154F" w:rsidRDefault="00473418" w:rsidP="00413455">
      <w:pPr>
        <w:widowControl w:val="0"/>
        <w:spacing w:after="0" w:line="240" w:lineRule="auto"/>
        <w:ind w:left="993"/>
        <w:jc w:val="both"/>
        <w:rPr>
          <w:rFonts w:ascii="Arial" w:hAnsi="Arial" w:cs="Arial"/>
          <w:bCs/>
          <w:sz w:val="20"/>
          <w:szCs w:val="20"/>
        </w:rPr>
      </w:pPr>
    </w:p>
    <w:p w14:paraId="6922D429" w14:textId="77777777" w:rsidR="005F0AB6" w:rsidRDefault="00CB6013" w:rsidP="003322E2">
      <w:pPr>
        <w:widowControl w:val="0"/>
        <w:spacing w:after="0" w:line="240" w:lineRule="auto"/>
        <w:ind w:left="567"/>
        <w:jc w:val="both"/>
        <w:rPr>
          <w:rFonts w:ascii="Arial" w:hAnsi="Arial" w:cs="Arial"/>
          <w:sz w:val="20"/>
          <w:szCs w:val="20"/>
        </w:rPr>
      </w:pPr>
      <w:r>
        <w:rPr>
          <w:rFonts w:ascii="Arial" w:hAnsi="Arial" w:cs="Arial"/>
          <w:sz w:val="20"/>
          <w:szCs w:val="20"/>
        </w:rPr>
        <w:t xml:space="preserve">Durante el año 2019, se efectuó un debito en el rubro de resultados acumulados producto del registro de una distribución de dividendos por US$8.8 millones el cual fue reportada mediante Acta de Junta General de Accionistas, de los cuales se cancelaron 3.3 millones. </w:t>
      </w:r>
    </w:p>
    <w:p w14:paraId="37B2D201" w14:textId="77777777" w:rsidR="005F0AB6" w:rsidRDefault="005F0AB6" w:rsidP="003322E2">
      <w:pPr>
        <w:widowControl w:val="0"/>
        <w:spacing w:after="0" w:line="240" w:lineRule="auto"/>
        <w:ind w:left="567"/>
        <w:jc w:val="both"/>
        <w:rPr>
          <w:rFonts w:ascii="Arial" w:hAnsi="Arial" w:cs="Arial"/>
          <w:sz w:val="20"/>
          <w:szCs w:val="20"/>
        </w:rPr>
      </w:pPr>
    </w:p>
    <w:p w14:paraId="4A8686D7" w14:textId="77777777" w:rsidR="005F0AB6" w:rsidRDefault="005F0AB6" w:rsidP="003322E2">
      <w:pPr>
        <w:widowControl w:val="0"/>
        <w:spacing w:after="0" w:line="240" w:lineRule="auto"/>
        <w:ind w:left="567"/>
        <w:jc w:val="both"/>
        <w:rPr>
          <w:rFonts w:ascii="Arial" w:hAnsi="Arial" w:cs="Arial"/>
          <w:sz w:val="20"/>
          <w:szCs w:val="20"/>
        </w:rPr>
      </w:pPr>
    </w:p>
    <w:p w14:paraId="1D431495" w14:textId="622F4568" w:rsidR="00CB6013" w:rsidRPr="0074154F" w:rsidRDefault="00CB6013" w:rsidP="003322E2">
      <w:pPr>
        <w:widowControl w:val="0"/>
        <w:spacing w:after="0" w:line="240" w:lineRule="auto"/>
        <w:ind w:left="567"/>
        <w:jc w:val="both"/>
        <w:rPr>
          <w:rFonts w:ascii="Arial" w:hAnsi="Arial" w:cs="Arial"/>
          <w:bCs/>
          <w:sz w:val="20"/>
          <w:szCs w:val="20"/>
        </w:rPr>
      </w:pPr>
      <w:r>
        <w:rPr>
          <w:rFonts w:ascii="Arial" w:hAnsi="Arial" w:cs="Arial"/>
          <w:sz w:val="20"/>
          <w:szCs w:val="20"/>
        </w:rPr>
        <w:t>Mediante</w:t>
      </w:r>
      <w:r w:rsidRPr="00D25C0B">
        <w:rPr>
          <w:rFonts w:ascii="Arial" w:hAnsi="Arial" w:cs="Arial"/>
          <w:sz w:val="20"/>
          <w:szCs w:val="20"/>
        </w:rPr>
        <w:t xml:space="preserve"> el Acta de Junta General de Accionistas de fecha 16 de marzo del 2020, donde los accionistas deciden</w:t>
      </w:r>
      <w:r w:rsidRPr="00D25C0B">
        <w:rPr>
          <w:rFonts w:ascii="Arial" w:hAnsi="Arial" w:cs="Arial"/>
          <w:sz w:val="10"/>
          <w:szCs w:val="10"/>
        </w:rPr>
        <w:t xml:space="preserve"> </w:t>
      </w:r>
      <w:r w:rsidRPr="00D25C0B">
        <w:rPr>
          <w:rFonts w:ascii="Arial" w:hAnsi="Arial" w:cs="Arial"/>
          <w:sz w:val="20"/>
          <w:szCs w:val="20"/>
        </w:rPr>
        <w:t>ratificar</w:t>
      </w:r>
      <w:r w:rsidRPr="00D25C0B">
        <w:rPr>
          <w:rFonts w:ascii="Arial" w:hAnsi="Arial" w:cs="Arial"/>
          <w:bCs/>
          <w:sz w:val="20"/>
          <w:szCs w:val="20"/>
        </w:rPr>
        <w:t xml:space="preserve"> el registro de reparto de dividendos de utilidades del ejercicio fiscal 2018 por US$5.5 millones registrada en el comprobante contable los cuales fueron compensados de la siguiente manera; de las cuentas por cobrar de los accionistas, del accionista Marion Tomislav Topic Granados, el monto de US$2.8 millones y del accionista Jan Tomislav Topic Feraud, el monto de US$2.6 millones.</w:t>
      </w:r>
    </w:p>
    <w:p w14:paraId="2AD1AB5A" w14:textId="77777777" w:rsidR="00CB6013" w:rsidRDefault="00CB6013" w:rsidP="003322E2">
      <w:pPr>
        <w:pStyle w:val="Heading1"/>
        <w:tabs>
          <w:tab w:val="clear" w:pos="6960"/>
          <w:tab w:val="clear" w:pos="7800"/>
          <w:tab w:val="clear" w:pos="8280"/>
        </w:tabs>
        <w:ind w:left="567"/>
        <w:jc w:val="both"/>
        <w:rPr>
          <w:rFonts w:ascii="Arial" w:eastAsiaTheme="minorHAnsi" w:hAnsi="Arial" w:cs="Arial"/>
          <w:bCs/>
          <w:i/>
          <w:sz w:val="20"/>
          <w:u w:val="thick"/>
          <w:lang w:val="es-EC"/>
        </w:rPr>
      </w:pPr>
    </w:p>
    <w:p w14:paraId="7D397610" w14:textId="21B4A95A" w:rsidR="009205BC" w:rsidRPr="0074154F" w:rsidRDefault="009205BC" w:rsidP="003322E2">
      <w:pPr>
        <w:pStyle w:val="Heading1"/>
        <w:tabs>
          <w:tab w:val="clear" w:pos="6960"/>
          <w:tab w:val="clear" w:pos="7800"/>
          <w:tab w:val="clear" w:pos="8280"/>
        </w:tabs>
        <w:ind w:left="567"/>
        <w:jc w:val="both"/>
        <w:rPr>
          <w:rFonts w:ascii="Arial" w:hAnsi="Arial" w:cs="Arial"/>
          <w:b w:val="0"/>
          <w:sz w:val="20"/>
          <w:u w:val="single"/>
        </w:rPr>
      </w:pPr>
      <w:r w:rsidRPr="0074154F">
        <w:rPr>
          <w:rFonts w:ascii="Arial" w:eastAsiaTheme="minorHAnsi" w:hAnsi="Arial" w:cs="Arial"/>
          <w:bCs/>
          <w:i/>
          <w:sz w:val="20"/>
          <w:u w:val="thick"/>
          <w:lang w:val="es-EC"/>
        </w:rPr>
        <w:t>Ajustes</w:t>
      </w:r>
      <w:r w:rsidRPr="0074154F">
        <w:rPr>
          <w:rFonts w:ascii="Arial" w:hAnsi="Arial" w:cs="Arial"/>
          <w:sz w:val="20"/>
          <w:u w:val="single"/>
        </w:rPr>
        <w:t xml:space="preserve"> </w:t>
      </w:r>
    </w:p>
    <w:p w14:paraId="06EFC11C" w14:textId="77125EEA" w:rsidR="00682377" w:rsidRPr="0074154F" w:rsidRDefault="00682377" w:rsidP="00413455">
      <w:pPr>
        <w:widowControl w:val="0"/>
        <w:spacing w:after="0" w:line="240" w:lineRule="auto"/>
        <w:ind w:left="993"/>
        <w:jc w:val="both"/>
        <w:rPr>
          <w:rFonts w:ascii="Arial" w:hAnsi="Arial" w:cs="Arial"/>
          <w:bCs/>
          <w:i/>
          <w:sz w:val="16"/>
          <w:szCs w:val="16"/>
          <w:u w:val="single"/>
        </w:rPr>
      </w:pPr>
    </w:p>
    <w:p w14:paraId="16D02681" w14:textId="608D669B" w:rsidR="009205BC" w:rsidRPr="0074154F" w:rsidRDefault="009205BC" w:rsidP="003322E2">
      <w:pPr>
        <w:widowControl w:val="0"/>
        <w:spacing w:after="0" w:line="240" w:lineRule="auto"/>
        <w:ind w:left="556"/>
        <w:jc w:val="both"/>
        <w:rPr>
          <w:rFonts w:ascii="Arial" w:hAnsi="Arial" w:cs="Arial"/>
          <w:bCs/>
          <w:iCs/>
          <w:sz w:val="20"/>
          <w:szCs w:val="20"/>
        </w:rPr>
      </w:pPr>
      <w:r w:rsidRPr="0074154F">
        <w:rPr>
          <w:rFonts w:ascii="Arial" w:hAnsi="Arial" w:cs="Arial"/>
          <w:bCs/>
          <w:iCs/>
          <w:sz w:val="20"/>
          <w:szCs w:val="20"/>
        </w:rPr>
        <w:t xml:space="preserve">Durante el año 2020, </w:t>
      </w:r>
      <w:r w:rsidR="005A6017" w:rsidRPr="0074154F">
        <w:rPr>
          <w:rFonts w:ascii="Arial" w:hAnsi="Arial" w:cs="Arial"/>
          <w:bCs/>
          <w:iCs/>
          <w:sz w:val="20"/>
          <w:szCs w:val="20"/>
        </w:rPr>
        <w:t>incluyen principalmente el</w:t>
      </w:r>
      <w:r w:rsidRPr="0074154F">
        <w:rPr>
          <w:rFonts w:ascii="Arial" w:hAnsi="Arial" w:cs="Arial"/>
          <w:bCs/>
          <w:iCs/>
          <w:sz w:val="20"/>
          <w:szCs w:val="20"/>
        </w:rPr>
        <w:t xml:space="preserve"> registro en los resultados acumulados</w:t>
      </w:r>
      <w:r w:rsidR="005A6017" w:rsidRPr="0074154F">
        <w:rPr>
          <w:rFonts w:ascii="Arial" w:hAnsi="Arial" w:cs="Arial"/>
          <w:bCs/>
          <w:iCs/>
          <w:sz w:val="20"/>
          <w:szCs w:val="20"/>
        </w:rPr>
        <w:t xml:space="preserve"> por concepto de </w:t>
      </w:r>
      <w:r w:rsidRPr="0074154F">
        <w:rPr>
          <w:rFonts w:ascii="Arial" w:hAnsi="Arial" w:cs="Arial"/>
          <w:bCs/>
          <w:iCs/>
          <w:sz w:val="20"/>
          <w:szCs w:val="20"/>
        </w:rPr>
        <w:t>ajustes</w:t>
      </w:r>
      <w:r w:rsidR="005A6017" w:rsidRPr="0074154F">
        <w:rPr>
          <w:rFonts w:ascii="Arial" w:hAnsi="Arial" w:cs="Arial"/>
          <w:bCs/>
          <w:iCs/>
          <w:sz w:val="20"/>
          <w:szCs w:val="20"/>
        </w:rPr>
        <w:t xml:space="preserve"> de comisiones con la relacionada Cable Andino</w:t>
      </w:r>
      <w:r w:rsidR="000352EC" w:rsidRPr="0074154F">
        <w:rPr>
          <w:rFonts w:ascii="Arial" w:hAnsi="Arial" w:cs="Arial"/>
          <w:bCs/>
          <w:iCs/>
          <w:sz w:val="20"/>
          <w:szCs w:val="20"/>
        </w:rPr>
        <w:t xml:space="preserve"> y saldos de inventarios de años anteriores de Telconet Panamá</w:t>
      </w:r>
      <w:r w:rsidR="00677CD5" w:rsidRPr="0074154F">
        <w:rPr>
          <w:rFonts w:ascii="Arial" w:hAnsi="Arial" w:cs="Arial"/>
          <w:bCs/>
          <w:iCs/>
          <w:sz w:val="20"/>
          <w:szCs w:val="20"/>
        </w:rPr>
        <w:t xml:space="preserve"> y Telsoterra S.A</w:t>
      </w:r>
      <w:r w:rsidR="005A6017" w:rsidRPr="0074154F">
        <w:rPr>
          <w:rFonts w:ascii="Arial" w:hAnsi="Arial" w:cs="Arial"/>
          <w:bCs/>
          <w:iCs/>
          <w:sz w:val="20"/>
          <w:szCs w:val="20"/>
        </w:rPr>
        <w:t>.</w:t>
      </w:r>
    </w:p>
    <w:p w14:paraId="280686A8" w14:textId="77777777" w:rsidR="009205BC" w:rsidRPr="0074154F" w:rsidRDefault="009205BC" w:rsidP="00413455">
      <w:pPr>
        <w:widowControl w:val="0"/>
        <w:spacing w:after="0" w:line="240" w:lineRule="auto"/>
        <w:ind w:left="993"/>
        <w:jc w:val="both"/>
        <w:rPr>
          <w:rFonts w:ascii="Arial" w:hAnsi="Arial" w:cs="Arial"/>
          <w:bCs/>
          <w:i/>
          <w:sz w:val="16"/>
          <w:szCs w:val="16"/>
          <w:u w:val="single"/>
        </w:rPr>
      </w:pPr>
    </w:p>
    <w:p w14:paraId="19F2CB5B" w14:textId="7135DE06" w:rsidR="002B434B" w:rsidRPr="0074154F" w:rsidRDefault="002B434B" w:rsidP="003322E2">
      <w:pPr>
        <w:pStyle w:val="Heading1"/>
        <w:tabs>
          <w:tab w:val="clear" w:pos="6960"/>
          <w:tab w:val="clear" w:pos="7800"/>
          <w:tab w:val="clear" w:pos="8280"/>
        </w:tabs>
        <w:ind w:left="567"/>
        <w:jc w:val="both"/>
        <w:rPr>
          <w:rFonts w:ascii="Arial" w:hAnsi="Arial" w:cs="Arial"/>
          <w:bCs/>
          <w:i/>
          <w:sz w:val="20"/>
          <w:u w:val="single"/>
        </w:rPr>
      </w:pPr>
      <w:r w:rsidRPr="0074154F">
        <w:rPr>
          <w:rFonts w:ascii="Arial" w:hAnsi="Arial" w:cs="Arial"/>
          <w:bCs/>
          <w:i/>
          <w:sz w:val="20"/>
          <w:u w:val="single"/>
        </w:rPr>
        <w:t xml:space="preserve">Otras </w:t>
      </w:r>
      <w:r w:rsidRPr="0074154F">
        <w:rPr>
          <w:rFonts w:ascii="Arial" w:eastAsiaTheme="minorHAnsi" w:hAnsi="Arial" w:cs="Arial"/>
          <w:bCs/>
          <w:i/>
          <w:sz w:val="20"/>
          <w:u w:val="thick"/>
          <w:lang w:val="es-EC"/>
        </w:rPr>
        <w:t>resoluciones</w:t>
      </w:r>
    </w:p>
    <w:p w14:paraId="395BC806" w14:textId="77777777" w:rsidR="002B434B" w:rsidRPr="0074154F" w:rsidRDefault="002B434B" w:rsidP="002B434B">
      <w:pPr>
        <w:pStyle w:val="ListParagraph"/>
        <w:autoSpaceDE w:val="0"/>
        <w:autoSpaceDN w:val="0"/>
        <w:adjustRightInd w:val="0"/>
        <w:spacing w:after="0" w:line="240" w:lineRule="auto"/>
        <w:ind w:left="426"/>
        <w:jc w:val="both"/>
        <w:rPr>
          <w:rFonts w:ascii="Arial" w:hAnsi="Arial" w:cs="Arial"/>
          <w:sz w:val="20"/>
          <w:szCs w:val="20"/>
        </w:rPr>
      </w:pPr>
    </w:p>
    <w:p w14:paraId="03E7D2CC" w14:textId="49A4115F" w:rsidR="002B434B" w:rsidRPr="0074154F" w:rsidRDefault="002B434B" w:rsidP="003322E2">
      <w:pPr>
        <w:autoSpaceDE w:val="0"/>
        <w:autoSpaceDN w:val="0"/>
        <w:adjustRightInd w:val="0"/>
        <w:spacing w:after="0" w:line="240" w:lineRule="auto"/>
        <w:ind w:left="567"/>
        <w:jc w:val="both"/>
        <w:rPr>
          <w:rFonts w:ascii="Arial" w:hAnsi="Arial" w:cs="Arial"/>
          <w:sz w:val="20"/>
          <w:szCs w:val="20"/>
        </w:rPr>
      </w:pPr>
      <w:r w:rsidRPr="0074154F">
        <w:rPr>
          <w:rFonts w:ascii="Arial" w:hAnsi="Arial" w:cs="Arial"/>
          <w:sz w:val="20"/>
          <w:szCs w:val="20"/>
        </w:rPr>
        <w:t xml:space="preserve">El 21 de noviembre del 2018, de acuerdo con la Resolución No. SCVS.INC.DNSD-2018-00873 de la Superintendencia de Compañías, Valores y Seguros (SCVS) declaró la intervención de la Compañía con el objeto de supervigilar la marcha económica financiera y propiciar la corrección de las irregularidades advertidas a fin de evitar perjuicios a sus accionistas y/o terceros, por estar incursa en la causal tercera del Art. 354 de la Ley de Compañías. </w:t>
      </w:r>
    </w:p>
    <w:p w14:paraId="6F8E7B80" w14:textId="5EE4E77C" w:rsidR="002B434B" w:rsidRPr="0074154F" w:rsidRDefault="002B434B" w:rsidP="002B434B">
      <w:pPr>
        <w:pStyle w:val="ListParagraph"/>
        <w:autoSpaceDE w:val="0"/>
        <w:autoSpaceDN w:val="0"/>
        <w:adjustRightInd w:val="0"/>
        <w:spacing w:after="0" w:line="240" w:lineRule="auto"/>
        <w:ind w:left="426"/>
        <w:jc w:val="both"/>
        <w:rPr>
          <w:rFonts w:ascii="Arial" w:hAnsi="Arial" w:cs="Arial"/>
          <w:sz w:val="20"/>
          <w:szCs w:val="20"/>
        </w:rPr>
      </w:pPr>
    </w:p>
    <w:p w14:paraId="4824E1D3" w14:textId="77777777" w:rsidR="002B434B" w:rsidRPr="0074154F" w:rsidRDefault="002B434B" w:rsidP="003322E2">
      <w:pPr>
        <w:autoSpaceDE w:val="0"/>
        <w:autoSpaceDN w:val="0"/>
        <w:adjustRightInd w:val="0"/>
        <w:spacing w:after="0" w:line="240" w:lineRule="auto"/>
        <w:ind w:left="567"/>
        <w:jc w:val="both"/>
        <w:rPr>
          <w:rFonts w:ascii="Arial" w:hAnsi="Arial" w:cs="Arial"/>
          <w:sz w:val="20"/>
          <w:szCs w:val="20"/>
        </w:rPr>
      </w:pPr>
      <w:r w:rsidRPr="0074154F">
        <w:rPr>
          <w:rFonts w:ascii="Arial" w:hAnsi="Arial" w:cs="Arial"/>
          <w:sz w:val="20"/>
          <w:szCs w:val="20"/>
        </w:rPr>
        <w:t xml:space="preserve">De acuerdo con las conclusiones constantes en los memorandos de la Dirección Nacional de Inspección, Control, Auditoría e intervención y de la Dirección Nacional de Actos Societarios y Disolución No SCVS-INC-DNICAI-2018-0634-M y No SCVS-INC-DNASD-2018-0478-M ambos   del 26 de noviembre del 2018, respectivamente.    </w:t>
      </w:r>
    </w:p>
    <w:p w14:paraId="167278F5" w14:textId="77777777" w:rsidR="00FC76B2" w:rsidRPr="0074154F" w:rsidRDefault="00FC76B2" w:rsidP="00916C42">
      <w:pPr>
        <w:spacing w:after="0" w:line="240" w:lineRule="auto"/>
        <w:ind w:left="567"/>
        <w:jc w:val="both"/>
        <w:rPr>
          <w:rFonts w:ascii="Arial" w:hAnsi="Arial" w:cs="Arial"/>
          <w:sz w:val="20"/>
          <w:szCs w:val="20"/>
        </w:rPr>
      </w:pPr>
    </w:p>
    <w:p w14:paraId="50E702EE" w14:textId="745C5D41" w:rsidR="002B434B" w:rsidRPr="0074154F" w:rsidRDefault="002B434B" w:rsidP="00916C42">
      <w:pPr>
        <w:spacing w:after="0" w:line="240" w:lineRule="auto"/>
        <w:ind w:left="567"/>
        <w:jc w:val="both"/>
        <w:rPr>
          <w:rFonts w:ascii="Arial" w:hAnsi="Arial" w:cs="Arial"/>
          <w:sz w:val="20"/>
          <w:szCs w:val="20"/>
        </w:rPr>
      </w:pPr>
      <w:r w:rsidRPr="0074154F">
        <w:rPr>
          <w:rFonts w:ascii="Arial" w:hAnsi="Arial" w:cs="Arial"/>
          <w:sz w:val="20"/>
          <w:szCs w:val="20"/>
        </w:rPr>
        <w:t>Durante el año 2019, a través del interventor designado, se emitieron informes mensuales a la Intendencia Nacional de Valores acerca de las actividades cumplidas y de las acciones realizadas por la Administración de la Compañía, tendentes a superar las causales que originaron la intervención.</w:t>
      </w:r>
    </w:p>
    <w:p w14:paraId="49683F0D" w14:textId="77777777" w:rsidR="002B434B" w:rsidRPr="0074154F" w:rsidRDefault="002B434B" w:rsidP="002B434B">
      <w:pPr>
        <w:pStyle w:val="ListParagraph"/>
        <w:spacing w:after="0" w:line="240" w:lineRule="auto"/>
        <w:jc w:val="both"/>
        <w:rPr>
          <w:rFonts w:ascii="Arial" w:hAnsi="Arial" w:cs="Arial"/>
          <w:sz w:val="20"/>
          <w:szCs w:val="20"/>
        </w:rPr>
      </w:pPr>
    </w:p>
    <w:p w14:paraId="3F47A05A" w14:textId="77777777" w:rsidR="002B434B" w:rsidRPr="0074154F" w:rsidRDefault="002B434B" w:rsidP="00916C42">
      <w:pPr>
        <w:spacing w:after="0" w:line="240" w:lineRule="auto"/>
        <w:ind w:left="567"/>
        <w:jc w:val="both"/>
        <w:rPr>
          <w:rFonts w:ascii="Arial" w:hAnsi="Arial" w:cs="Arial"/>
          <w:sz w:val="20"/>
          <w:szCs w:val="20"/>
        </w:rPr>
      </w:pPr>
      <w:r w:rsidRPr="0074154F">
        <w:rPr>
          <w:rFonts w:ascii="Arial" w:hAnsi="Arial" w:cs="Arial"/>
          <w:sz w:val="20"/>
          <w:szCs w:val="20"/>
        </w:rPr>
        <w:t>Con fecha 20 de diciembre del 2019, mediante Oficio No. SCVS.SG.2019-02639-O de la Superintendencia de Compañías, Valores y Seguros (SCVS) se resuelve levantar la intervención de la Compañía.</w:t>
      </w:r>
    </w:p>
    <w:p w14:paraId="492F55FD" w14:textId="77777777" w:rsidR="00405116" w:rsidRPr="0074154F" w:rsidRDefault="00405116" w:rsidP="002B434B">
      <w:pPr>
        <w:pStyle w:val="ListParagraph"/>
        <w:spacing w:after="0" w:line="240" w:lineRule="auto"/>
        <w:jc w:val="both"/>
        <w:rPr>
          <w:rFonts w:ascii="Arial" w:hAnsi="Arial" w:cs="Arial"/>
          <w:sz w:val="20"/>
          <w:szCs w:val="20"/>
        </w:rPr>
      </w:pPr>
    </w:p>
    <w:p w14:paraId="6D7B6A31" w14:textId="2582CC78" w:rsidR="002B434B" w:rsidRPr="0074154F" w:rsidRDefault="002B434B" w:rsidP="00916C42">
      <w:pPr>
        <w:widowControl w:val="0"/>
        <w:spacing w:after="0" w:line="240" w:lineRule="auto"/>
        <w:ind w:left="567"/>
        <w:jc w:val="both"/>
        <w:rPr>
          <w:rFonts w:ascii="Arial" w:hAnsi="Arial" w:cs="Arial"/>
          <w:bCs/>
          <w:i/>
          <w:sz w:val="16"/>
          <w:szCs w:val="16"/>
          <w:u w:val="single"/>
        </w:rPr>
      </w:pPr>
      <w:r w:rsidRPr="0074154F">
        <w:rPr>
          <w:rFonts w:ascii="Arial" w:hAnsi="Arial" w:cs="Arial"/>
          <w:sz w:val="20"/>
          <w:szCs w:val="20"/>
        </w:rPr>
        <w:t>Desde el año 2017, la fiscalía se encuentra en investigación a los accionistas de la Compañía acerca del origen de una parte de los recursos que se invirtieron para la instalación del cable submarino, producto de la cual la Compañía ha comparecido, con el fin de coadyuvar, en el proceso de investigación por pedido de la Unidad de Análisis Financiero y Económico (UAFE), depositó en el mes enero del año 2019 de forma provisional la cantidad de US$13.5 millones en la cuenta del Servicio de Gestión Inmobiliaria (</w:t>
      </w:r>
      <w:proofErr w:type="spellStart"/>
      <w:r w:rsidRPr="0074154F">
        <w:rPr>
          <w:rFonts w:ascii="Arial" w:hAnsi="Arial" w:cs="Arial"/>
          <w:sz w:val="20"/>
          <w:szCs w:val="20"/>
        </w:rPr>
        <w:t>Inmobiliar</w:t>
      </w:r>
      <w:proofErr w:type="spellEnd"/>
      <w:r w:rsidRPr="0074154F">
        <w:rPr>
          <w:rFonts w:ascii="Arial" w:hAnsi="Arial" w:cs="Arial"/>
          <w:sz w:val="20"/>
          <w:szCs w:val="20"/>
        </w:rPr>
        <w:t xml:space="preserve">). A la fecha de emisión de estos estados financieros </w:t>
      </w:r>
      <w:r w:rsidR="004C05BF" w:rsidRPr="0074154F">
        <w:rPr>
          <w:rFonts w:ascii="Arial" w:hAnsi="Arial" w:cs="Arial"/>
          <w:sz w:val="20"/>
          <w:szCs w:val="20"/>
        </w:rPr>
        <w:t>consolidados</w:t>
      </w:r>
      <w:r w:rsidRPr="0074154F">
        <w:rPr>
          <w:rFonts w:ascii="Arial" w:hAnsi="Arial" w:cs="Arial"/>
          <w:sz w:val="20"/>
          <w:szCs w:val="20"/>
        </w:rPr>
        <w:t xml:space="preserve">, y de acuerdo con sus asesores legales, el proceso ya cumplió con el plazo de ley para su finalización, por lo que se prevé el cierre de </w:t>
      </w:r>
      <w:proofErr w:type="gramStart"/>
      <w:r w:rsidRPr="0074154F">
        <w:rPr>
          <w:rFonts w:ascii="Arial" w:hAnsi="Arial" w:cs="Arial"/>
          <w:sz w:val="20"/>
          <w:szCs w:val="20"/>
        </w:rPr>
        <w:t>la misma</w:t>
      </w:r>
      <w:proofErr w:type="gramEnd"/>
      <w:r w:rsidRPr="0074154F">
        <w:rPr>
          <w:rFonts w:ascii="Arial" w:hAnsi="Arial" w:cs="Arial"/>
          <w:sz w:val="20"/>
          <w:szCs w:val="20"/>
        </w:rPr>
        <w:t xml:space="preserve"> en una próxima fecha.</w:t>
      </w:r>
    </w:p>
    <w:p w14:paraId="1F334F7D" w14:textId="6834AA17" w:rsidR="002B434B" w:rsidRDefault="002B434B" w:rsidP="00413455">
      <w:pPr>
        <w:widowControl w:val="0"/>
        <w:spacing w:after="0" w:line="240" w:lineRule="auto"/>
        <w:ind w:left="993"/>
        <w:jc w:val="both"/>
        <w:rPr>
          <w:rFonts w:ascii="Arial" w:hAnsi="Arial" w:cs="Arial"/>
          <w:bCs/>
          <w:i/>
          <w:sz w:val="16"/>
          <w:szCs w:val="16"/>
          <w:u w:val="single"/>
        </w:rPr>
      </w:pPr>
    </w:p>
    <w:p w14:paraId="476E2832" w14:textId="6808D8F5" w:rsidR="008146FA" w:rsidRDefault="008146FA" w:rsidP="00413455">
      <w:pPr>
        <w:widowControl w:val="0"/>
        <w:spacing w:after="0" w:line="240" w:lineRule="auto"/>
        <w:ind w:left="993"/>
        <w:jc w:val="both"/>
        <w:rPr>
          <w:rFonts w:ascii="Arial" w:hAnsi="Arial" w:cs="Arial"/>
          <w:bCs/>
          <w:i/>
          <w:sz w:val="16"/>
          <w:szCs w:val="16"/>
          <w:u w:val="single"/>
        </w:rPr>
      </w:pPr>
    </w:p>
    <w:p w14:paraId="36782431" w14:textId="3A1148F0" w:rsidR="008146FA" w:rsidRDefault="008146FA" w:rsidP="00413455">
      <w:pPr>
        <w:widowControl w:val="0"/>
        <w:spacing w:after="0" w:line="240" w:lineRule="auto"/>
        <w:ind w:left="993"/>
        <w:jc w:val="both"/>
        <w:rPr>
          <w:rFonts w:ascii="Arial" w:hAnsi="Arial" w:cs="Arial"/>
          <w:bCs/>
          <w:i/>
          <w:sz w:val="16"/>
          <w:szCs w:val="16"/>
          <w:u w:val="single"/>
        </w:rPr>
      </w:pPr>
    </w:p>
    <w:p w14:paraId="4427F08F" w14:textId="5FFDE509" w:rsidR="008146FA" w:rsidRPr="008146FA" w:rsidRDefault="008146FA" w:rsidP="008146FA">
      <w:pPr>
        <w:widowControl w:val="0"/>
        <w:spacing w:after="0" w:line="240" w:lineRule="auto"/>
        <w:ind w:left="993"/>
        <w:jc w:val="center"/>
        <w:rPr>
          <w:rFonts w:ascii="Arial" w:hAnsi="Arial" w:cs="Arial"/>
          <w:b/>
          <w:iCs/>
          <w:sz w:val="20"/>
          <w:szCs w:val="20"/>
        </w:rPr>
      </w:pPr>
      <w:r w:rsidRPr="008146FA">
        <w:rPr>
          <w:rFonts w:ascii="Arial" w:hAnsi="Arial" w:cs="Arial"/>
          <w:b/>
          <w:iCs/>
          <w:sz w:val="20"/>
          <w:szCs w:val="20"/>
        </w:rPr>
        <w:t>ESPACIO EN BLANCO</w:t>
      </w:r>
    </w:p>
    <w:p w14:paraId="7398369A" w14:textId="77777777" w:rsidR="00B2512B" w:rsidRPr="0074154F" w:rsidRDefault="00B2512B"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lastRenderedPageBreak/>
        <w:t>INGRESOS OPERACIONALES, NETO</w:t>
      </w:r>
    </w:p>
    <w:p w14:paraId="3173B55F" w14:textId="77777777" w:rsidR="00B2512B" w:rsidRPr="0074154F" w:rsidRDefault="00B2512B" w:rsidP="00413455">
      <w:pPr>
        <w:spacing w:after="0" w:line="240" w:lineRule="auto"/>
        <w:rPr>
          <w:rFonts w:ascii="Arial" w:hAnsi="Arial" w:cs="Arial"/>
          <w:sz w:val="20"/>
          <w:szCs w:val="20"/>
          <w:lang w:eastAsia="es-EC"/>
        </w:rPr>
      </w:pPr>
    </w:p>
    <w:tbl>
      <w:tblPr>
        <w:tblW w:w="8503" w:type="dxa"/>
        <w:jc w:val="right"/>
        <w:tblBorders>
          <w:bottom w:val="double" w:sz="4" w:space="0" w:color="auto"/>
        </w:tblBorders>
        <w:tblCellMar>
          <w:left w:w="70" w:type="dxa"/>
          <w:right w:w="70" w:type="dxa"/>
        </w:tblCellMar>
        <w:tblLook w:val="04A0" w:firstRow="1" w:lastRow="0" w:firstColumn="1" w:lastColumn="0" w:noHBand="0" w:noVBand="1"/>
      </w:tblPr>
      <w:tblGrid>
        <w:gridCol w:w="4756"/>
        <w:gridCol w:w="2048"/>
        <w:gridCol w:w="218"/>
        <w:gridCol w:w="2048"/>
      </w:tblGrid>
      <w:tr w:rsidR="00B610B7" w:rsidRPr="0074154F" w14:paraId="109CD431" w14:textId="77777777" w:rsidTr="00471822">
        <w:trPr>
          <w:trHeight w:val="255"/>
          <w:jc w:val="right"/>
        </w:trPr>
        <w:tc>
          <w:tcPr>
            <w:tcW w:w="5272" w:type="dxa"/>
            <w:shd w:val="clear" w:color="auto" w:fill="auto"/>
            <w:noWrap/>
            <w:vAlign w:val="bottom"/>
            <w:hideMark/>
          </w:tcPr>
          <w:p w14:paraId="4419F018"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bottom w:val="single" w:sz="8" w:space="0" w:color="auto"/>
            </w:tcBorders>
            <w:shd w:val="clear" w:color="auto" w:fill="auto"/>
            <w:noWrap/>
            <w:vAlign w:val="bottom"/>
            <w:hideMark/>
          </w:tcPr>
          <w:p w14:paraId="321C9239" w14:textId="09F38FBF" w:rsidR="00B610B7" w:rsidRPr="0074154F" w:rsidRDefault="006915F6"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27" w:type="dxa"/>
            <w:shd w:val="clear" w:color="auto" w:fill="auto"/>
            <w:noWrap/>
            <w:vAlign w:val="bottom"/>
            <w:hideMark/>
          </w:tcPr>
          <w:p w14:paraId="0D2275D1" w14:textId="77777777" w:rsidR="00B610B7" w:rsidRPr="0074154F" w:rsidRDefault="00B610B7" w:rsidP="00413455">
            <w:pPr>
              <w:spacing w:after="0" w:line="240" w:lineRule="auto"/>
              <w:ind w:right="79"/>
              <w:jc w:val="right"/>
              <w:rPr>
                <w:rFonts w:ascii="Arial" w:eastAsia="Times New Roman" w:hAnsi="Arial" w:cs="Arial"/>
                <w:b/>
                <w:bCs/>
                <w:color w:val="000000"/>
                <w:sz w:val="20"/>
                <w:szCs w:val="20"/>
                <w:lang w:eastAsia="es-EC"/>
              </w:rPr>
            </w:pPr>
          </w:p>
        </w:tc>
        <w:tc>
          <w:tcPr>
            <w:tcW w:w="1502" w:type="dxa"/>
            <w:tcBorders>
              <w:bottom w:val="single" w:sz="8" w:space="0" w:color="auto"/>
            </w:tcBorders>
            <w:shd w:val="clear" w:color="auto" w:fill="auto"/>
            <w:noWrap/>
            <w:vAlign w:val="bottom"/>
            <w:hideMark/>
          </w:tcPr>
          <w:p w14:paraId="7E0E95FC" w14:textId="35B982D1" w:rsidR="00B610B7" w:rsidRPr="0074154F" w:rsidRDefault="006915F6" w:rsidP="00413455">
            <w:pPr>
              <w:spacing w:after="0" w:line="240" w:lineRule="auto"/>
              <w:ind w:right="7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B610B7" w:rsidRPr="0074154F" w14:paraId="61830CF8" w14:textId="77777777" w:rsidTr="00121C7F">
        <w:trPr>
          <w:trHeight w:val="255"/>
          <w:jc w:val="right"/>
        </w:trPr>
        <w:tc>
          <w:tcPr>
            <w:tcW w:w="5272" w:type="dxa"/>
            <w:tcBorders>
              <w:bottom w:val="nil"/>
            </w:tcBorders>
            <w:shd w:val="clear" w:color="auto" w:fill="auto"/>
            <w:noWrap/>
            <w:vAlign w:val="bottom"/>
          </w:tcPr>
          <w:p w14:paraId="6E623D87"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bottom w:val="nil"/>
            </w:tcBorders>
            <w:shd w:val="clear" w:color="auto" w:fill="auto"/>
            <w:noWrap/>
            <w:vAlign w:val="bottom"/>
          </w:tcPr>
          <w:p w14:paraId="49DF4A78"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c>
          <w:tcPr>
            <w:tcW w:w="227" w:type="dxa"/>
            <w:tcBorders>
              <w:bottom w:val="nil"/>
            </w:tcBorders>
            <w:shd w:val="clear" w:color="auto" w:fill="auto"/>
            <w:noWrap/>
            <w:vAlign w:val="bottom"/>
          </w:tcPr>
          <w:p w14:paraId="1638C320"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c>
          <w:tcPr>
            <w:tcW w:w="1502" w:type="dxa"/>
            <w:tcBorders>
              <w:top w:val="single" w:sz="8" w:space="0" w:color="auto"/>
              <w:bottom w:val="nil"/>
            </w:tcBorders>
            <w:shd w:val="clear" w:color="auto" w:fill="auto"/>
            <w:noWrap/>
            <w:vAlign w:val="bottom"/>
          </w:tcPr>
          <w:p w14:paraId="1AA25AD3"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r>
      <w:tr w:rsidR="00121C7F" w:rsidRPr="0074154F" w14:paraId="7FAA1C26" w14:textId="77777777" w:rsidTr="006A0F16">
        <w:trPr>
          <w:trHeight w:val="82"/>
          <w:jc w:val="right"/>
        </w:trPr>
        <w:tc>
          <w:tcPr>
            <w:tcW w:w="5272" w:type="dxa"/>
            <w:tcBorders>
              <w:top w:val="nil"/>
              <w:bottom w:val="nil"/>
            </w:tcBorders>
            <w:shd w:val="clear" w:color="auto" w:fill="auto"/>
            <w:noWrap/>
            <w:vAlign w:val="bottom"/>
          </w:tcPr>
          <w:p w14:paraId="5D5EEED3" w14:textId="20683029" w:rsidR="00121C7F" w:rsidRPr="0074154F" w:rsidRDefault="00121C7F" w:rsidP="00121C7F">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eastAsia="es-EC"/>
              </w:rPr>
              <w:t>Bienes y equipos</w:t>
            </w:r>
          </w:p>
        </w:tc>
        <w:tc>
          <w:tcPr>
            <w:tcW w:w="1502" w:type="dxa"/>
            <w:tcBorders>
              <w:top w:val="nil"/>
              <w:bottom w:val="nil"/>
            </w:tcBorders>
            <w:shd w:val="clear" w:color="auto" w:fill="auto"/>
            <w:noWrap/>
            <w:vAlign w:val="bottom"/>
          </w:tcPr>
          <w:p w14:paraId="1DFCEB92" w14:textId="39B4071E" w:rsidR="00121C7F" w:rsidRPr="0074154F" w:rsidRDefault="009278F1" w:rsidP="00121C7F">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101,508,598</w:t>
            </w:r>
          </w:p>
        </w:tc>
        <w:tc>
          <w:tcPr>
            <w:tcW w:w="227" w:type="dxa"/>
            <w:tcBorders>
              <w:top w:val="nil"/>
              <w:bottom w:val="nil"/>
            </w:tcBorders>
            <w:shd w:val="clear" w:color="auto" w:fill="auto"/>
            <w:noWrap/>
            <w:vAlign w:val="bottom"/>
          </w:tcPr>
          <w:p w14:paraId="0AE60E7E" w14:textId="77777777" w:rsidR="00121C7F" w:rsidRPr="0074154F" w:rsidRDefault="00121C7F" w:rsidP="00121C7F">
            <w:pPr>
              <w:spacing w:after="0" w:line="240" w:lineRule="auto"/>
              <w:rPr>
                <w:rFonts w:ascii="Arial" w:eastAsia="Times New Roman" w:hAnsi="Arial" w:cs="Arial"/>
                <w:b/>
                <w:bCs/>
                <w:color w:val="000000"/>
                <w:sz w:val="20"/>
                <w:szCs w:val="20"/>
                <w:u w:val="single"/>
                <w:lang w:eastAsia="es-EC"/>
              </w:rPr>
            </w:pPr>
          </w:p>
        </w:tc>
        <w:tc>
          <w:tcPr>
            <w:tcW w:w="1502" w:type="dxa"/>
            <w:tcBorders>
              <w:top w:val="nil"/>
              <w:bottom w:val="nil"/>
            </w:tcBorders>
            <w:shd w:val="clear" w:color="auto" w:fill="auto"/>
            <w:noWrap/>
            <w:vAlign w:val="bottom"/>
          </w:tcPr>
          <w:p w14:paraId="36C6B212" w14:textId="7589325D" w:rsidR="00121C7F" w:rsidRPr="0074154F" w:rsidRDefault="009278F1" w:rsidP="00121C7F">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87,757,163</w:t>
            </w:r>
          </w:p>
        </w:tc>
      </w:tr>
      <w:tr w:rsidR="00121C7F" w:rsidRPr="0074154F" w14:paraId="54FB21E5" w14:textId="77777777" w:rsidTr="00121C7F">
        <w:trPr>
          <w:trHeight w:val="255"/>
          <w:jc w:val="right"/>
        </w:trPr>
        <w:tc>
          <w:tcPr>
            <w:tcW w:w="5272" w:type="dxa"/>
            <w:tcBorders>
              <w:top w:val="nil"/>
            </w:tcBorders>
            <w:shd w:val="clear" w:color="auto" w:fill="auto"/>
            <w:noWrap/>
            <w:vAlign w:val="bottom"/>
          </w:tcPr>
          <w:p w14:paraId="2DD2F6E2" w14:textId="0B669F53" w:rsidR="00121C7F" w:rsidRPr="0074154F" w:rsidRDefault="00121C7F" w:rsidP="00121C7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Portadores</w:t>
            </w:r>
          </w:p>
        </w:tc>
        <w:tc>
          <w:tcPr>
            <w:tcW w:w="1502" w:type="dxa"/>
            <w:tcBorders>
              <w:top w:val="nil"/>
            </w:tcBorders>
            <w:shd w:val="clear" w:color="auto" w:fill="auto"/>
            <w:noWrap/>
            <w:vAlign w:val="bottom"/>
          </w:tcPr>
          <w:p w14:paraId="11561040" w14:textId="6D624C77"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100,761,596</w:t>
            </w:r>
          </w:p>
        </w:tc>
        <w:tc>
          <w:tcPr>
            <w:tcW w:w="227" w:type="dxa"/>
            <w:tcBorders>
              <w:top w:val="nil"/>
            </w:tcBorders>
            <w:shd w:val="clear" w:color="auto" w:fill="auto"/>
            <w:noWrap/>
            <w:vAlign w:val="bottom"/>
          </w:tcPr>
          <w:p w14:paraId="2DBA1A0E" w14:textId="77777777" w:rsidR="00121C7F" w:rsidRPr="0074154F" w:rsidRDefault="00121C7F" w:rsidP="00121C7F">
            <w:pPr>
              <w:spacing w:after="0" w:line="240" w:lineRule="auto"/>
              <w:jc w:val="right"/>
              <w:rPr>
                <w:rFonts w:ascii="Arial" w:eastAsia="Times New Roman" w:hAnsi="Arial" w:cs="Arial"/>
                <w:sz w:val="20"/>
                <w:szCs w:val="20"/>
                <w:lang w:eastAsia="es-EC"/>
              </w:rPr>
            </w:pPr>
          </w:p>
        </w:tc>
        <w:tc>
          <w:tcPr>
            <w:tcW w:w="1502" w:type="dxa"/>
            <w:tcBorders>
              <w:top w:val="nil"/>
            </w:tcBorders>
            <w:shd w:val="clear" w:color="auto" w:fill="auto"/>
            <w:noWrap/>
            <w:vAlign w:val="bottom"/>
          </w:tcPr>
          <w:p w14:paraId="57864468" w14:textId="305FCB6C"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90,862,941</w:t>
            </w:r>
          </w:p>
        </w:tc>
      </w:tr>
      <w:tr w:rsidR="00121C7F" w:rsidRPr="0074154F" w14:paraId="2C086F39" w14:textId="77777777" w:rsidTr="00471822">
        <w:trPr>
          <w:trHeight w:val="255"/>
          <w:jc w:val="right"/>
        </w:trPr>
        <w:tc>
          <w:tcPr>
            <w:tcW w:w="5272" w:type="dxa"/>
            <w:shd w:val="clear" w:color="auto" w:fill="auto"/>
            <w:noWrap/>
            <w:vAlign w:val="bottom"/>
          </w:tcPr>
          <w:p w14:paraId="3E9D643B" w14:textId="4FB43643" w:rsidR="00121C7F" w:rsidRPr="0074154F" w:rsidRDefault="00121C7F" w:rsidP="00121C7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Internet</w:t>
            </w:r>
          </w:p>
        </w:tc>
        <w:tc>
          <w:tcPr>
            <w:tcW w:w="1502" w:type="dxa"/>
            <w:shd w:val="clear" w:color="auto" w:fill="auto"/>
            <w:noWrap/>
            <w:vAlign w:val="bottom"/>
          </w:tcPr>
          <w:p w14:paraId="371AF10B" w14:textId="2FDC497E"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68,532,045</w:t>
            </w:r>
          </w:p>
        </w:tc>
        <w:tc>
          <w:tcPr>
            <w:tcW w:w="227" w:type="dxa"/>
            <w:shd w:val="clear" w:color="auto" w:fill="auto"/>
            <w:noWrap/>
            <w:vAlign w:val="bottom"/>
          </w:tcPr>
          <w:p w14:paraId="1F9E0306" w14:textId="77777777" w:rsidR="00121C7F" w:rsidRPr="0074154F" w:rsidRDefault="00121C7F" w:rsidP="00121C7F">
            <w:pPr>
              <w:spacing w:after="0" w:line="240" w:lineRule="auto"/>
              <w:jc w:val="right"/>
              <w:rPr>
                <w:rFonts w:ascii="Arial" w:eastAsia="Times New Roman" w:hAnsi="Arial" w:cs="Arial"/>
                <w:sz w:val="20"/>
                <w:szCs w:val="20"/>
                <w:lang w:eastAsia="es-EC"/>
              </w:rPr>
            </w:pPr>
          </w:p>
        </w:tc>
        <w:tc>
          <w:tcPr>
            <w:tcW w:w="1502" w:type="dxa"/>
            <w:shd w:val="clear" w:color="auto" w:fill="auto"/>
            <w:noWrap/>
            <w:vAlign w:val="bottom"/>
          </w:tcPr>
          <w:p w14:paraId="0BE6B05C" w14:textId="1482269D"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48,495,132</w:t>
            </w:r>
          </w:p>
        </w:tc>
      </w:tr>
      <w:tr w:rsidR="00121C7F" w:rsidRPr="0074154F" w14:paraId="4BBC7672" w14:textId="77777777" w:rsidTr="009278F1">
        <w:trPr>
          <w:trHeight w:val="255"/>
          <w:jc w:val="right"/>
        </w:trPr>
        <w:tc>
          <w:tcPr>
            <w:tcW w:w="5272" w:type="dxa"/>
            <w:shd w:val="clear" w:color="auto" w:fill="auto"/>
            <w:noWrap/>
            <w:vAlign w:val="bottom"/>
          </w:tcPr>
          <w:p w14:paraId="646F24CE" w14:textId="21DF648D" w:rsidR="00121C7F" w:rsidRPr="0074154F" w:rsidRDefault="00121C7F" w:rsidP="00121C7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Proceso facturación</w:t>
            </w:r>
          </w:p>
        </w:tc>
        <w:tc>
          <w:tcPr>
            <w:tcW w:w="1502" w:type="dxa"/>
            <w:tcBorders>
              <w:bottom w:val="nil"/>
            </w:tcBorders>
            <w:shd w:val="clear" w:color="auto" w:fill="auto"/>
            <w:noWrap/>
            <w:vAlign w:val="bottom"/>
          </w:tcPr>
          <w:p w14:paraId="16E3D3DF" w14:textId="012C25A3"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3,467,901</w:t>
            </w:r>
          </w:p>
        </w:tc>
        <w:tc>
          <w:tcPr>
            <w:tcW w:w="227" w:type="dxa"/>
            <w:tcBorders>
              <w:bottom w:val="nil"/>
            </w:tcBorders>
            <w:shd w:val="clear" w:color="auto" w:fill="auto"/>
            <w:noWrap/>
            <w:vAlign w:val="bottom"/>
          </w:tcPr>
          <w:p w14:paraId="3D43CE1B" w14:textId="77777777" w:rsidR="00121C7F" w:rsidRPr="0074154F" w:rsidRDefault="00121C7F" w:rsidP="00121C7F">
            <w:pPr>
              <w:spacing w:after="0" w:line="240" w:lineRule="auto"/>
              <w:jc w:val="right"/>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6D46AF35" w14:textId="32BEBE85"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947,275</w:t>
            </w:r>
          </w:p>
        </w:tc>
      </w:tr>
      <w:tr w:rsidR="00121C7F" w:rsidRPr="0074154F" w14:paraId="617BAAC9" w14:textId="77777777" w:rsidTr="009278F1">
        <w:trPr>
          <w:trHeight w:val="255"/>
          <w:jc w:val="right"/>
        </w:trPr>
        <w:tc>
          <w:tcPr>
            <w:tcW w:w="5272" w:type="dxa"/>
            <w:shd w:val="clear" w:color="auto" w:fill="auto"/>
            <w:noWrap/>
            <w:vAlign w:val="bottom"/>
          </w:tcPr>
          <w:p w14:paraId="097E9430" w14:textId="340D43F4" w:rsidR="00121C7F" w:rsidRPr="0074154F" w:rsidRDefault="00121C7F" w:rsidP="00121C7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Otros</w:t>
            </w:r>
          </w:p>
        </w:tc>
        <w:tc>
          <w:tcPr>
            <w:tcW w:w="1502" w:type="dxa"/>
            <w:tcBorders>
              <w:bottom w:val="single" w:sz="6" w:space="0" w:color="auto"/>
            </w:tcBorders>
            <w:shd w:val="clear" w:color="auto" w:fill="auto"/>
            <w:noWrap/>
            <w:vAlign w:val="bottom"/>
          </w:tcPr>
          <w:p w14:paraId="5807A3F8" w14:textId="73A3B68D"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8,821,721</w:t>
            </w:r>
          </w:p>
        </w:tc>
        <w:tc>
          <w:tcPr>
            <w:tcW w:w="227" w:type="dxa"/>
            <w:tcBorders>
              <w:bottom w:val="nil"/>
            </w:tcBorders>
            <w:shd w:val="clear" w:color="auto" w:fill="auto"/>
            <w:noWrap/>
            <w:vAlign w:val="bottom"/>
          </w:tcPr>
          <w:p w14:paraId="382A3337" w14:textId="77777777" w:rsidR="00121C7F" w:rsidRPr="0074154F" w:rsidRDefault="00121C7F" w:rsidP="00121C7F">
            <w:pPr>
              <w:spacing w:after="0" w:line="240" w:lineRule="auto"/>
              <w:jc w:val="right"/>
              <w:rPr>
                <w:rFonts w:ascii="Arial" w:eastAsia="Times New Roman" w:hAnsi="Arial" w:cs="Arial"/>
                <w:sz w:val="20"/>
                <w:szCs w:val="20"/>
                <w:lang w:eastAsia="es-EC"/>
              </w:rPr>
            </w:pPr>
          </w:p>
        </w:tc>
        <w:tc>
          <w:tcPr>
            <w:tcW w:w="1502" w:type="dxa"/>
            <w:tcBorders>
              <w:bottom w:val="single" w:sz="6" w:space="0" w:color="auto"/>
            </w:tcBorders>
            <w:shd w:val="clear" w:color="auto" w:fill="auto"/>
            <w:noWrap/>
            <w:vAlign w:val="bottom"/>
          </w:tcPr>
          <w:p w14:paraId="45FBA1D1" w14:textId="0F7BDCFA"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9,296,536</w:t>
            </w:r>
          </w:p>
        </w:tc>
      </w:tr>
      <w:tr w:rsidR="00121C7F" w:rsidRPr="0074154F" w14:paraId="1BBE7949" w14:textId="77777777" w:rsidTr="009278F1">
        <w:trPr>
          <w:trHeight w:val="255"/>
          <w:jc w:val="right"/>
        </w:trPr>
        <w:tc>
          <w:tcPr>
            <w:tcW w:w="5272" w:type="dxa"/>
            <w:tcBorders>
              <w:bottom w:val="nil"/>
            </w:tcBorders>
            <w:shd w:val="clear" w:color="auto" w:fill="auto"/>
            <w:noWrap/>
            <w:vAlign w:val="bottom"/>
          </w:tcPr>
          <w:p w14:paraId="435BFA2B" w14:textId="77777777" w:rsidR="00121C7F" w:rsidRPr="0074154F" w:rsidRDefault="00121C7F" w:rsidP="00121C7F">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6" w:space="0" w:color="auto"/>
              <w:bottom w:val="nil"/>
            </w:tcBorders>
            <w:shd w:val="clear" w:color="auto" w:fill="auto"/>
            <w:noWrap/>
            <w:vAlign w:val="bottom"/>
          </w:tcPr>
          <w:p w14:paraId="3A992D1F" w14:textId="77777777" w:rsidR="00121C7F" w:rsidRPr="0074154F" w:rsidRDefault="00121C7F" w:rsidP="00121C7F">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2164CE83"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33533FAC" w14:textId="77777777" w:rsidR="00121C7F" w:rsidRPr="0074154F" w:rsidRDefault="00121C7F" w:rsidP="00121C7F">
            <w:pPr>
              <w:tabs>
                <w:tab w:val="decimal" w:pos="1276"/>
              </w:tabs>
              <w:spacing w:after="0" w:line="240" w:lineRule="auto"/>
              <w:rPr>
                <w:rFonts w:ascii="Arial" w:eastAsia="Times New Roman" w:hAnsi="Arial" w:cs="Arial"/>
                <w:color w:val="000000"/>
                <w:sz w:val="20"/>
                <w:szCs w:val="20"/>
                <w:lang w:val="es-MX" w:eastAsia="es-MX"/>
              </w:rPr>
            </w:pPr>
          </w:p>
        </w:tc>
      </w:tr>
      <w:tr w:rsidR="00121C7F" w:rsidRPr="0074154F" w14:paraId="20B006DC" w14:textId="77777777" w:rsidTr="00471822">
        <w:trPr>
          <w:trHeight w:val="255"/>
          <w:jc w:val="right"/>
        </w:trPr>
        <w:tc>
          <w:tcPr>
            <w:tcW w:w="5272" w:type="dxa"/>
            <w:tcBorders>
              <w:bottom w:val="nil"/>
            </w:tcBorders>
            <w:shd w:val="clear" w:color="auto" w:fill="auto"/>
            <w:noWrap/>
            <w:vAlign w:val="bottom"/>
          </w:tcPr>
          <w:p w14:paraId="266F82B2" w14:textId="77777777" w:rsidR="00121C7F" w:rsidRPr="0074154F" w:rsidRDefault="00121C7F" w:rsidP="00121C7F">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Total</w:t>
            </w:r>
          </w:p>
        </w:tc>
        <w:tc>
          <w:tcPr>
            <w:tcW w:w="1502" w:type="dxa"/>
            <w:tcBorders>
              <w:top w:val="nil"/>
            </w:tcBorders>
            <w:shd w:val="clear" w:color="auto" w:fill="auto"/>
            <w:noWrap/>
            <w:vAlign w:val="bottom"/>
          </w:tcPr>
          <w:p w14:paraId="1EF5A921" w14:textId="5E8F799A"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283,091,861</w:t>
            </w:r>
          </w:p>
        </w:tc>
        <w:tc>
          <w:tcPr>
            <w:tcW w:w="227" w:type="dxa"/>
            <w:tcBorders>
              <w:bottom w:val="nil"/>
            </w:tcBorders>
            <w:shd w:val="clear" w:color="auto" w:fill="auto"/>
            <w:noWrap/>
            <w:vAlign w:val="bottom"/>
          </w:tcPr>
          <w:p w14:paraId="51660EE2"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top w:val="nil"/>
            </w:tcBorders>
            <w:shd w:val="clear" w:color="auto" w:fill="auto"/>
            <w:noWrap/>
            <w:vAlign w:val="bottom"/>
          </w:tcPr>
          <w:p w14:paraId="5355E145" w14:textId="3F4158E9"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237,359,047</w:t>
            </w:r>
          </w:p>
        </w:tc>
      </w:tr>
      <w:tr w:rsidR="00121C7F" w:rsidRPr="0074154F" w14:paraId="6AB9FCDB" w14:textId="77777777" w:rsidTr="009278F1">
        <w:trPr>
          <w:trHeight w:val="255"/>
          <w:jc w:val="right"/>
        </w:trPr>
        <w:tc>
          <w:tcPr>
            <w:tcW w:w="5272" w:type="dxa"/>
            <w:tcBorders>
              <w:bottom w:val="nil"/>
            </w:tcBorders>
            <w:shd w:val="clear" w:color="auto" w:fill="auto"/>
            <w:noWrap/>
            <w:vAlign w:val="bottom"/>
          </w:tcPr>
          <w:p w14:paraId="3B0D2E8B" w14:textId="77777777" w:rsidR="00121C7F" w:rsidRPr="0074154F" w:rsidRDefault="00121C7F" w:rsidP="00121C7F">
            <w:pPr>
              <w:spacing w:after="0" w:line="240" w:lineRule="auto"/>
              <w:ind w:left="-70"/>
              <w:rPr>
                <w:rFonts w:ascii="Arial" w:eastAsia="Times New Roman" w:hAnsi="Arial" w:cs="Arial"/>
                <w:color w:val="000000"/>
                <w:sz w:val="20"/>
                <w:szCs w:val="20"/>
                <w:lang w:val="es-MX" w:eastAsia="es-MX"/>
              </w:rPr>
            </w:pPr>
          </w:p>
        </w:tc>
        <w:tc>
          <w:tcPr>
            <w:tcW w:w="1502" w:type="dxa"/>
            <w:tcBorders>
              <w:top w:val="nil"/>
              <w:bottom w:val="nil"/>
            </w:tcBorders>
            <w:shd w:val="clear" w:color="auto" w:fill="auto"/>
            <w:noWrap/>
            <w:vAlign w:val="bottom"/>
          </w:tcPr>
          <w:p w14:paraId="03BF6E88" w14:textId="77777777" w:rsidR="00121C7F" w:rsidRPr="0074154F" w:rsidRDefault="00121C7F" w:rsidP="00121C7F">
            <w:pPr>
              <w:tabs>
                <w:tab w:val="decimal" w:pos="1276"/>
              </w:tabs>
              <w:spacing w:after="0" w:line="240" w:lineRule="auto"/>
              <w:rPr>
                <w:rFonts w:ascii="Arial" w:eastAsia="Times New Roman" w:hAnsi="Arial" w:cs="Arial"/>
                <w:sz w:val="20"/>
                <w:szCs w:val="20"/>
                <w:lang w:eastAsia="es-EC"/>
              </w:rPr>
            </w:pPr>
          </w:p>
        </w:tc>
        <w:tc>
          <w:tcPr>
            <w:tcW w:w="227" w:type="dxa"/>
            <w:tcBorders>
              <w:bottom w:val="nil"/>
            </w:tcBorders>
            <w:shd w:val="clear" w:color="auto" w:fill="auto"/>
            <w:noWrap/>
            <w:vAlign w:val="bottom"/>
          </w:tcPr>
          <w:p w14:paraId="61FFF753"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top w:val="nil"/>
              <w:bottom w:val="nil"/>
            </w:tcBorders>
            <w:shd w:val="clear" w:color="auto" w:fill="auto"/>
            <w:noWrap/>
            <w:vAlign w:val="bottom"/>
          </w:tcPr>
          <w:p w14:paraId="33C01387" w14:textId="77777777" w:rsidR="00121C7F" w:rsidRPr="0074154F" w:rsidRDefault="00121C7F" w:rsidP="00121C7F">
            <w:pPr>
              <w:tabs>
                <w:tab w:val="decimal" w:pos="1276"/>
              </w:tabs>
              <w:spacing w:after="0" w:line="240" w:lineRule="auto"/>
              <w:rPr>
                <w:rFonts w:ascii="Arial" w:eastAsia="Times New Roman" w:hAnsi="Arial" w:cs="Arial"/>
                <w:color w:val="000000"/>
                <w:sz w:val="20"/>
                <w:szCs w:val="20"/>
                <w:lang w:val="es-MX" w:eastAsia="es-MX"/>
              </w:rPr>
            </w:pPr>
          </w:p>
        </w:tc>
      </w:tr>
      <w:tr w:rsidR="00121C7F" w:rsidRPr="0074154F" w14:paraId="1BF35367" w14:textId="77777777" w:rsidTr="009278F1">
        <w:trPr>
          <w:trHeight w:val="255"/>
          <w:jc w:val="right"/>
        </w:trPr>
        <w:tc>
          <w:tcPr>
            <w:tcW w:w="5272" w:type="dxa"/>
            <w:shd w:val="clear" w:color="auto" w:fill="auto"/>
            <w:noWrap/>
            <w:vAlign w:val="bottom"/>
          </w:tcPr>
          <w:p w14:paraId="6BEA0E01" w14:textId="4A99016B" w:rsidR="00121C7F" w:rsidRPr="0074154F" w:rsidRDefault="00B178B9" w:rsidP="00121C7F">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Rebajas comerciales</w:t>
            </w:r>
          </w:p>
        </w:tc>
        <w:tc>
          <w:tcPr>
            <w:tcW w:w="1502" w:type="dxa"/>
            <w:tcBorders>
              <w:bottom w:val="single" w:sz="6" w:space="0" w:color="auto"/>
            </w:tcBorders>
            <w:shd w:val="clear" w:color="auto" w:fill="auto"/>
            <w:noWrap/>
            <w:vAlign w:val="bottom"/>
          </w:tcPr>
          <w:p w14:paraId="0D283946" w14:textId="4A5CD9F3"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(14,771,058)</w:t>
            </w:r>
          </w:p>
        </w:tc>
        <w:tc>
          <w:tcPr>
            <w:tcW w:w="227" w:type="dxa"/>
            <w:tcBorders>
              <w:bottom w:val="nil"/>
            </w:tcBorders>
            <w:shd w:val="clear" w:color="auto" w:fill="auto"/>
            <w:noWrap/>
            <w:vAlign w:val="bottom"/>
          </w:tcPr>
          <w:p w14:paraId="5B29DE1D"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bottom w:val="single" w:sz="6" w:space="0" w:color="auto"/>
            </w:tcBorders>
            <w:shd w:val="clear" w:color="auto" w:fill="auto"/>
            <w:noWrap/>
            <w:vAlign w:val="bottom"/>
          </w:tcPr>
          <w:p w14:paraId="703AD466" w14:textId="26850593"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(4,896,924)</w:t>
            </w:r>
          </w:p>
        </w:tc>
      </w:tr>
      <w:tr w:rsidR="00121C7F" w:rsidRPr="0074154F" w14:paraId="05B10357" w14:textId="77777777" w:rsidTr="009278F1">
        <w:trPr>
          <w:trHeight w:val="255"/>
          <w:jc w:val="right"/>
        </w:trPr>
        <w:tc>
          <w:tcPr>
            <w:tcW w:w="5272" w:type="dxa"/>
            <w:tcBorders>
              <w:bottom w:val="nil"/>
            </w:tcBorders>
            <w:shd w:val="clear" w:color="auto" w:fill="auto"/>
            <w:noWrap/>
            <w:vAlign w:val="bottom"/>
          </w:tcPr>
          <w:p w14:paraId="28B4BA9A" w14:textId="77777777" w:rsidR="00121C7F" w:rsidRPr="0074154F" w:rsidRDefault="00121C7F" w:rsidP="00121C7F">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bottom w:val="nil"/>
            </w:tcBorders>
            <w:shd w:val="clear" w:color="auto" w:fill="auto"/>
            <w:noWrap/>
            <w:vAlign w:val="bottom"/>
          </w:tcPr>
          <w:p w14:paraId="38676868" w14:textId="77777777" w:rsidR="00121C7F" w:rsidRPr="0074154F" w:rsidRDefault="00121C7F" w:rsidP="00121C7F">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721D3C0A"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top w:val="single" w:sz="6" w:space="0" w:color="auto"/>
              <w:bottom w:val="nil"/>
            </w:tcBorders>
            <w:shd w:val="clear" w:color="auto" w:fill="auto"/>
            <w:noWrap/>
            <w:vAlign w:val="bottom"/>
          </w:tcPr>
          <w:p w14:paraId="669538CD" w14:textId="77777777" w:rsidR="00121C7F" w:rsidRPr="0074154F" w:rsidRDefault="00121C7F" w:rsidP="00121C7F">
            <w:pPr>
              <w:tabs>
                <w:tab w:val="decimal" w:pos="1276"/>
              </w:tabs>
              <w:spacing w:after="0" w:line="240" w:lineRule="auto"/>
              <w:rPr>
                <w:rFonts w:ascii="Arial" w:eastAsia="Times New Roman" w:hAnsi="Arial" w:cs="Arial"/>
                <w:color w:val="000000"/>
                <w:sz w:val="20"/>
                <w:szCs w:val="20"/>
                <w:lang w:val="es-MX" w:eastAsia="es-MX"/>
              </w:rPr>
            </w:pPr>
          </w:p>
        </w:tc>
      </w:tr>
      <w:tr w:rsidR="00121C7F" w:rsidRPr="0074154F" w14:paraId="0C69EDDA" w14:textId="77777777" w:rsidTr="00121C7F">
        <w:trPr>
          <w:trHeight w:val="255"/>
          <w:jc w:val="right"/>
        </w:trPr>
        <w:tc>
          <w:tcPr>
            <w:tcW w:w="5272" w:type="dxa"/>
            <w:tcBorders>
              <w:bottom w:val="nil"/>
            </w:tcBorders>
            <w:shd w:val="clear" w:color="auto" w:fill="auto"/>
            <w:noWrap/>
            <w:vAlign w:val="bottom"/>
          </w:tcPr>
          <w:p w14:paraId="2C47BD2B" w14:textId="77777777" w:rsidR="00121C7F" w:rsidRPr="0074154F" w:rsidRDefault="00121C7F" w:rsidP="00121C7F">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top w:val="nil"/>
              <w:bottom w:val="double" w:sz="4" w:space="0" w:color="auto"/>
            </w:tcBorders>
            <w:shd w:val="clear" w:color="auto" w:fill="auto"/>
            <w:noWrap/>
            <w:vAlign w:val="bottom"/>
          </w:tcPr>
          <w:p w14:paraId="5730F2F6" w14:textId="2F77DDB0" w:rsidR="00121C7F" w:rsidRPr="0074154F" w:rsidRDefault="009278F1" w:rsidP="00121C7F">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268,320,803</w:t>
            </w:r>
          </w:p>
        </w:tc>
        <w:tc>
          <w:tcPr>
            <w:tcW w:w="227" w:type="dxa"/>
            <w:tcBorders>
              <w:bottom w:val="nil"/>
            </w:tcBorders>
            <w:shd w:val="clear" w:color="auto" w:fill="auto"/>
            <w:noWrap/>
            <w:vAlign w:val="bottom"/>
          </w:tcPr>
          <w:p w14:paraId="0BE5A721" w14:textId="77777777" w:rsidR="00121C7F" w:rsidRPr="0074154F" w:rsidRDefault="00121C7F" w:rsidP="00121C7F">
            <w:pPr>
              <w:spacing w:after="0" w:line="240" w:lineRule="auto"/>
              <w:rPr>
                <w:rFonts w:ascii="Arial" w:eastAsia="Times New Roman" w:hAnsi="Arial" w:cs="Arial"/>
                <w:sz w:val="20"/>
                <w:szCs w:val="20"/>
                <w:lang w:eastAsia="es-EC"/>
              </w:rPr>
            </w:pPr>
          </w:p>
        </w:tc>
        <w:tc>
          <w:tcPr>
            <w:tcW w:w="1502" w:type="dxa"/>
            <w:tcBorders>
              <w:top w:val="nil"/>
            </w:tcBorders>
            <w:shd w:val="clear" w:color="auto" w:fill="auto"/>
            <w:noWrap/>
            <w:vAlign w:val="bottom"/>
          </w:tcPr>
          <w:p w14:paraId="044955B7" w14:textId="6F205B3D" w:rsidR="00121C7F" w:rsidRPr="0074154F" w:rsidRDefault="009278F1" w:rsidP="00121C7F">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232,462,123</w:t>
            </w:r>
          </w:p>
        </w:tc>
      </w:tr>
    </w:tbl>
    <w:p w14:paraId="1DE34CFD" w14:textId="77777777" w:rsidR="00F36572" w:rsidRPr="0074154F" w:rsidRDefault="00F36572" w:rsidP="00EF1F49">
      <w:pPr>
        <w:ind w:left="567"/>
        <w:rPr>
          <w:rFonts w:ascii="Arial" w:hAnsi="Arial" w:cs="Arial"/>
          <w:color w:val="000000" w:themeColor="text1"/>
          <w:sz w:val="2"/>
          <w:szCs w:val="2"/>
          <w:u w:val="single"/>
          <w:lang w:eastAsia="es-EC"/>
        </w:rPr>
      </w:pPr>
    </w:p>
    <w:p w14:paraId="12CCF82F" w14:textId="1CA4C6F9" w:rsidR="00916C42" w:rsidRPr="0074154F" w:rsidRDefault="00916C42" w:rsidP="00EF1F49">
      <w:pPr>
        <w:ind w:left="567"/>
        <w:rPr>
          <w:rFonts w:ascii="Arial" w:hAnsi="Arial" w:cs="Arial"/>
          <w:color w:val="000000" w:themeColor="text1"/>
          <w:sz w:val="20"/>
          <w:szCs w:val="20"/>
          <w:lang w:eastAsia="es-EC"/>
        </w:rPr>
      </w:pPr>
      <w:r w:rsidRPr="0074154F">
        <w:rPr>
          <w:rFonts w:ascii="Arial" w:hAnsi="Arial" w:cs="Arial"/>
          <w:color w:val="000000" w:themeColor="text1"/>
          <w:sz w:val="20"/>
          <w:szCs w:val="20"/>
          <w:lang w:eastAsia="es-EC"/>
        </w:rPr>
        <w:t>Durante el año 2020:</w:t>
      </w:r>
    </w:p>
    <w:p w14:paraId="67B0CFF1" w14:textId="74B304D3" w:rsidR="00F35A90" w:rsidRPr="0074154F" w:rsidRDefault="00F35A90" w:rsidP="00EF1F49">
      <w:pPr>
        <w:ind w:left="567"/>
        <w:rPr>
          <w:rFonts w:ascii="Arial" w:hAnsi="Arial" w:cs="Arial"/>
          <w:color w:val="FF0000"/>
          <w:sz w:val="20"/>
          <w:szCs w:val="20"/>
          <w:lang w:eastAsia="es-EC"/>
        </w:rPr>
      </w:pPr>
      <w:r w:rsidRPr="0074154F">
        <w:rPr>
          <w:rFonts w:ascii="Arial" w:hAnsi="Arial" w:cs="Arial"/>
          <w:b/>
          <w:bCs/>
          <w:color w:val="000000" w:themeColor="text1"/>
          <w:sz w:val="20"/>
          <w:szCs w:val="20"/>
          <w:u w:val="single"/>
          <w:lang w:eastAsia="es-EC"/>
        </w:rPr>
        <w:t xml:space="preserve">Bienes y </w:t>
      </w:r>
      <w:proofErr w:type="gramStart"/>
      <w:r w:rsidRPr="0074154F">
        <w:rPr>
          <w:rFonts w:ascii="Arial" w:hAnsi="Arial" w:cs="Arial"/>
          <w:b/>
          <w:bCs/>
          <w:color w:val="000000" w:themeColor="text1"/>
          <w:sz w:val="20"/>
          <w:szCs w:val="20"/>
          <w:u w:val="single"/>
          <w:lang w:eastAsia="es-EC"/>
        </w:rPr>
        <w:t>equipos</w:t>
      </w:r>
      <w:r w:rsidR="003F239E" w:rsidRPr="0074154F">
        <w:rPr>
          <w:rFonts w:ascii="Arial" w:hAnsi="Arial" w:cs="Arial"/>
          <w:b/>
          <w:bCs/>
          <w:color w:val="000000" w:themeColor="text1"/>
          <w:sz w:val="20"/>
          <w:szCs w:val="20"/>
          <w:lang w:eastAsia="es-EC"/>
        </w:rPr>
        <w:t>.-</w:t>
      </w:r>
      <w:proofErr w:type="gramEnd"/>
      <w:r w:rsidR="003F239E" w:rsidRPr="0074154F">
        <w:rPr>
          <w:rFonts w:ascii="Arial" w:hAnsi="Arial" w:cs="Arial"/>
          <w:b/>
          <w:bCs/>
          <w:color w:val="FF0000"/>
          <w:sz w:val="20"/>
          <w:szCs w:val="20"/>
          <w:lang w:eastAsia="es-EC"/>
        </w:rPr>
        <w:t xml:space="preserve"> </w:t>
      </w:r>
      <w:r w:rsidR="00F43ECE" w:rsidRPr="0074154F">
        <w:rPr>
          <w:rFonts w:ascii="Arial" w:hAnsi="Arial" w:cs="Arial"/>
          <w:color w:val="FF0000"/>
          <w:sz w:val="20"/>
          <w:szCs w:val="20"/>
          <w:lang w:eastAsia="es-EC"/>
        </w:rPr>
        <w:t xml:space="preserve"> </w:t>
      </w:r>
      <w:r w:rsidR="00F43ECE" w:rsidRPr="0074154F">
        <w:rPr>
          <w:rFonts w:ascii="Arial" w:hAnsi="Arial" w:cs="Arial"/>
          <w:color w:val="000000" w:themeColor="text1"/>
          <w:sz w:val="20"/>
          <w:szCs w:val="20"/>
          <w:lang w:eastAsia="es-EC"/>
        </w:rPr>
        <w:t>corresponden a equipos de redes de telecomunicaciones, fibra óptica</w:t>
      </w:r>
      <w:r w:rsidR="00F36572" w:rsidRPr="0074154F">
        <w:rPr>
          <w:rFonts w:ascii="Arial" w:hAnsi="Arial" w:cs="Arial"/>
          <w:color w:val="000000" w:themeColor="text1"/>
          <w:sz w:val="20"/>
          <w:szCs w:val="20"/>
          <w:lang w:eastAsia="es-EC"/>
        </w:rPr>
        <w:t>, redes y servicios de internet</w:t>
      </w:r>
      <w:r w:rsidR="007B2F6D" w:rsidRPr="0074154F">
        <w:rPr>
          <w:rFonts w:ascii="Arial" w:hAnsi="Arial" w:cs="Arial"/>
          <w:color w:val="000000" w:themeColor="text1"/>
          <w:sz w:val="20"/>
          <w:szCs w:val="20"/>
          <w:lang w:eastAsia="es-EC"/>
        </w:rPr>
        <w:t>.</w:t>
      </w:r>
      <w:r w:rsidR="00F36572" w:rsidRPr="0074154F">
        <w:rPr>
          <w:rFonts w:ascii="Arial" w:hAnsi="Arial" w:cs="Arial"/>
          <w:color w:val="000000" w:themeColor="text1"/>
          <w:sz w:val="20"/>
          <w:szCs w:val="20"/>
          <w:lang w:eastAsia="es-EC"/>
        </w:rPr>
        <w:t xml:space="preserve"> </w:t>
      </w:r>
    </w:p>
    <w:p w14:paraId="64529873" w14:textId="09ABBFAA" w:rsidR="00A53034" w:rsidRPr="0074154F" w:rsidRDefault="00A53034" w:rsidP="00915929">
      <w:pPr>
        <w:ind w:left="567"/>
        <w:jc w:val="both"/>
        <w:rPr>
          <w:rFonts w:ascii="Arial" w:hAnsi="Arial" w:cs="Arial"/>
          <w:color w:val="000000" w:themeColor="text1"/>
          <w:sz w:val="20"/>
          <w:szCs w:val="20"/>
          <w:lang w:eastAsia="es-EC"/>
        </w:rPr>
      </w:pPr>
      <w:proofErr w:type="gramStart"/>
      <w:r w:rsidRPr="0074154F">
        <w:rPr>
          <w:rFonts w:ascii="Arial" w:hAnsi="Arial" w:cs="Arial"/>
          <w:b/>
          <w:bCs/>
          <w:color w:val="000000" w:themeColor="text1"/>
          <w:sz w:val="20"/>
          <w:szCs w:val="20"/>
          <w:u w:val="single"/>
          <w:lang w:eastAsia="es-EC"/>
        </w:rPr>
        <w:t>Portadores</w:t>
      </w:r>
      <w:r w:rsidRPr="0074154F">
        <w:rPr>
          <w:rFonts w:ascii="Arial" w:hAnsi="Arial" w:cs="Arial"/>
          <w:b/>
          <w:bCs/>
          <w:color w:val="000000" w:themeColor="text1"/>
          <w:sz w:val="20"/>
          <w:szCs w:val="20"/>
          <w:lang w:eastAsia="es-EC"/>
        </w:rPr>
        <w:t>.-</w:t>
      </w:r>
      <w:proofErr w:type="gramEnd"/>
      <w:r w:rsidRPr="0074154F">
        <w:rPr>
          <w:rFonts w:ascii="Arial" w:hAnsi="Arial" w:cs="Arial"/>
          <w:b/>
          <w:bCs/>
          <w:color w:val="000000" w:themeColor="text1"/>
          <w:sz w:val="20"/>
          <w:szCs w:val="20"/>
          <w:lang w:eastAsia="es-EC"/>
        </w:rPr>
        <w:t xml:space="preserve"> </w:t>
      </w:r>
      <w:r w:rsidRPr="0074154F">
        <w:rPr>
          <w:rFonts w:ascii="Arial" w:hAnsi="Arial" w:cs="Arial"/>
          <w:color w:val="000000" w:themeColor="text1"/>
          <w:sz w:val="20"/>
          <w:szCs w:val="20"/>
          <w:lang w:eastAsia="es-EC"/>
        </w:rPr>
        <w:t>corresponden a los servicios de telecomunicaciones que proporcionan la capacidad necesaria para la transmisión de señales entre puntos definidos de redes.</w:t>
      </w:r>
    </w:p>
    <w:p w14:paraId="1CE49A80" w14:textId="49B75626" w:rsidR="00DD53CC" w:rsidRPr="0074154F" w:rsidRDefault="00DD53CC" w:rsidP="00915929">
      <w:pPr>
        <w:ind w:left="567"/>
        <w:jc w:val="both"/>
        <w:rPr>
          <w:rFonts w:ascii="Arial" w:hAnsi="Arial" w:cs="Arial"/>
          <w:color w:val="000000" w:themeColor="text1"/>
          <w:sz w:val="20"/>
          <w:szCs w:val="20"/>
          <w:lang w:eastAsia="es-EC"/>
        </w:rPr>
      </w:pPr>
      <w:proofErr w:type="gramStart"/>
      <w:r w:rsidRPr="0074154F">
        <w:rPr>
          <w:rFonts w:ascii="Arial" w:hAnsi="Arial" w:cs="Arial"/>
          <w:b/>
          <w:bCs/>
          <w:color w:val="000000" w:themeColor="text1"/>
          <w:sz w:val="20"/>
          <w:szCs w:val="20"/>
          <w:u w:val="single"/>
          <w:lang w:eastAsia="es-EC"/>
        </w:rPr>
        <w:t>Internet</w:t>
      </w:r>
      <w:r w:rsidRPr="0074154F">
        <w:rPr>
          <w:rFonts w:ascii="Arial" w:hAnsi="Arial" w:cs="Arial"/>
          <w:b/>
          <w:bCs/>
          <w:color w:val="000000" w:themeColor="text1"/>
          <w:sz w:val="20"/>
          <w:szCs w:val="20"/>
          <w:lang w:eastAsia="es-EC"/>
        </w:rPr>
        <w:t>.-</w:t>
      </w:r>
      <w:proofErr w:type="gramEnd"/>
      <w:r w:rsidRPr="0074154F">
        <w:rPr>
          <w:rFonts w:ascii="Arial" w:hAnsi="Arial" w:cs="Arial"/>
          <w:b/>
          <w:bCs/>
          <w:color w:val="000000" w:themeColor="text1"/>
          <w:sz w:val="20"/>
          <w:szCs w:val="20"/>
          <w:lang w:eastAsia="es-EC"/>
        </w:rPr>
        <w:t xml:space="preserve"> </w:t>
      </w:r>
      <w:r w:rsidRPr="0074154F">
        <w:rPr>
          <w:rFonts w:ascii="Arial" w:hAnsi="Arial" w:cs="Arial"/>
          <w:color w:val="000000" w:themeColor="text1"/>
          <w:sz w:val="20"/>
          <w:szCs w:val="20"/>
          <w:lang w:eastAsia="es-EC"/>
        </w:rPr>
        <w:t>corresponden a prestadoras que brindan conexiones de servicios a Compañías</w:t>
      </w:r>
      <w:r w:rsidR="00EF1F49" w:rsidRPr="0074154F">
        <w:rPr>
          <w:rFonts w:ascii="Arial" w:hAnsi="Arial" w:cs="Arial"/>
          <w:color w:val="000000" w:themeColor="text1"/>
          <w:sz w:val="20"/>
          <w:szCs w:val="20"/>
          <w:lang w:eastAsia="es-EC"/>
        </w:rPr>
        <w:t xml:space="preserve"> públicas y privadas</w:t>
      </w:r>
      <w:r w:rsidRPr="0074154F">
        <w:rPr>
          <w:rFonts w:ascii="Arial" w:hAnsi="Arial" w:cs="Arial"/>
          <w:color w:val="000000" w:themeColor="text1"/>
          <w:sz w:val="20"/>
          <w:szCs w:val="20"/>
          <w:lang w:eastAsia="es-EC"/>
        </w:rPr>
        <w:t xml:space="preserve"> y </w:t>
      </w:r>
      <w:r w:rsidR="00EF1F49" w:rsidRPr="0074154F">
        <w:rPr>
          <w:rFonts w:ascii="Arial" w:hAnsi="Arial" w:cs="Arial"/>
          <w:color w:val="000000" w:themeColor="text1"/>
          <w:sz w:val="20"/>
          <w:szCs w:val="20"/>
          <w:lang w:eastAsia="es-EC"/>
        </w:rPr>
        <w:t>personas naturales</w:t>
      </w:r>
      <w:r w:rsidR="00F43ECE" w:rsidRPr="0074154F">
        <w:rPr>
          <w:rFonts w:ascii="Arial" w:hAnsi="Arial" w:cs="Arial"/>
          <w:color w:val="000000" w:themeColor="text1"/>
          <w:sz w:val="20"/>
          <w:szCs w:val="20"/>
          <w:lang w:eastAsia="es-EC"/>
        </w:rPr>
        <w:t xml:space="preserve"> correspondientes a contratos a precios fijos</w:t>
      </w:r>
      <w:r w:rsidRPr="0074154F">
        <w:rPr>
          <w:rFonts w:ascii="Arial" w:hAnsi="Arial" w:cs="Arial"/>
          <w:color w:val="000000" w:themeColor="text1"/>
          <w:sz w:val="20"/>
          <w:szCs w:val="20"/>
          <w:lang w:eastAsia="es-EC"/>
        </w:rPr>
        <w:t>.</w:t>
      </w:r>
    </w:p>
    <w:p w14:paraId="65F10728" w14:textId="78DB9B0E" w:rsidR="00DD53CC" w:rsidRPr="0074154F" w:rsidRDefault="00DD53CC" w:rsidP="00915929">
      <w:pPr>
        <w:ind w:left="567"/>
        <w:jc w:val="both"/>
        <w:rPr>
          <w:rFonts w:ascii="Arial" w:hAnsi="Arial" w:cs="Arial"/>
          <w:color w:val="000000" w:themeColor="text1"/>
          <w:sz w:val="20"/>
          <w:szCs w:val="20"/>
          <w:lang w:eastAsia="es-EC"/>
        </w:rPr>
      </w:pPr>
      <w:r w:rsidRPr="0074154F">
        <w:rPr>
          <w:rFonts w:ascii="Arial" w:hAnsi="Arial" w:cs="Arial"/>
          <w:b/>
          <w:bCs/>
          <w:color w:val="000000" w:themeColor="text1"/>
          <w:sz w:val="20"/>
          <w:szCs w:val="20"/>
          <w:u w:val="single"/>
          <w:lang w:eastAsia="es-EC"/>
        </w:rPr>
        <w:t xml:space="preserve">Proceso de </w:t>
      </w:r>
      <w:proofErr w:type="gramStart"/>
      <w:r w:rsidRPr="0074154F">
        <w:rPr>
          <w:rFonts w:ascii="Arial" w:hAnsi="Arial" w:cs="Arial"/>
          <w:b/>
          <w:bCs/>
          <w:color w:val="000000" w:themeColor="text1"/>
          <w:sz w:val="20"/>
          <w:szCs w:val="20"/>
          <w:u w:val="single"/>
          <w:lang w:eastAsia="es-EC"/>
        </w:rPr>
        <w:t>facturación</w:t>
      </w:r>
      <w:r w:rsidRPr="0074154F">
        <w:rPr>
          <w:rFonts w:ascii="Arial" w:hAnsi="Arial" w:cs="Arial"/>
          <w:b/>
          <w:bCs/>
          <w:color w:val="000000" w:themeColor="text1"/>
          <w:sz w:val="20"/>
          <w:szCs w:val="20"/>
          <w:lang w:eastAsia="es-EC"/>
        </w:rPr>
        <w:t>.-</w:t>
      </w:r>
      <w:proofErr w:type="gramEnd"/>
      <w:r w:rsidRPr="0074154F">
        <w:rPr>
          <w:rFonts w:ascii="Arial" w:hAnsi="Arial" w:cs="Arial"/>
          <w:b/>
          <w:bCs/>
          <w:color w:val="000000" w:themeColor="text1"/>
          <w:sz w:val="20"/>
          <w:szCs w:val="20"/>
          <w:lang w:eastAsia="es-EC"/>
        </w:rPr>
        <w:t xml:space="preserve"> </w:t>
      </w:r>
      <w:r w:rsidR="00B0378B" w:rsidRPr="0074154F">
        <w:rPr>
          <w:rFonts w:ascii="Arial" w:hAnsi="Arial" w:cs="Arial"/>
          <w:color w:val="000000" w:themeColor="text1"/>
          <w:sz w:val="20"/>
          <w:szCs w:val="20"/>
          <w:lang w:eastAsia="es-EC"/>
        </w:rPr>
        <w:t>representan a servicios pendientes de facturar por conceptos de preventas de internet, instalaciones de accesorios y mantenimientos de red de fibra óptica</w:t>
      </w:r>
      <w:r w:rsidR="007B2F6D" w:rsidRPr="0074154F">
        <w:rPr>
          <w:rFonts w:ascii="Arial" w:hAnsi="Arial" w:cs="Arial"/>
          <w:color w:val="000000" w:themeColor="text1"/>
          <w:sz w:val="20"/>
          <w:szCs w:val="20"/>
          <w:lang w:eastAsia="es-EC"/>
        </w:rPr>
        <w:t>.</w:t>
      </w:r>
    </w:p>
    <w:p w14:paraId="0472C822" w14:textId="305AB75D" w:rsidR="00F16097" w:rsidRPr="0074154F" w:rsidRDefault="00FF4DA8" w:rsidP="00916C42">
      <w:pPr>
        <w:ind w:left="567"/>
        <w:jc w:val="both"/>
        <w:rPr>
          <w:rFonts w:ascii="Arial" w:hAnsi="Arial" w:cs="Arial"/>
          <w:color w:val="FF0000"/>
          <w:sz w:val="20"/>
          <w:szCs w:val="20"/>
          <w:u w:val="single"/>
          <w:lang w:eastAsia="es-EC"/>
        </w:rPr>
      </w:pPr>
      <w:r w:rsidRPr="0074154F">
        <w:rPr>
          <w:rFonts w:ascii="Arial" w:hAnsi="Arial" w:cs="Arial"/>
          <w:b/>
          <w:bCs/>
          <w:color w:val="000000" w:themeColor="text1"/>
          <w:sz w:val="20"/>
          <w:szCs w:val="20"/>
          <w:u w:val="single"/>
          <w:lang w:eastAsia="es-EC"/>
        </w:rPr>
        <w:t xml:space="preserve">Rebajas </w:t>
      </w:r>
      <w:proofErr w:type="gramStart"/>
      <w:r w:rsidRPr="0074154F">
        <w:rPr>
          <w:rFonts w:ascii="Arial" w:hAnsi="Arial" w:cs="Arial"/>
          <w:b/>
          <w:bCs/>
          <w:color w:val="000000" w:themeColor="text1"/>
          <w:sz w:val="20"/>
          <w:szCs w:val="20"/>
          <w:u w:val="single"/>
          <w:lang w:eastAsia="es-EC"/>
        </w:rPr>
        <w:t>comerciales</w:t>
      </w:r>
      <w:r w:rsidRPr="0074154F">
        <w:rPr>
          <w:rFonts w:ascii="Arial" w:hAnsi="Arial" w:cs="Arial"/>
          <w:b/>
          <w:bCs/>
          <w:color w:val="000000" w:themeColor="text1"/>
          <w:sz w:val="20"/>
          <w:szCs w:val="20"/>
          <w:lang w:eastAsia="es-EC"/>
        </w:rPr>
        <w:t>.-</w:t>
      </w:r>
      <w:proofErr w:type="gramEnd"/>
      <w:r w:rsidRPr="0074154F">
        <w:rPr>
          <w:rFonts w:ascii="Arial" w:hAnsi="Arial" w:cs="Arial"/>
          <w:b/>
          <w:bCs/>
          <w:color w:val="000000" w:themeColor="text1"/>
          <w:sz w:val="20"/>
          <w:szCs w:val="20"/>
          <w:lang w:eastAsia="es-EC"/>
        </w:rPr>
        <w:t xml:space="preserve"> </w:t>
      </w:r>
      <w:r w:rsidR="00CC7E8F" w:rsidRPr="0074154F">
        <w:rPr>
          <w:rFonts w:ascii="Arial" w:hAnsi="Arial" w:cs="Arial"/>
          <w:color w:val="000000" w:themeColor="text1"/>
          <w:sz w:val="20"/>
          <w:szCs w:val="20"/>
          <w:lang w:eastAsia="es-EC"/>
        </w:rPr>
        <w:t>representan notas de créditos a facturas aplicadas por descuentos en ventas por US$14.7 millones.</w:t>
      </w:r>
    </w:p>
    <w:p w14:paraId="329607F2" w14:textId="000D65FF" w:rsidR="00B2512B" w:rsidRPr="0074154F" w:rsidRDefault="00B2512B"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val="es-EC" w:eastAsia="es-EC"/>
        </w:rPr>
      </w:pPr>
      <w:r w:rsidRPr="0074154F">
        <w:rPr>
          <w:rFonts w:ascii="Arial" w:hAnsi="Arial" w:cs="Arial"/>
          <w:sz w:val="20"/>
          <w:u w:val="single"/>
          <w:lang w:val="es-EC" w:eastAsia="es-EC"/>
        </w:rPr>
        <w:t>COSTO</w:t>
      </w:r>
      <w:r w:rsidR="000925C5" w:rsidRPr="0074154F">
        <w:rPr>
          <w:rFonts w:ascii="Arial" w:hAnsi="Arial" w:cs="Arial"/>
          <w:sz w:val="20"/>
          <w:u w:val="single"/>
          <w:lang w:val="es-EC" w:eastAsia="es-EC"/>
        </w:rPr>
        <w:t>S</w:t>
      </w:r>
      <w:r w:rsidRPr="0074154F">
        <w:rPr>
          <w:rFonts w:ascii="Arial" w:hAnsi="Arial" w:cs="Arial"/>
          <w:sz w:val="20"/>
          <w:u w:val="single"/>
          <w:lang w:val="es-EC" w:eastAsia="es-EC"/>
        </w:rPr>
        <w:t xml:space="preserve"> Y GASTOS POR SU NATURALEZA</w:t>
      </w:r>
    </w:p>
    <w:p w14:paraId="40BBA528" w14:textId="77777777" w:rsidR="00B2512B" w:rsidRPr="0074154F" w:rsidRDefault="00B2512B" w:rsidP="00413455">
      <w:pPr>
        <w:spacing w:after="0" w:line="240" w:lineRule="auto"/>
        <w:rPr>
          <w:rFonts w:ascii="Arial" w:hAnsi="Arial" w:cs="Arial"/>
          <w:sz w:val="20"/>
          <w:szCs w:val="20"/>
          <w:lang w:eastAsia="es-EC"/>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B610B7" w:rsidRPr="0074154F" w14:paraId="5EF09BE1" w14:textId="77777777" w:rsidTr="00471822">
        <w:trPr>
          <w:trHeight w:val="283"/>
          <w:jc w:val="right"/>
        </w:trPr>
        <w:tc>
          <w:tcPr>
            <w:tcW w:w="5272" w:type="dxa"/>
            <w:tcBorders>
              <w:top w:val="nil"/>
              <w:left w:val="nil"/>
              <w:bottom w:val="nil"/>
              <w:right w:val="nil"/>
            </w:tcBorders>
            <w:shd w:val="clear" w:color="auto" w:fill="auto"/>
            <w:noWrap/>
            <w:vAlign w:val="bottom"/>
            <w:hideMark/>
          </w:tcPr>
          <w:p w14:paraId="348DAEA8"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3A7245B6" w14:textId="0F6E949C"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w:t>
            </w:r>
            <w:r w:rsidR="008B6D9E"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4CE9396C" w14:textId="77777777"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A4CCA10" w14:textId="0F5E4C5E"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w:t>
            </w:r>
            <w:r w:rsidR="008B6D9E" w:rsidRPr="0074154F">
              <w:rPr>
                <w:rFonts w:ascii="Arial" w:eastAsia="Times New Roman" w:hAnsi="Arial" w:cs="Arial"/>
                <w:b/>
                <w:bCs/>
                <w:color w:val="000000"/>
                <w:sz w:val="20"/>
                <w:szCs w:val="20"/>
                <w:lang w:eastAsia="es-EC"/>
              </w:rPr>
              <w:t>9</w:t>
            </w:r>
          </w:p>
        </w:tc>
      </w:tr>
      <w:tr w:rsidR="00B610B7" w:rsidRPr="0074154F" w14:paraId="7F2FB5A8" w14:textId="77777777" w:rsidTr="00F33F79">
        <w:trPr>
          <w:trHeight w:val="155"/>
          <w:jc w:val="right"/>
        </w:trPr>
        <w:tc>
          <w:tcPr>
            <w:tcW w:w="5272" w:type="dxa"/>
            <w:tcBorders>
              <w:top w:val="nil"/>
              <w:left w:val="nil"/>
              <w:bottom w:val="nil"/>
              <w:right w:val="nil"/>
            </w:tcBorders>
            <w:shd w:val="clear" w:color="auto" w:fill="auto"/>
            <w:noWrap/>
            <w:vAlign w:val="bottom"/>
          </w:tcPr>
          <w:p w14:paraId="3B86EA6A"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tcPr>
          <w:p w14:paraId="41DBBC40"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c>
          <w:tcPr>
            <w:tcW w:w="227" w:type="dxa"/>
            <w:tcBorders>
              <w:top w:val="nil"/>
              <w:left w:val="nil"/>
              <w:bottom w:val="nil"/>
              <w:right w:val="nil"/>
            </w:tcBorders>
            <w:shd w:val="clear" w:color="auto" w:fill="auto"/>
            <w:noWrap/>
            <w:vAlign w:val="bottom"/>
          </w:tcPr>
          <w:p w14:paraId="25D1B1A0"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c>
          <w:tcPr>
            <w:tcW w:w="1502" w:type="dxa"/>
            <w:tcBorders>
              <w:top w:val="single" w:sz="8" w:space="0" w:color="auto"/>
              <w:left w:val="nil"/>
              <w:bottom w:val="nil"/>
              <w:right w:val="nil"/>
            </w:tcBorders>
            <w:shd w:val="clear" w:color="auto" w:fill="auto"/>
            <w:noWrap/>
            <w:vAlign w:val="bottom"/>
          </w:tcPr>
          <w:p w14:paraId="789820D0" w14:textId="77777777" w:rsidR="00B610B7" w:rsidRPr="0074154F" w:rsidRDefault="00B610B7" w:rsidP="00413455">
            <w:pPr>
              <w:spacing w:after="0" w:line="240" w:lineRule="auto"/>
              <w:rPr>
                <w:rFonts w:ascii="Arial" w:eastAsia="Times New Roman" w:hAnsi="Arial" w:cs="Arial"/>
                <w:b/>
                <w:bCs/>
                <w:color w:val="000000"/>
                <w:sz w:val="20"/>
                <w:szCs w:val="20"/>
                <w:u w:val="single"/>
                <w:lang w:eastAsia="es-EC"/>
              </w:rPr>
            </w:pPr>
          </w:p>
        </w:tc>
      </w:tr>
      <w:tr w:rsidR="008B6D9E" w:rsidRPr="0074154F" w14:paraId="2B9B7810" w14:textId="77777777" w:rsidTr="003666C7">
        <w:trPr>
          <w:trHeight w:val="283"/>
          <w:jc w:val="right"/>
        </w:trPr>
        <w:tc>
          <w:tcPr>
            <w:tcW w:w="5272" w:type="dxa"/>
            <w:tcBorders>
              <w:top w:val="nil"/>
              <w:left w:val="nil"/>
              <w:right w:val="nil"/>
            </w:tcBorders>
            <w:shd w:val="clear" w:color="auto" w:fill="auto"/>
            <w:noWrap/>
            <w:vAlign w:val="bottom"/>
          </w:tcPr>
          <w:p w14:paraId="43E33818" w14:textId="77777777" w:rsidR="008B6D9E" w:rsidRPr="0074154F" w:rsidRDefault="008B6D9E" w:rsidP="008B6D9E">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Costos de ventas</w:t>
            </w:r>
          </w:p>
        </w:tc>
        <w:tc>
          <w:tcPr>
            <w:tcW w:w="1502" w:type="dxa"/>
            <w:tcBorders>
              <w:top w:val="nil"/>
              <w:left w:val="nil"/>
              <w:right w:val="nil"/>
            </w:tcBorders>
            <w:shd w:val="clear" w:color="auto" w:fill="auto"/>
            <w:noWrap/>
            <w:vAlign w:val="bottom"/>
          </w:tcPr>
          <w:p w14:paraId="7EEBCA7B" w14:textId="6D1916C4" w:rsidR="008B6D9E" w:rsidRPr="0074154F" w:rsidRDefault="009278F1" w:rsidP="001912A1">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102,477,855</w:t>
            </w:r>
          </w:p>
        </w:tc>
        <w:tc>
          <w:tcPr>
            <w:tcW w:w="227" w:type="dxa"/>
            <w:tcBorders>
              <w:top w:val="nil"/>
              <w:left w:val="nil"/>
              <w:right w:val="nil"/>
            </w:tcBorders>
            <w:shd w:val="clear" w:color="auto" w:fill="auto"/>
            <w:noWrap/>
            <w:vAlign w:val="bottom"/>
          </w:tcPr>
          <w:p w14:paraId="36C3C1C0" w14:textId="77777777" w:rsidR="008B6D9E" w:rsidRPr="0074154F" w:rsidRDefault="008B6D9E" w:rsidP="008B6D9E">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EECC057" w14:textId="52C53DFF" w:rsidR="008B6D9E" w:rsidRPr="0074154F" w:rsidRDefault="009278F1" w:rsidP="001912A1">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128,818,072</w:t>
            </w:r>
          </w:p>
        </w:tc>
      </w:tr>
      <w:tr w:rsidR="008B6D9E" w:rsidRPr="0074154F" w14:paraId="451E04F3" w14:textId="77777777" w:rsidTr="003666C7">
        <w:trPr>
          <w:trHeight w:val="283"/>
          <w:jc w:val="right"/>
        </w:trPr>
        <w:tc>
          <w:tcPr>
            <w:tcW w:w="5272" w:type="dxa"/>
            <w:tcBorders>
              <w:top w:val="nil"/>
              <w:left w:val="nil"/>
              <w:right w:val="nil"/>
            </w:tcBorders>
            <w:shd w:val="clear" w:color="auto" w:fill="auto"/>
            <w:noWrap/>
            <w:vAlign w:val="bottom"/>
          </w:tcPr>
          <w:p w14:paraId="3D7F8CB0" w14:textId="4031FF40" w:rsidR="008B6D9E" w:rsidRPr="0074154F" w:rsidRDefault="008B6D9E" w:rsidP="008B6D9E">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Gastos de administración</w:t>
            </w:r>
            <w:r w:rsidR="00401305" w:rsidRPr="0074154F">
              <w:rPr>
                <w:rFonts w:ascii="Arial" w:eastAsia="Times New Roman" w:hAnsi="Arial" w:cs="Arial"/>
                <w:color w:val="000000"/>
                <w:sz w:val="20"/>
                <w:szCs w:val="20"/>
                <w:lang w:val="es-MX" w:eastAsia="es-MX"/>
              </w:rPr>
              <w:t xml:space="preserve"> y ventas</w:t>
            </w:r>
          </w:p>
        </w:tc>
        <w:tc>
          <w:tcPr>
            <w:tcW w:w="1502" w:type="dxa"/>
            <w:tcBorders>
              <w:top w:val="nil"/>
              <w:left w:val="nil"/>
              <w:bottom w:val="single" w:sz="6" w:space="0" w:color="auto"/>
              <w:right w:val="nil"/>
            </w:tcBorders>
            <w:shd w:val="clear" w:color="auto" w:fill="auto"/>
            <w:noWrap/>
            <w:vAlign w:val="bottom"/>
          </w:tcPr>
          <w:p w14:paraId="6145176C" w14:textId="4B9E2445" w:rsidR="008B6D9E" w:rsidRPr="0074154F" w:rsidRDefault="009278F1" w:rsidP="001912A1">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102,437,674</w:t>
            </w:r>
          </w:p>
        </w:tc>
        <w:tc>
          <w:tcPr>
            <w:tcW w:w="227" w:type="dxa"/>
            <w:tcBorders>
              <w:top w:val="nil"/>
              <w:left w:val="nil"/>
              <w:right w:val="nil"/>
            </w:tcBorders>
            <w:shd w:val="clear" w:color="auto" w:fill="auto"/>
            <w:noWrap/>
            <w:vAlign w:val="bottom"/>
          </w:tcPr>
          <w:p w14:paraId="32A0821F" w14:textId="77777777" w:rsidR="008B6D9E" w:rsidRPr="0074154F" w:rsidRDefault="008B6D9E" w:rsidP="008B6D9E">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52ACAAB7" w14:textId="56B210C7" w:rsidR="008B6D9E" w:rsidRPr="0074154F" w:rsidRDefault="009278F1" w:rsidP="001912A1">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61,938,780</w:t>
            </w:r>
          </w:p>
        </w:tc>
      </w:tr>
      <w:tr w:rsidR="008B6D9E" w:rsidRPr="0074154F" w14:paraId="07AB64DF" w14:textId="77777777" w:rsidTr="003666C7">
        <w:trPr>
          <w:trHeight w:val="191"/>
          <w:jc w:val="right"/>
        </w:trPr>
        <w:tc>
          <w:tcPr>
            <w:tcW w:w="5272" w:type="dxa"/>
            <w:tcBorders>
              <w:top w:val="nil"/>
              <w:left w:val="nil"/>
              <w:right w:val="nil"/>
            </w:tcBorders>
            <w:shd w:val="clear" w:color="auto" w:fill="auto"/>
            <w:noWrap/>
            <w:vAlign w:val="bottom"/>
          </w:tcPr>
          <w:p w14:paraId="4720CB18" w14:textId="77777777" w:rsidR="008B6D9E" w:rsidRPr="0074154F" w:rsidRDefault="008B6D9E" w:rsidP="008B6D9E">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6" w:space="0" w:color="auto"/>
              <w:left w:val="nil"/>
              <w:right w:val="nil"/>
            </w:tcBorders>
            <w:shd w:val="clear" w:color="auto" w:fill="auto"/>
            <w:noWrap/>
            <w:vAlign w:val="bottom"/>
          </w:tcPr>
          <w:p w14:paraId="501C2352" w14:textId="59971527" w:rsidR="008B6D9E" w:rsidRPr="0074154F" w:rsidRDefault="008B6D9E" w:rsidP="008B6D9E">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left w:val="nil"/>
              <w:right w:val="nil"/>
            </w:tcBorders>
            <w:shd w:val="clear" w:color="auto" w:fill="auto"/>
            <w:noWrap/>
            <w:vAlign w:val="bottom"/>
          </w:tcPr>
          <w:p w14:paraId="6283E531" w14:textId="77777777" w:rsidR="008B6D9E" w:rsidRPr="0074154F" w:rsidRDefault="008B6D9E" w:rsidP="008B6D9E">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78FC71EC" w14:textId="77777777" w:rsidR="008B6D9E" w:rsidRPr="0074154F" w:rsidRDefault="008B6D9E" w:rsidP="008B6D9E">
            <w:pPr>
              <w:tabs>
                <w:tab w:val="decimal" w:pos="1276"/>
              </w:tabs>
              <w:spacing w:after="0" w:line="240" w:lineRule="auto"/>
              <w:rPr>
                <w:rFonts w:ascii="Arial" w:eastAsia="Times New Roman" w:hAnsi="Arial" w:cs="Arial"/>
                <w:sz w:val="20"/>
                <w:szCs w:val="20"/>
                <w:lang w:eastAsia="es-EC"/>
              </w:rPr>
            </w:pPr>
          </w:p>
        </w:tc>
      </w:tr>
      <w:tr w:rsidR="008B6D9E" w:rsidRPr="0074154F" w14:paraId="0EA59CE1" w14:textId="77777777" w:rsidTr="00D453AF">
        <w:trPr>
          <w:trHeight w:val="62"/>
          <w:jc w:val="right"/>
        </w:trPr>
        <w:tc>
          <w:tcPr>
            <w:tcW w:w="5272" w:type="dxa"/>
            <w:tcBorders>
              <w:top w:val="nil"/>
              <w:left w:val="nil"/>
              <w:right w:val="nil"/>
            </w:tcBorders>
            <w:shd w:val="clear" w:color="auto" w:fill="auto"/>
            <w:noWrap/>
            <w:vAlign w:val="bottom"/>
          </w:tcPr>
          <w:p w14:paraId="7E2CF1E8" w14:textId="77777777" w:rsidR="008B6D9E" w:rsidRPr="0074154F" w:rsidRDefault="008B6D9E" w:rsidP="008B6D9E">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Total</w:t>
            </w:r>
          </w:p>
        </w:tc>
        <w:tc>
          <w:tcPr>
            <w:tcW w:w="1502" w:type="dxa"/>
            <w:tcBorders>
              <w:top w:val="nil"/>
              <w:left w:val="nil"/>
              <w:bottom w:val="double" w:sz="4" w:space="0" w:color="auto"/>
              <w:right w:val="nil"/>
            </w:tcBorders>
            <w:shd w:val="clear" w:color="auto" w:fill="auto"/>
            <w:noWrap/>
            <w:vAlign w:val="bottom"/>
          </w:tcPr>
          <w:p w14:paraId="1D4945A6" w14:textId="606E059B" w:rsidR="008B6D9E" w:rsidRPr="0074154F" w:rsidRDefault="003666C7" w:rsidP="001912A1">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204,915,529</w:t>
            </w:r>
          </w:p>
        </w:tc>
        <w:tc>
          <w:tcPr>
            <w:tcW w:w="227" w:type="dxa"/>
            <w:tcBorders>
              <w:top w:val="nil"/>
              <w:left w:val="nil"/>
              <w:right w:val="nil"/>
            </w:tcBorders>
            <w:shd w:val="clear" w:color="auto" w:fill="auto"/>
            <w:noWrap/>
            <w:vAlign w:val="bottom"/>
          </w:tcPr>
          <w:p w14:paraId="1F01A83B" w14:textId="77777777" w:rsidR="008B6D9E" w:rsidRPr="0074154F" w:rsidRDefault="008B6D9E" w:rsidP="008B6D9E">
            <w:pPr>
              <w:spacing w:after="0" w:line="240" w:lineRule="auto"/>
              <w:rPr>
                <w:rFonts w:ascii="Arial" w:eastAsia="Times New Roman" w:hAnsi="Arial" w:cs="Arial"/>
                <w:sz w:val="20"/>
                <w:szCs w:val="20"/>
                <w:lang w:eastAsia="es-EC"/>
              </w:rPr>
            </w:pPr>
          </w:p>
        </w:tc>
        <w:tc>
          <w:tcPr>
            <w:tcW w:w="1502" w:type="dxa"/>
            <w:tcBorders>
              <w:top w:val="nil"/>
              <w:left w:val="nil"/>
              <w:bottom w:val="double" w:sz="4" w:space="0" w:color="auto"/>
              <w:right w:val="nil"/>
            </w:tcBorders>
            <w:shd w:val="clear" w:color="auto" w:fill="auto"/>
            <w:noWrap/>
            <w:vAlign w:val="bottom"/>
          </w:tcPr>
          <w:p w14:paraId="1D9F9862" w14:textId="014CA7C6" w:rsidR="008B6D9E" w:rsidRPr="0074154F" w:rsidRDefault="0036560F" w:rsidP="001912A1">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190,756,852</w:t>
            </w:r>
          </w:p>
        </w:tc>
      </w:tr>
    </w:tbl>
    <w:p w14:paraId="1A2359CF" w14:textId="52E25159" w:rsidR="00682377" w:rsidRPr="0074154F" w:rsidRDefault="00682377" w:rsidP="00413455">
      <w:pPr>
        <w:widowControl w:val="0"/>
        <w:spacing w:after="0" w:line="240" w:lineRule="auto"/>
        <w:ind w:left="567"/>
        <w:jc w:val="both"/>
        <w:rPr>
          <w:rFonts w:ascii="Arial" w:hAnsi="Arial" w:cs="Arial"/>
          <w:sz w:val="20"/>
          <w:szCs w:val="20"/>
        </w:rPr>
      </w:pPr>
    </w:p>
    <w:p w14:paraId="02801CD6" w14:textId="53BED716" w:rsidR="00B2512B" w:rsidRPr="0074154F" w:rsidRDefault="00B2512B" w:rsidP="00413455">
      <w:pPr>
        <w:widowControl w:val="0"/>
        <w:spacing w:after="0" w:line="240" w:lineRule="auto"/>
        <w:ind w:left="567"/>
        <w:jc w:val="both"/>
        <w:rPr>
          <w:rFonts w:ascii="Arial" w:hAnsi="Arial" w:cs="Arial"/>
          <w:sz w:val="20"/>
          <w:szCs w:val="20"/>
        </w:rPr>
      </w:pPr>
      <w:r w:rsidRPr="0074154F">
        <w:rPr>
          <w:rFonts w:ascii="Arial" w:hAnsi="Arial" w:cs="Arial"/>
          <w:sz w:val="20"/>
          <w:szCs w:val="20"/>
        </w:rPr>
        <w:t xml:space="preserve">Un </w:t>
      </w:r>
      <w:r w:rsidR="00F267C9" w:rsidRPr="0074154F">
        <w:rPr>
          <w:rFonts w:ascii="Arial" w:hAnsi="Arial" w:cs="Arial"/>
          <w:sz w:val="20"/>
          <w:szCs w:val="20"/>
        </w:rPr>
        <w:t>d</w:t>
      </w:r>
      <w:r w:rsidRPr="0074154F">
        <w:rPr>
          <w:rFonts w:ascii="Arial" w:hAnsi="Arial" w:cs="Arial"/>
          <w:sz w:val="20"/>
          <w:szCs w:val="20"/>
        </w:rPr>
        <w:t xml:space="preserve">etalle </w:t>
      </w:r>
      <w:r w:rsidR="000925C5" w:rsidRPr="0074154F">
        <w:rPr>
          <w:rFonts w:ascii="Arial" w:hAnsi="Arial" w:cs="Arial"/>
          <w:sz w:val="20"/>
          <w:szCs w:val="20"/>
        </w:rPr>
        <w:t xml:space="preserve">comparativo </w:t>
      </w:r>
      <w:r w:rsidRPr="0074154F">
        <w:rPr>
          <w:rFonts w:ascii="Arial" w:hAnsi="Arial" w:cs="Arial"/>
          <w:sz w:val="20"/>
          <w:szCs w:val="20"/>
        </w:rPr>
        <w:t>de costos y gastos por su naturaleza es como sigue:</w:t>
      </w:r>
    </w:p>
    <w:p w14:paraId="07DF00F5" w14:textId="77777777" w:rsidR="00B2512B" w:rsidRPr="0074154F" w:rsidRDefault="00B2512B" w:rsidP="00413455">
      <w:pPr>
        <w:widowControl w:val="0"/>
        <w:spacing w:after="0" w:line="240" w:lineRule="auto"/>
        <w:ind w:left="567"/>
        <w:jc w:val="both"/>
        <w:rPr>
          <w:rFonts w:ascii="Arial" w:hAnsi="Arial" w:cs="Arial"/>
          <w:sz w:val="20"/>
          <w:szCs w:val="20"/>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B610B7" w:rsidRPr="0074154F" w14:paraId="602CDC78" w14:textId="77777777" w:rsidTr="00D453AF">
        <w:trPr>
          <w:trHeight w:val="189"/>
          <w:jc w:val="right"/>
        </w:trPr>
        <w:tc>
          <w:tcPr>
            <w:tcW w:w="5272" w:type="dxa"/>
            <w:tcBorders>
              <w:top w:val="nil"/>
              <w:left w:val="nil"/>
              <w:bottom w:val="nil"/>
              <w:right w:val="nil"/>
            </w:tcBorders>
            <w:shd w:val="clear" w:color="auto" w:fill="auto"/>
            <w:noWrap/>
            <w:vAlign w:val="bottom"/>
            <w:hideMark/>
          </w:tcPr>
          <w:p w14:paraId="22813DE1"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532F9899" w14:textId="1815FCFB"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w:t>
            </w:r>
            <w:r w:rsidR="00893A37"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63FDFC16" w14:textId="77777777"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21BCB9B3" w14:textId="410961BE" w:rsidR="00B610B7" w:rsidRPr="0074154F" w:rsidRDefault="00B610B7" w:rsidP="00413455">
            <w:pPr>
              <w:spacing w:after="0" w:line="240" w:lineRule="auto"/>
              <w:ind w:right="70"/>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w:t>
            </w:r>
            <w:r w:rsidR="00893A37" w:rsidRPr="0074154F">
              <w:rPr>
                <w:rFonts w:ascii="Arial" w:eastAsia="Times New Roman" w:hAnsi="Arial" w:cs="Arial"/>
                <w:b/>
                <w:bCs/>
                <w:color w:val="000000"/>
                <w:sz w:val="20"/>
                <w:szCs w:val="20"/>
                <w:lang w:eastAsia="es-EC"/>
              </w:rPr>
              <w:t>9</w:t>
            </w:r>
          </w:p>
        </w:tc>
      </w:tr>
      <w:tr w:rsidR="00B610B7" w:rsidRPr="0074154F" w14:paraId="2A3C4BAD" w14:textId="77777777" w:rsidTr="00D453AF">
        <w:trPr>
          <w:trHeight w:val="229"/>
          <w:jc w:val="right"/>
        </w:trPr>
        <w:tc>
          <w:tcPr>
            <w:tcW w:w="5272" w:type="dxa"/>
            <w:tcBorders>
              <w:top w:val="nil"/>
              <w:left w:val="nil"/>
              <w:right w:val="nil"/>
            </w:tcBorders>
            <w:shd w:val="clear" w:color="auto" w:fill="auto"/>
            <w:noWrap/>
            <w:vAlign w:val="bottom"/>
            <w:hideMark/>
          </w:tcPr>
          <w:p w14:paraId="52A7020D" w14:textId="77777777" w:rsidR="00B610B7" w:rsidRPr="0074154F" w:rsidRDefault="00B610B7"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8" w:space="0" w:color="auto"/>
              <w:left w:val="nil"/>
              <w:right w:val="nil"/>
            </w:tcBorders>
            <w:shd w:val="clear" w:color="auto" w:fill="auto"/>
            <w:noWrap/>
            <w:vAlign w:val="bottom"/>
            <w:hideMark/>
          </w:tcPr>
          <w:p w14:paraId="6C068656" w14:textId="77777777" w:rsidR="00B610B7" w:rsidRPr="0074154F" w:rsidRDefault="00B610B7" w:rsidP="00413455">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515C745F" w14:textId="77777777" w:rsidR="00B610B7" w:rsidRPr="0074154F" w:rsidRDefault="00B610B7" w:rsidP="00413455">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hideMark/>
          </w:tcPr>
          <w:p w14:paraId="62E94656" w14:textId="77777777" w:rsidR="00B610B7" w:rsidRPr="0074154F" w:rsidRDefault="00B610B7" w:rsidP="00413455">
            <w:pPr>
              <w:spacing w:after="0" w:line="240" w:lineRule="auto"/>
              <w:rPr>
                <w:rFonts w:ascii="Arial" w:eastAsia="Times New Roman" w:hAnsi="Arial" w:cs="Arial"/>
                <w:sz w:val="20"/>
                <w:szCs w:val="20"/>
                <w:lang w:eastAsia="es-EC"/>
              </w:rPr>
            </w:pPr>
          </w:p>
        </w:tc>
      </w:tr>
      <w:tr w:rsidR="00F24E48" w:rsidRPr="0074154F" w14:paraId="150286CD" w14:textId="77777777" w:rsidTr="00F24E48">
        <w:trPr>
          <w:trHeight w:val="272"/>
          <w:jc w:val="right"/>
        </w:trPr>
        <w:tc>
          <w:tcPr>
            <w:tcW w:w="5272" w:type="dxa"/>
            <w:tcBorders>
              <w:left w:val="nil"/>
              <w:right w:val="nil"/>
            </w:tcBorders>
            <w:shd w:val="clear" w:color="auto" w:fill="auto"/>
            <w:noWrap/>
            <w:vAlign w:val="bottom"/>
          </w:tcPr>
          <w:p w14:paraId="3630203B" w14:textId="54E42625" w:rsidR="00F24E48" w:rsidRPr="0074154F" w:rsidRDefault="00F24E48" w:rsidP="00F24E48">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Sueldos y beneficios sociales</w:t>
            </w:r>
          </w:p>
        </w:tc>
        <w:tc>
          <w:tcPr>
            <w:tcW w:w="1502" w:type="dxa"/>
            <w:tcBorders>
              <w:left w:val="nil"/>
              <w:right w:val="nil"/>
            </w:tcBorders>
            <w:shd w:val="clear" w:color="auto" w:fill="auto"/>
            <w:noWrap/>
            <w:vAlign w:val="bottom"/>
          </w:tcPr>
          <w:p w14:paraId="6F51473B" w14:textId="0DC9FE62" w:rsidR="00F24E48" w:rsidRPr="0074154F" w:rsidRDefault="00124628" w:rsidP="008265D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57,379,005</w:t>
            </w:r>
          </w:p>
        </w:tc>
        <w:tc>
          <w:tcPr>
            <w:tcW w:w="227" w:type="dxa"/>
            <w:tcBorders>
              <w:left w:val="nil"/>
              <w:right w:val="nil"/>
            </w:tcBorders>
            <w:shd w:val="clear" w:color="auto" w:fill="auto"/>
            <w:noWrap/>
            <w:vAlign w:val="bottom"/>
          </w:tcPr>
          <w:p w14:paraId="1C268D6F" w14:textId="77777777" w:rsidR="00F24E48" w:rsidRPr="0074154F" w:rsidRDefault="00F24E48" w:rsidP="00F24E48">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0E0C9D7D" w14:textId="6EFC2275" w:rsidR="00F24E48" w:rsidRPr="0074154F" w:rsidRDefault="000C18E5" w:rsidP="00F24E48">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54,544,727</w:t>
            </w:r>
          </w:p>
        </w:tc>
      </w:tr>
      <w:tr w:rsidR="00A56C85" w:rsidRPr="0074154F" w14:paraId="2AF6C462" w14:textId="77777777" w:rsidTr="00F24E48">
        <w:trPr>
          <w:trHeight w:val="272"/>
          <w:jc w:val="right"/>
        </w:trPr>
        <w:tc>
          <w:tcPr>
            <w:tcW w:w="5272" w:type="dxa"/>
            <w:tcBorders>
              <w:left w:val="nil"/>
              <w:right w:val="nil"/>
            </w:tcBorders>
            <w:shd w:val="clear" w:color="auto" w:fill="auto"/>
            <w:noWrap/>
            <w:vAlign w:val="bottom"/>
          </w:tcPr>
          <w:p w14:paraId="26B8A62E" w14:textId="26DD6508" w:rsidR="00A56C85" w:rsidRPr="0074154F" w:rsidRDefault="00A56C85" w:rsidP="00A56C85">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Compra de equipos para la venta</w:t>
            </w:r>
          </w:p>
        </w:tc>
        <w:tc>
          <w:tcPr>
            <w:tcW w:w="1502" w:type="dxa"/>
            <w:tcBorders>
              <w:left w:val="nil"/>
              <w:right w:val="nil"/>
            </w:tcBorders>
            <w:shd w:val="clear" w:color="auto" w:fill="auto"/>
            <w:noWrap/>
            <w:vAlign w:val="bottom"/>
          </w:tcPr>
          <w:p w14:paraId="14CBF5A0" w14:textId="3E6E49DD" w:rsidR="00A56C85" w:rsidRPr="0074154F" w:rsidRDefault="00124628" w:rsidP="008265D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27,682,612</w:t>
            </w:r>
          </w:p>
        </w:tc>
        <w:tc>
          <w:tcPr>
            <w:tcW w:w="227" w:type="dxa"/>
            <w:tcBorders>
              <w:left w:val="nil"/>
              <w:right w:val="nil"/>
            </w:tcBorders>
            <w:shd w:val="clear" w:color="auto" w:fill="auto"/>
            <w:noWrap/>
            <w:vAlign w:val="bottom"/>
          </w:tcPr>
          <w:p w14:paraId="6F9AB677" w14:textId="77777777" w:rsidR="00A56C85" w:rsidRPr="0074154F" w:rsidRDefault="00A56C85" w:rsidP="00A56C85">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1D56EE0A" w14:textId="45A85B20" w:rsidR="00A56C85" w:rsidRPr="0074154F" w:rsidRDefault="000C18E5" w:rsidP="00A56C8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10,166,658</w:t>
            </w:r>
          </w:p>
        </w:tc>
      </w:tr>
      <w:tr w:rsidR="00B26EA4" w:rsidRPr="0074154F" w14:paraId="0AC61F22" w14:textId="77777777" w:rsidTr="00F24E48">
        <w:trPr>
          <w:trHeight w:val="272"/>
          <w:jc w:val="right"/>
        </w:trPr>
        <w:tc>
          <w:tcPr>
            <w:tcW w:w="5272" w:type="dxa"/>
            <w:tcBorders>
              <w:left w:val="nil"/>
              <w:right w:val="nil"/>
            </w:tcBorders>
            <w:shd w:val="clear" w:color="auto" w:fill="auto"/>
            <w:noWrap/>
            <w:vAlign w:val="bottom"/>
          </w:tcPr>
          <w:p w14:paraId="30A5BF2A" w14:textId="17EB13BA" w:rsidR="00B26EA4" w:rsidRPr="0074154F" w:rsidRDefault="00B26EA4" w:rsidP="00B26EA4">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Compra de servicios portadores</w:t>
            </w:r>
          </w:p>
        </w:tc>
        <w:tc>
          <w:tcPr>
            <w:tcW w:w="1502" w:type="dxa"/>
            <w:tcBorders>
              <w:left w:val="nil"/>
              <w:right w:val="nil"/>
            </w:tcBorders>
            <w:shd w:val="clear" w:color="auto" w:fill="auto"/>
            <w:noWrap/>
            <w:vAlign w:val="bottom"/>
          </w:tcPr>
          <w:p w14:paraId="61A38938" w14:textId="3060801E" w:rsidR="00B26EA4" w:rsidRDefault="00B26EA4" w:rsidP="00B26EA4">
            <w:pPr>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23,854,709</w:t>
            </w:r>
          </w:p>
        </w:tc>
        <w:tc>
          <w:tcPr>
            <w:tcW w:w="227" w:type="dxa"/>
            <w:tcBorders>
              <w:left w:val="nil"/>
              <w:right w:val="nil"/>
            </w:tcBorders>
            <w:shd w:val="clear" w:color="auto" w:fill="auto"/>
            <w:noWrap/>
            <w:vAlign w:val="bottom"/>
          </w:tcPr>
          <w:p w14:paraId="59D416D0" w14:textId="77777777" w:rsidR="00B26EA4" w:rsidRPr="0074154F" w:rsidRDefault="00B26EA4" w:rsidP="00B26EA4">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387C11DD" w14:textId="011FC58F" w:rsidR="00B26EA4" w:rsidRDefault="00B26EA4" w:rsidP="00B26EA4">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18,529,427</w:t>
            </w:r>
          </w:p>
        </w:tc>
      </w:tr>
      <w:tr w:rsidR="004A4215" w:rsidRPr="0074154F" w14:paraId="4FBC0C46" w14:textId="77777777" w:rsidTr="00F24E48">
        <w:trPr>
          <w:trHeight w:val="272"/>
          <w:jc w:val="right"/>
        </w:trPr>
        <w:tc>
          <w:tcPr>
            <w:tcW w:w="5272" w:type="dxa"/>
            <w:tcBorders>
              <w:left w:val="nil"/>
              <w:right w:val="nil"/>
            </w:tcBorders>
            <w:shd w:val="clear" w:color="auto" w:fill="auto"/>
            <w:noWrap/>
            <w:vAlign w:val="bottom"/>
          </w:tcPr>
          <w:p w14:paraId="3BFD6384" w14:textId="62A176B2" w:rsidR="004A4215" w:rsidRPr="0074154F" w:rsidRDefault="004A4215" w:rsidP="004A4215">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sz w:val="20"/>
                <w:szCs w:val="20"/>
                <w:lang w:val="es-MX" w:eastAsia="es-MX"/>
              </w:rPr>
              <w:t xml:space="preserve">Depreciación </w:t>
            </w:r>
          </w:p>
        </w:tc>
        <w:tc>
          <w:tcPr>
            <w:tcW w:w="1502" w:type="dxa"/>
            <w:tcBorders>
              <w:left w:val="nil"/>
              <w:right w:val="nil"/>
            </w:tcBorders>
            <w:shd w:val="clear" w:color="auto" w:fill="auto"/>
            <w:noWrap/>
            <w:vAlign w:val="bottom"/>
          </w:tcPr>
          <w:p w14:paraId="02DF8A7D" w14:textId="573B9A38" w:rsidR="004A4215" w:rsidRDefault="004A4215" w:rsidP="004A4215">
            <w:pPr>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16,047,365</w:t>
            </w:r>
          </w:p>
        </w:tc>
        <w:tc>
          <w:tcPr>
            <w:tcW w:w="227" w:type="dxa"/>
            <w:tcBorders>
              <w:left w:val="nil"/>
              <w:right w:val="nil"/>
            </w:tcBorders>
            <w:shd w:val="clear" w:color="auto" w:fill="auto"/>
            <w:noWrap/>
            <w:vAlign w:val="bottom"/>
          </w:tcPr>
          <w:p w14:paraId="54D0851F" w14:textId="77777777" w:rsidR="004A4215" w:rsidRPr="0074154F" w:rsidRDefault="004A4215" w:rsidP="004A4215">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5E8FDA71" w14:textId="2498374E" w:rsidR="004A4215" w:rsidRDefault="004A4215" w:rsidP="004A421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18,872,044</w:t>
            </w:r>
          </w:p>
        </w:tc>
      </w:tr>
      <w:tr w:rsidR="004A4215" w:rsidRPr="0074154F" w14:paraId="6DD10282" w14:textId="77777777" w:rsidTr="00841A46">
        <w:trPr>
          <w:trHeight w:val="272"/>
          <w:jc w:val="right"/>
        </w:trPr>
        <w:tc>
          <w:tcPr>
            <w:tcW w:w="5272" w:type="dxa"/>
            <w:tcBorders>
              <w:left w:val="nil"/>
              <w:right w:val="nil"/>
            </w:tcBorders>
            <w:shd w:val="clear" w:color="auto" w:fill="auto"/>
            <w:noWrap/>
            <w:vAlign w:val="bottom"/>
          </w:tcPr>
          <w:p w14:paraId="167D2CF7" w14:textId="655DC148" w:rsidR="004A4215" w:rsidRPr="0074154F" w:rsidRDefault="004A4215" w:rsidP="004A4215">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Instalación de materiales en clientes</w:t>
            </w:r>
          </w:p>
        </w:tc>
        <w:tc>
          <w:tcPr>
            <w:tcW w:w="1502" w:type="dxa"/>
            <w:tcBorders>
              <w:left w:val="nil"/>
              <w:right w:val="nil"/>
            </w:tcBorders>
            <w:shd w:val="clear" w:color="auto" w:fill="auto"/>
            <w:noWrap/>
            <w:vAlign w:val="bottom"/>
          </w:tcPr>
          <w:p w14:paraId="5B32D05A" w14:textId="58CCC9E9" w:rsidR="004A4215" w:rsidRPr="0074154F" w:rsidRDefault="004A4215" w:rsidP="004A4215">
            <w:pPr>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9,525,715</w:t>
            </w:r>
          </w:p>
        </w:tc>
        <w:tc>
          <w:tcPr>
            <w:tcW w:w="227" w:type="dxa"/>
            <w:tcBorders>
              <w:left w:val="nil"/>
              <w:right w:val="nil"/>
            </w:tcBorders>
            <w:shd w:val="clear" w:color="auto" w:fill="auto"/>
            <w:noWrap/>
            <w:vAlign w:val="bottom"/>
          </w:tcPr>
          <w:p w14:paraId="476FF79E" w14:textId="77777777" w:rsidR="004A4215" w:rsidRPr="0074154F" w:rsidRDefault="004A4215" w:rsidP="004A4215">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2D7B49F5" w14:textId="436AD8EB" w:rsidR="004A4215" w:rsidRPr="0074154F" w:rsidRDefault="004A4215" w:rsidP="004A421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12,280,596</w:t>
            </w:r>
          </w:p>
        </w:tc>
      </w:tr>
      <w:tr w:rsidR="004A4215" w:rsidRPr="0074154F" w14:paraId="1137798F" w14:textId="77777777" w:rsidTr="00841A46">
        <w:trPr>
          <w:trHeight w:val="272"/>
          <w:jc w:val="right"/>
        </w:trPr>
        <w:tc>
          <w:tcPr>
            <w:tcW w:w="5272" w:type="dxa"/>
            <w:tcBorders>
              <w:left w:val="nil"/>
              <w:right w:val="nil"/>
            </w:tcBorders>
            <w:shd w:val="clear" w:color="auto" w:fill="auto"/>
            <w:noWrap/>
            <w:vAlign w:val="bottom"/>
          </w:tcPr>
          <w:p w14:paraId="6860E224" w14:textId="5EBC32D1" w:rsidR="004A4215" w:rsidRPr="0074154F" w:rsidRDefault="004A4215" w:rsidP="004A4215">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Compra de servicios de respaldos de internet</w:t>
            </w:r>
          </w:p>
        </w:tc>
        <w:tc>
          <w:tcPr>
            <w:tcW w:w="1502" w:type="dxa"/>
            <w:tcBorders>
              <w:left w:val="nil"/>
              <w:right w:val="nil"/>
            </w:tcBorders>
            <w:shd w:val="clear" w:color="auto" w:fill="auto"/>
            <w:noWrap/>
            <w:vAlign w:val="bottom"/>
          </w:tcPr>
          <w:p w14:paraId="67D06833" w14:textId="74F65B4E" w:rsidR="004A4215" w:rsidRPr="0074154F" w:rsidRDefault="004A4215" w:rsidP="004A4215">
            <w:pPr>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sz w:val="20"/>
                <w:szCs w:val="20"/>
                <w:lang w:eastAsia="es-EC"/>
              </w:rPr>
              <w:t>8,950,606</w:t>
            </w:r>
          </w:p>
        </w:tc>
        <w:tc>
          <w:tcPr>
            <w:tcW w:w="227" w:type="dxa"/>
            <w:tcBorders>
              <w:left w:val="nil"/>
              <w:right w:val="nil"/>
            </w:tcBorders>
            <w:shd w:val="clear" w:color="auto" w:fill="auto"/>
            <w:noWrap/>
            <w:vAlign w:val="bottom"/>
          </w:tcPr>
          <w:p w14:paraId="413A66A9" w14:textId="77777777" w:rsidR="004A4215" w:rsidRPr="0074154F" w:rsidRDefault="004A4215" w:rsidP="004A4215">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78813E14" w14:textId="2A19C84E" w:rsidR="004A4215" w:rsidRPr="0074154F" w:rsidRDefault="004A4215" w:rsidP="004A4215">
            <w:pPr>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6,539,753</w:t>
            </w:r>
          </w:p>
        </w:tc>
      </w:tr>
      <w:tr w:rsidR="004A4215" w:rsidRPr="0074154F" w14:paraId="70DFD08F" w14:textId="77777777" w:rsidTr="007246EE">
        <w:trPr>
          <w:trHeight w:val="272"/>
          <w:jc w:val="right"/>
        </w:trPr>
        <w:tc>
          <w:tcPr>
            <w:tcW w:w="5272" w:type="dxa"/>
            <w:tcBorders>
              <w:top w:val="nil"/>
              <w:left w:val="nil"/>
              <w:right w:val="nil"/>
            </w:tcBorders>
            <w:shd w:val="clear" w:color="auto" w:fill="auto"/>
            <w:noWrap/>
            <w:vAlign w:val="bottom"/>
          </w:tcPr>
          <w:p w14:paraId="5A31CFCD" w14:textId="33902EEA" w:rsidR="004A4215" w:rsidRPr="0074154F" w:rsidRDefault="004A4215" w:rsidP="004A4215">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val="es-MX" w:eastAsia="es-MX"/>
              </w:rPr>
              <w:t>Otros costos, bienes, soportes y proyectos</w:t>
            </w:r>
          </w:p>
        </w:tc>
        <w:tc>
          <w:tcPr>
            <w:tcW w:w="1502" w:type="dxa"/>
            <w:tcBorders>
              <w:top w:val="nil"/>
              <w:left w:val="nil"/>
              <w:right w:val="nil"/>
            </w:tcBorders>
            <w:shd w:val="clear" w:color="auto" w:fill="auto"/>
            <w:noWrap/>
            <w:vAlign w:val="bottom"/>
          </w:tcPr>
          <w:p w14:paraId="43FDC337" w14:textId="3D649B01" w:rsidR="004A4215" w:rsidRPr="0074154F" w:rsidRDefault="004A4215" w:rsidP="004A4215">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6,376,053</w:t>
            </w:r>
          </w:p>
        </w:tc>
        <w:tc>
          <w:tcPr>
            <w:tcW w:w="227" w:type="dxa"/>
            <w:tcBorders>
              <w:top w:val="nil"/>
              <w:left w:val="nil"/>
              <w:right w:val="nil"/>
            </w:tcBorders>
            <w:shd w:val="clear" w:color="auto" w:fill="auto"/>
            <w:noWrap/>
            <w:vAlign w:val="bottom"/>
          </w:tcPr>
          <w:p w14:paraId="7936E35A" w14:textId="77777777" w:rsidR="004A4215" w:rsidRPr="0074154F" w:rsidRDefault="004A4215" w:rsidP="004A4215">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9BCF3BF" w14:textId="579B4097" w:rsidR="004A4215" w:rsidRPr="0074154F" w:rsidRDefault="004A4215"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8,032,742</w:t>
            </w:r>
          </w:p>
        </w:tc>
      </w:tr>
      <w:tr w:rsidR="004A4215" w:rsidRPr="0074154F" w14:paraId="60A50062" w14:textId="77777777" w:rsidTr="008146FA">
        <w:trPr>
          <w:trHeight w:val="272"/>
          <w:jc w:val="right"/>
        </w:trPr>
        <w:tc>
          <w:tcPr>
            <w:tcW w:w="5272" w:type="dxa"/>
            <w:tcBorders>
              <w:top w:val="nil"/>
              <w:left w:val="nil"/>
              <w:right w:val="nil"/>
            </w:tcBorders>
            <w:shd w:val="clear" w:color="auto" w:fill="auto"/>
            <w:noWrap/>
            <w:vAlign w:val="bottom"/>
          </w:tcPr>
          <w:p w14:paraId="0F1675B1" w14:textId="4491666D" w:rsidR="004A4215" w:rsidRPr="0074154F" w:rsidRDefault="004A4215" w:rsidP="004A4215">
            <w:pPr>
              <w:spacing w:after="0" w:line="240" w:lineRule="auto"/>
              <w:ind w:left="-70"/>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 xml:space="preserve">Servicios de </w:t>
            </w:r>
            <w:r w:rsidR="00117409">
              <w:rPr>
                <w:rFonts w:ascii="Arial" w:eastAsia="Times New Roman" w:hAnsi="Arial" w:cs="Arial"/>
                <w:color w:val="000000"/>
                <w:sz w:val="20"/>
                <w:szCs w:val="20"/>
                <w:lang w:val="es-MX" w:eastAsia="es-MX"/>
              </w:rPr>
              <w:t>C</w:t>
            </w:r>
            <w:r>
              <w:rPr>
                <w:rFonts w:ascii="Arial" w:eastAsia="Times New Roman" w:hAnsi="Arial" w:cs="Arial"/>
                <w:color w:val="000000"/>
                <w:sz w:val="20"/>
                <w:szCs w:val="20"/>
                <w:lang w:val="es-MX" w:eastAsia="es-MX"/>
              </w:rPr>
              <w:t xml:space="preserve">ash </w:t>
            </w:r>
            <w:r w:rsidR="00117409">
              <w:rPr>
                <w:rFonts w:ascii="Arial" w:eastAsia="Times New Roman" w:hAnsi="Arial" w:cs="Arial"/>
                <w:color w:val="000000"/>
                <w:sz w:val="20"/>
                <w:szCs w:val="20"/>
                <w:lang w:val="es-MX" w:eastAsia="es-MX"/>
              </w:rPr>
              <w:t>M</w:t>
            </w:r>
            <w:r>
              <w:rPr>
                <w:rFonts w:ascii="Arial" w:eastAsia="Times New Roman" w:hAnsi="Arial" w:cs="Arial"/>
                <w:color w:val="000000"/>
                <w:sz w:val="20"/>
                <w:szCs w:val="20"/>
                <w:lang w:val="es-MX" w:eastAsia="es-MX"/>
              </w:rPr>
              <w:t>anagement</w:t>
            </w:r>
          </w:p>
        </w:tc>
        <w:tc>
          <w:tcPr>
            <w:tcW w:w="1502" w:type="dxa"/>
            <w:tcBorders>
              <w:top w:val="nil"/>
              <w:left w:val="nil"/>
              <w:right w:val="nil"/>
            </w:tcBorders>
            <w:shd w:val="clear" w:color="auto" w:fill="auto"/>
            <w:noWrap/>
            <w:vAlign w:val="bottom"/>
          </w:tcPr>
          <w:p w14:paraId="6BADBD52" w14:textId="28F654C6" w:rsidR="004A4215" w:rsidRPr="0074154F" w:rsidRDefault="004A4215" w:rsidP="004A4215">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sz w:val="20"/>
                <w:szCs w:val="20"/>
                <w:lang w:eastAsia="es-EC"/>
              </w:rPr>
              <w:t>5,559,390</w:t>
            </w:r>
          </w:p>
        </w:tc>
        <w:tc>
          <w:tcPr>
            <w:tcW w:w="227" w:type="dxa"/>
            <w:tcBorders>
              <w:top w:val="nil"/>
              <w:left w:val="nil"/>
              <w:right w:val="nil"/>
            </w:tcBorders>
            <w:shd w:val="clear" w:color="auto" w:fill="auto"/>
            <w:noWrap/>
            <w:vAlign w:val="bottom"/>
          </w:tcPr>
          <w:p w14:paraId="0344F192" w14:textId="77777777" w:rsidR="004A4215" w:rsidRPr="0074154F" w:rsidRDefault="004A4215" w:rsidP="004A4215">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6F42E68" w14:textId="0D1EEC8D" w:rsidR="004A4215" w:rsidRPr="0074154F" w:rsidRDefault="004A4215"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4,137,363</w:t>
            </w:r>
          </w:p>
        </w:tc>
      </w:tr>
      <w:tr w:rsidR="00FA3A89" w:rsidRPr="0074154F" w14:paraId="4F4EAFBD" w14:textId="77777777" w:rsidTr="008146FA">
        <w:trPr>
          <w:trHeight w:val="272"/>
          <w:jc w:val="right"/>
        </w:trPr>
        <w:tc>
          <w:tcPr>
            <w:tcW w:w="5272" w:type="dxa"/>
            <w:tcBorders>
              <w:top w:val="nil"/>
              <w:left w:val="nil"/>
              <w:right w:val="nil"/>
            </w:tcBorders>
            <w:shd w:val="clear" w:color="auto" w:fill="auto"/>
            <w:noWrap/>
            <w:vAlign w:val="bottom"/>
          </w:tcPr>
          <w:p w14:paraId="6E0B5016" w14:textId="09B5D988" w:rsidR="00FA3A89" w:rsidRDefault="00FA3A89" w:rsidP="004A4215">
            <w:pPr>
              <w:spacing w:after="0" w:line="240" w:lineRule="auto"/>
              <w:ind w:left="-70"/>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Mantenimiento y reparaciones</w:t>
            </w:r>
          </w:p>
        </w:tc>
        <w:tc>
          <w:tcPr>
            <w:tcW w:w="1502" w:type="dxa"/>
            <w:tcBorders>
              <w:top w:val="nil"/>
              <w:left w:val="nil"/>
              <w:bottom w:val="single" w:sz="6" w:space="0" w:color="auto"/>
              <w:right w:val="nil"/>
            </w:tcBorders>
            <w:shd w:val="clear" w:color="auto" w:fill="auto"/>
            <w:noWrap/>
            <w:vAlign w:val="bottom"/>
          </w:tcPr>
          <w:p w14:paraId="430C3DA0" w14:textId="3AF15DD3" w:rsidR="00FA3A89" w:rsidRDefault="00FA3A89"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5,839,126</w:t>
            </w:r>
          </w:p>
        </w:tc>
        <w:tc>
          <w:tcPr>
            <w:tcW w:w="227" w:type="dxa"/>
            <w:tcBorders>
              <w:top w:val="nil"/>
              <w:left w:val="nil"/>
              <w:right w:val="nil"/>
            </w:tcBorders>
            <w:shd w:val="clear" w:color="auto" w:fill="auto"/>
            <w:noWrap/>
            <w:vAlign w:val="bottom"/>
          </w:tcPr>
          <w:p w14:paraId="47A4F0AD" w14:textId="77777777" w:rsidR="00FA3A89" w:rsidRPr="0074154F" w:rsidRDefault="00FA3A89" w:rsidP="004A4215">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1DB1F69D" w14:textId="5BAA0B56" w:rsidR="00FA3A89" w:rsidRDefault="00FA3A89"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4,407,771</w:t>
            </w:r>
          </w:p>
        </w:tc>
      </w:tr>
      <w:tr w:rsidR="008146FA" w:rsidRPr="0074154F" w14:paraId="3A9E7280" w14:textId="77777777" w:rsidTr="008146FA">
        <w:trPr>
          <w:trHeight w:val="272"/>
          <w:jc w:val="right"/>
        </w:trPr>
        <w:tc>
          <w:tcPr>
            <w:tcW w:w="5272" w:type="dxa"/>
            <w:tcBorders>
              <w:top w:val="nil"/>
              <w:left w:val="nil"/>
              <w:right w:val="nil"/>
            </w:tcBorders>
            <w:shd w:val="clear" w:color="auto" w:fill="auto"/>
            <w:noWrap/>
            <w:vAlign w:val="bottom"/>
          </w:tcPr>
          <w:p w14:paraId="0B8A6371" w14:textId="77777777" w:rsidR="008146FA" w:rsidRDefault="008146FA" w:rsidP="004A4215">
            <w:pPr>
              <w:spacing w:after="0" w:line="240" w:lineRule="auto"/>
              <w:ind w:left="-70"/>
              <w:rPr>
                <w:rFonts w:ascii="Arial" w:eastAsia="Times New Roman" w:hAnsi="Arial" w:cs="Arial"/>
                <w:color w:val="000000"/>
                <w:sz w:val="20"/>
                <w:szCs w:val="20"/>
                <w:lang w:val="es-MX" w:eastAsia="es-MX"/>
              </w:rPr>
            </w:pPr>
          </w:p>
        </w:tc>
        <w:tc>
          <w:tcPr>
            <w:tcW w:w="1502" w:type="dxa"/>
            <w:tcBorders>
              <w:top w:val="single" w:sz="6" w:space="0" w:color="auto"/>
              <w:left w:val="nil"/>
              <w:right w:val="nil"/>
            </w:tcBorders>
            <w:shd w:val="clear" w:color="auto" w:fill="auto"/>
            <w:noWrap/>
            <w:vAlign w:val="bottom"/>
          </w:tcPr>
          <w:p w14:paraId="5715993A" w14:textId="77777777" w:rsidR="008146FA" w:rsidRDefault="008146FA" w:rsidP="004A4215">
            <w:pPr>
              <w:tabs>
                <w:tab w:val="decimal" w:pos="1276"/>
              </w:tabs>
              <w:spacing w:after="0" w:line="240" w:lineRule="auto"/>
              <w:jc w:val="right"/>
              <w:rPr>
                <w:rFonts w:ascii="Arial" w:eastAsia="Times New Roman" w:hAnsi="Arial" w:cs="Arial"/>
                <w:sz w:val="20"/>
                <w:szCs w:val="20"/>
                <w:lang w:eastAsia="es-EC"/>
              </w:rPr>
            </w:pPr>
          </w:p>
        </w:tc>
        <w:tc>
          <w:tcPr>
            <w:tcW w:w="227" w:type="dxa"/>
            <w:tcBorders>
              <w:left w:val="nil"/>
              <w:right w:val="nil"/>
            </w:tcBorders>
            <w:shd w:val="clear" w:color="auto" w:fill="auto"/>
            <w:noWrap/>
            <w:vAlign w:val="bottom"/>
          </w:tcPr>
          <w:p w14:paraId="72A4223B" w14:textId="77777777" w:rsidR="008146FA" w:rsidRPr="0074154F" w:rsidRDefault="008146FA" w:rsidP="004A4215">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1DC21B4F" w14:textId="77777777" w:rsidR="008146FA" w:rsidRDefault="008146FA" w:rsidP="004A4215">
            <w:pPr>
              <w:tabs>
                <w:tab w:val="decimal" w:pos="1276"/>
              </w:tabs>
              <w:spacing w:after="0" w:line="240" w:lineRule="auto"/>
              <w:jc w:val="right"/>
              <w:rPr>
                <w:rFonts w:ascii="Arial" w:eastAsia="Times New Roman" w:hAnsi="Arial" w:cs="Arial"/>
                <w:sz w:val="20"/>
                <w:szCs w:val="20"/>
                <w:lang w:eastAsia="es-EC"/>
              </w:rPr>
            </w:pPr>
          </w:p>
        </w:tc>
      </w:tr>
      <w:tr w:rsidR="008146FA" w:rsidRPr="0074154F" w14:paraId="417F841F" w14:textId="77777777" w:rsidTr="007246EE">
        <w:trPr>
          <w:trHeight w:val="272"/>
          <w:jc w:val="right"/>
        </w:trPr>
        <w:tc>
          <w:tcPr>
            <w:tcW w:w="5272" w:type="dxa"/>
            <w:tcBorders>
              <w:top w:val="nil"/>
              <w:left w:val="nil"/>
              <w:right w:val="nil"/>
            </w:tcBorders>
            <w:shd w:val="clear" w:color="auto" w:fill="auto"/>
            <w:noWrap/>
            <w:vAlign w:val="bottom"/>
          </w:tcPr>
          <w:p w14:paraId="746E907E" w14:textId="60D48608" w:rsidR="008146FA" w:rsidRPr="008146FA" w:rsidRDefault="008146FA" w:rsidP="004A4215">
            <w:pPr>
              <w:spacing w:after="0" w:line="240" w:lineRule="auto"/>
              <w:ind w:left="-70"/>
              <w:rPr>
                <w:rFonts w:ascii="Arial" w:eastAsia="Times New Roman" w:hAnsi="Arial" w:cs="Arial"/>
                <w:i/>
                <w:iCs/>
                <w:color w:val="000000"/>
                <w:sz w:val="20"/>
                <w:szCs w:val="20"/>
                <w:lang w:val="es-MX" w:eastAsia="es-MX"/>
              </w:rPr>
            </w:pPr>
            <w:r w:rsidRPr="008146FA">
              <w:rPr>
                <w:rFonts w:ascii="Arial" w:eastAsia="Times New Roman" w:hAnsi="Arial" w:cs="Arial"/>
                <w:i/>
                <w:iCs/>
                <w:color w:val="000000"/>
                <w:sz w:val="20"/>
                <w:szCs w:val="20"/>
                <w:lang w:val="es-MX" w:eastAsia="es-MX"/>
              </w:rPr>
              <w:t>Suman…</w:t>
            </w:r>
          </w:p>
        </w:tc>
        <w:tc>
          <w:tcPr>
            <w:tcW w:w="1502" w:type="dxa"/>
            <w:tcBorders>
              <w:top w:val="nil"/>
              <w:left w:val="nil"/>
              <w:right w:val="nil"/>
            </w:tcBorders>
            <w:shd w:val="clear" w:color="auto" w:fill="auto"/>
            <w:noWrap/>
            <w:vAlign w:val="bottom"/>
          </w:tcPr>
          <w:p w14:paraId="50AA186D" w14:textId="4A330EED" w:rsidR="008146FA" w:rsidRDefault="008146FA"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161,214,581</w:t>
            </w:r>
          </w:p>
        </w:tc>
        <w:tc>
          <w:tcPr>
            <w:tcW w:w="227" w:type="dxa"/>
            <w:tcBorders>
              <w:top w:val="nil"/>
              <w:left w:val="nil"/>
              <w:right w:val="nil"/>
            </w:tcBorders>
            <w:shd w:val="clear" w:color="auto" w:fill="auto"/>
            <w:noWrap/>
            <w:vAlign w:val="bottom"/>
          </w:tcPr>
          <w:p w14:paraId="2877E1BE" w14:textId="77777777" w:rsidR="008146FA" w:rsidRPr="0074154F" w:rsidRDefault="008146FA" w:rsidP="004A4215">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A1C0F31" w14:textId="608DC287" w:rsidR="008146FA" w:rsidRDefault="008146FA" w:rsidP="004A4215">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137,511,081</w:t>
            </w:r>
          </w:p>
        </w:tc>
      </w:tr>
      <w:tr w:rsidR="008146FA" w:rsidRPr="0074154F" w14:paraId="2644ED52" w14:textId="77777777" w:rsidTr="007246EE">
        <w:trPr>
          <w:trHeight w:val="272"/>
          <w:jc w:val="right"/>
        </w:trPr>
        <w:tc>
          <w:tcPr>
            <w:tcW w:w="5272" w:type="dxa"/>
            <w:tcBorders>
              <w:top w:val="nil"/>
              <w:left w:val="nil"/>
              <w:right w:val="nil"/>
            </w:tcBorders>
            <w:shd w:val="clear" w:color="auto" w:fill="auto"/>
            <w:noWrap/>
            <w:vAlign w:val="bottom"/>
          </w:tcPr>
          <w:p w14:paraId="7CD09729" w14:textId="0EBD20A5" w:rsidR="008146FA" w:rsidRPr="008146FA" w:rsidRDefault="008146FA" w:rsidP="008146FA">
            <w:pPr>
              <w:spacing w:after="0" w:line="240" w:lineRule="auto"/>
              <w:ind w:left="-70"/>
              <w:rPr>
                <w:rFonts w:ascii="Arial" w:eastAsia="Times New Roman" w:hAnsi="Arial" w:cs="Arial"/>
                <w:i/>
                <w:iCs/>
                <w:color w:val="000000"/>
                <w:sz w:val="20"/>
                <w:szCs w:val="20"/>
                <w:lang w:val="es-MX" w:eastAsia="es-MX"/>
              </w:rPr>
            </w:pPr>
            <w:r w:rsidRPr="008146FA">
              <w:rPr>
                <w:rFonts w:ascii="Arial" w:eastAsia="Times New Roman" w:hAnsi="Arial" w:cs="Arial"/>
                <w:i/>
                <w:iCs/>
                <w:color w:val="000000"/>
                <w:sz w:val="20"/>
                <w:szCs w:val="20"/>
                <w:lang w:val="es-MX" w:eastAsia="es-MX"/>
              </w:rPr>
              <w:lastRenderedPageBreak/>
              <w:t>Vienen…</w:t>
            </w:r>
          </w:p>
        </w:tc>
        <w:tc>
          <w:tcPr>
            <w:tcW w:w="1502" w:type="dxa"/>
            <w:tcBorders>
              <w:top w:val="nil"/>
              <w:left w:val="nil"/>
              <w:right w:val="nil"/>
            </w:tcBorders>
            <w:shd w:val="clear" w:color="auto" w:fill="auto"/>
            <w:noWrap/>
            <w:vAlign w:val="bottom"/>
          </w:tcPr>
          <w:p w14:paraId="6943FFCC" w14:textId="6918ADCD" w:rsidR="008146FA"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sz w:val="20"/>
                <w:szCs w:val="20"/>
                <w:lang w:eastAsia="es-EC"/>
              </w:rPr>
              <w:t>161,214,581</w:t>
            </w:r>
          </w:p>
        </w:tc>
        <w:tc>
          <w:tcPr>
            <w:tcW w:w="227" w:type="dxa"/>
            <w:tcBorders>
              <w:top w:val="nil"/>
              <w:left w:val="nil"/>
              <w:right w:val="nil"/>
            </w:tcBorders>
            <w:shd w:val="clear" w:color="auto" w:fill="auto"/>
            <w:noWrap/>
            <w:vAlign w:val="bottom"/>
          </w:tcPr>
          <w:p w14:paraId="70B91158"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6DB4DD1" w14:textId="72D09305" w:rsidR="008146FA"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137,511,081</w:t>
            </w:r>
          </w:p>
        </w:tc>
      </w:tr>
      <w:tr w:rsidR="008146FA" w:rsidRPr="0074154F" w14:paraId="68296282" w14:textId="77777777" w:rsidTr="007246EE">
        <w:trPr>
          <w:trHeight w:val="272"/>
          <w:jc w:val="right"/>
        </w:trPr>
        <w:tc>
          <w:tcPr>
            <w:tcW w:w="5272" w:type="dxa"/>
            <w:tcBorders>
              <w:top w:val="nil"/>
              <w:left w:val="nil"/>
              <w:right w:val="nil"/>
            </w:tcBorders>
            <w:shd w:val="clear" w:color="auto" w:fill="auto"/>
            <w:noWrap/>
            <w:vAlign w:val="bottom"/>
          </w:tcPr>
          <w:p w14:paraId="5B34928E" w14:textId="77777777" w:rsidR="008146FA" w:rsidRPr="008146FA" w:rsidRDefault="008146FA" w:rsidP="008146FA">
            <w:pPr>
              <w:spacing w:after="0" w:line="240" w:lineRule="auto"/>
              <w:ind w:left="-70"/>
              <w:rPr>
                <w:rFonts w:ascii="Arial" w:eastAsia="Times New Roman" w:hAnsi="Arial" w:cs="Arial"/>
                <w:i/>
                <w:iCs/>
                <w:color w:val="000000"/>
                <w:sz w:val="20"/>
                <w:szCs w:val="20"/>
                <w:lang w:val="es-MX" w:eastAsia="es-MX"/>
              </w:rPr>
            </w:pPr>
          </w:p>
        </w:tc>
        <w:tc>
          <w:tcPr>
            <w:tcW w:w="1502" w:type="dxa"/>
            <w:tcBorders>
              <w:top w:val="nil"/>
              <w:left w:val="nil"/>
              <w:right w:val="nil"/>
            </w:tcBorders>
            <w:shd w:val="clear" w:color="auto" w:fill="auto"/>
            <w:noWrap/>
            <w:vAlign w:val="bottom"/>
          </w:tcPr>
          <w:p w14:paraId="0AE734CC" w14:textId="77777777" w:rsidR="008146FA" w:rsidRDefault="008146FA" w:rsidP="008146FA">
            <w:pPr>
              <w:tabs>
                <w:tab w:val="decimal" w:pos="1276"/>
              </w:tabs>
              <w:spacing w:after="0" w:line="240" w:lineRule="auto"/>
              <w:jc w:val="right"/>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tcPr>
          <w:p w14:paraId="62E12D1B"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38C4B15" w14:textId="77777777" w:rsidR="008146FA" w:rsidRDefault="008146FA" w:rsidP="008146FA">
            <w:pPr>
              <w:tabs>
                <w:tab w:val="decimal" w:pos="1276"/>
              </w:tabs>
              <w:spacing w:after="0" w:line="240" w:lineRule="auto"/>
              <w:jc w:val="right"/>
              <w:rPr>
                <w:rFonts w:ascii="Arial" w:eastAsia="Times New Roman" w:hAnsi="Arial" w:cs="Arial"/>
                <w:sz w:val="20"/>
                <w:szCs w:val="20"/>
                <w:lang w:eastAsia="es-EC"/>
              </w:rPr>
            </w:pPr>
          </w:p>
        </w:tc>
      </w:tr>
      <w:tr w:rsidR="008146FA" w:rsidRPr="0074154F" w14:paraId="2DC1FABF" w14:textId="77777777" w:rsidTr="007246EE">
        <w:trPr>
          <w:trHeight w:val="272"/>
          <w:jc w:val="right"/>
        </w:trPr>
        <w:tc>
          <w:tcPr>
            <w:tcW w:w="5272" w:type="dxa"/>
            <w:tcBorders>
              <w:top w:val="nil"/>
              <w:left w:val="nil"/>
              <w:right w:val="nil"/>
            </w:tcBorders>
            <w:shd w:val="clear" w:color="auto" w:fill="auto"/>
            <w:noWrap/>
            <w:vAlign w:val="bottom"/>
          </w:tcPr>
          <w:p w14:paraId="350A450A" w14:textId="6610FA49" w:rsidR="008146FA" w:rsidRPr="0074154F" w:rsidRDefault="008146FA" w:rsidP="008146FA">
            <w:pPr>
              <w:spacing w:after="0" w:line="240" w:lineRule="auto"/>
              <w:ind w:left="-70"/>
              <w:rPr>
                <w:rFonts w:ascii="Arial" w:eastAsia="Times New Roman" w:hAnsi="Arial" w:cs="Arial"/>
                <w:sz w:val="20"/>
                <w:szCs w:val="20"/>
                <w:lang w:val="es-MX" w:eastAsia="es-MX"/>
              </w:rPr>
            </w:pPr>
            <w:r w:rsidRPr="0074154F">
              <w:rPr>
                <w:rFonts w:ascii="Arial" w:eastAsia="Times New Roman" w:hAnsi="Arial" w:cs="Arial"/>
                <w:color w:val="000000"/>
                <w:sz w:val="20"/>
                <w:szCs w:val="20"/>
                <w:lang w:val="es-MX" w:eastAsia="es-MX"/>
              </w:rPr>
              <w:t>Honorarios y servicios profesionales</w:t>
            </w:r>
          </w:p>
        </w:tc>
        <w:tc>
          <w:tcPr>
            <w:tcW w:w="1502" w:type="dxa"/>
            <w:tcBorders>
              <w:top w:val="nil"/>
              <w:left w:val="nil"/>
              <w:right w:val="nil"/>
            </w:tcBorders>
            <w:shd w:val="clear" w:color="auto" w:fill="auto"/>
            <w:noWrap/>
            <w:vAlign w:val="bottom"/>
          </w:tcPr>
          <w:p w14:paraId="660759C3" w14:textId="345EAC3F"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4,036,426</w:t>
            </w:r>
          </w:p>
        </w:tc>
        <w:tc>
          <w:tcPr>
            <w:tcW w:w="227" w:type="dxa"/>
            <w:tcBorders>
              <w:top w:val="nil"/>
              <w:left w:val="nil"/>
              <w:right w:val="nil"/>
            </w:tcBorders>
            <w:shd w:val="clear" w:color="auto" w:fill="auto"/>
            <w:noWrap/>
            <w:vAlign w:val="bottom"/>
          </w:tcPr>
          <w:p w14:paraId="430B7278"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9333D43" w14:textId="2F02ABAE"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6,231,237</w:t>
            </w:r>
          </w:p>
        </w:tc>
      </w:tr>
      <w:tr w:rsidR="008146FA" w:rsidRPr="0074154F" w14:paraId="5B21C251" w14:textId="77777777" w:rsidTr="007246EE">
        <w:trPr>
          <w:trHeight w:val="272"/>
          <w:jc w:val="right"/>
        </w:trPr>
        <w:tc>
          <w:tcPr>
            <w:tcW w:w="5272" w:type="dxa"/>
            <w:tcBorders>
              <w:top w:val="nil"/>
              <w:left w:val="nil"/>
              <w:right w:val="nil"/>
            </w:tcBorders>
            <w:shd w:val="clear" w:color="auto" w:fill="auto"/>
            <w:noWrap/>
            <w:vAlign w:val="bottom"/>
          </w:tcPr>
          <w:p w14:paraId="6595D486" w14:textId="1975DA75"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Servicios de publicidad</w:t>
            </w:r>
          </w:p>
        </w:tc>
        <w:tc>
          <w:tcPr>
            <w:tcW w:w="1502" w:type="dxa"/>
            <w:tcBorders>
              <w:top w:val="nil"/>
              <w:left w:val="nil"/>
              <w:right w:val="nil"/>
            </w:tcBorders>
            <w:shd w:val="clear" w:color="auto" w:fill="auto"/>
            <w:noWrap/>
            <w:vAlign w:val="bottom"/>
          </w:tcPr>
          <w:p w14:paraId="400710DD" w14:textId="594A7DF0" w:rsidR="008146FA"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4,517,053</w:t>
            </w:r>
          </w:p>
        </w:tc>
        <w:tc>
          <w:tcPr>
            <w:tcW w:w="227" w:type="dxa"/>
            <w:tcBorders>
              <w:top w:val="nil"/>
              <w:left w:val="nil"/>
              <w:right w:val="nil"/>
            </w:tcBorders>
            <w:shd w:val="clear" w:color="auto" w:fill="auto"/>
            <w:noWrap/>
            <w:vAlign w:val="bottom"/>
          </w:tcPr>
          <w:p w14:paraId="6A1ED59C"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BF5AE05" w14:textId="19CE4C50"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4,382,478</w:t>
            </w:r>
          </w:p>
        </w:tc>
      </w:tr>
      <w:tr w:rsidR="008146FA" w:rsidRPr="0074154F" w14:paraId="10DE8C7F" w14:textId="77777777" w:rsidTr="007246EE">
        <w:trPr>
          <w:trHeight w:val="272"/>
          <w:jc w:val="right"/>
        </w:trPr>
        <w:tc>
          <w:tcPr>
            <w:tcW w:w="5272" w:type="dxa"/>
            <w:tcBorders>
              <w:top w:val="nil"/>
              <w:left w:val="nil"/>
              <w:right w:val="nil"/>
            </w:tcBorders>
            <w:shd w:val="clear" w:color="auto" w:fill="auto"/>
            <w:noWrap/>
            <w:vAlign w:val="bottom"/>
          </w:tcPr>
          <w:p w14:paraId="451E7136" w14:textId="33BA3E12"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Servicios básicos</w:t>
            </w:r>
          </w:p>
        </w:tc>
        <w:tc>
          <w:tcPr>
            <w:tcW w:w="1502" w:type="dxa"/>
            <w:tcBorders>
              <w:top w:val="nil"/>
              <w:left w:val="nil"/>
              <w:right w:val="nil"/>
            </w:tcBorders>
            <w:shd w:val="clear" w:color="auto" w:fill="auto"/>
            <w:noWrap/>
            <w:vAlign w:val="bottom"/>
          </w:tcPr>
          <w:p w14:paraId="3BE9FEAE" w14:textId="0AEC111C"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3,301,618</w:t>
            </w:r>
          </w:p>
        </w:tc>
        <w:tc>
          <w:tcPr>
            <w:tcW w:w="227" w:type="dxa"/>
            <w:tcBorders>
              <w:top w:val="nil"/>
              <w:left w:val="nil"/>
              <w:right w:val="nil"/>
            </w:tcBorders>
            <w:shd w:val="clear" w:color="auto" w:fill="auto"/>
            <w:noWrap/>
            <w:vAlign w:val="bottom"/>
          </w:tcPr>
          <w:p w14:paraId="1ADC3FCA"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0E87F56A" w14:textId="1D59071C"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2,966,107</w:t>
            </w:r>
          </w:p>
        </w:tc>
      </w:tr>
      <w:tr w:rsidR="008146FA" w:rsidRPr="0074154F" w14:paraId="675607EB" w14:textId="77777777" w:rsidTr="007246EE">
        <w:trPr>
          <w:trHeight w:val="272"/>
          <w:jc w:val="right"/>
        </w:trPr>
        <w:tc>
          <w:tcPr>
            <w:tcW w:w="5272" w:type="dxa"/>
            <w:tcBorders>
              <w:top w:val="nil"/>
              <w:left w:val="nil"/>
              <w:right w:val="nil"/>
            </w:tcBorders>
            <w:shd w:val="clear" w:color="auto" w:fill="auto"/>
            <w:noWrap/>
            <w:vAlign w:val="bottom"/>
          </w:tcPr>
          <w:p w14:paraId="4218F7EF" w14:textId="6B7C0B7C"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Comisiones</w:t>
            </w:r>
          </w:p>
        </w:tc>
        <w:tc>
          <w:tcPr>
            <w:tcW w:w="1502" w:type="dxa"/>
            <w:tcBorders>
              <w:top w:val="nil"/>
              <w:left w:val="nil"/>
              <w:right w:val="nil"/>
            </w:tcBorders>
            <w:shd w:val="clear" w:color="auto" w:fill="auto"/>
            <w:noWrap/>
            <w:vAlign w:val="bottom"/>
          </w:tcPr>
          <w:p w14:paraId="52EC65AA" w14:textId="10D17322"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3,276,155</w:t>
            </w:r>
          </w:p>
        </w:tc>
        <w:tc>
          <w:tcPr>
            <w:tcW w:w="227" w:type="dxa"/>
            <w:tcBorders>
              <w:top w:val="nil"/>
              <w:left w:val="nil"/>
              <w:right w:val="nil"/>
            </w:tcBorders>
            <w:shd w:val="clear" w:color="auto" w:fill="auto"/>
            <w:noWrap/>
            <w:vAlign w:val="bottom"/>
          </w:tcPr>
          <w:p w14:paraId="5204FC6E"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454E15A" w14:textId="4E3AA629"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2,267,847</w:t>
            </w:r>
          </w:p>
        </w:tc>
      </w:tr>
      <w:tr w:rsidR="008146FA" w:rsidRPr="0074154F" w14:paraId="63A98F94" w14:textId="77777777" w:rsidTr="007246EE">
        <w:trPr>
          <w:trHeight w:val="272"/>
          <w:jc w:val="right"/>
        </w:trPr>
        <w:tc>
          <w:tcPr>
            <w:tcW w:w="5272" w:type="dxa"/>
            <w:tcBorders>
              <w:top w:val="nil"/>
              <w:left w:val="nil"/>
              <w:right w:val="nil"/>
            </w:tcBorders>
            <w:shd w:val="clear" w:color="auto" w:fill="auto"/>
            <w:noWrap/>
            <w:vAlign w:val="bottom"/>
          </w:tcPr>
          <w:p w14:paraId="1BA97894" w14:textId="13C3B12A"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color w:val="000000"/>
                <w:sz w:val="20"/>
                <w:szCs w:val="20"/>
                <w:lang w:eastAsia="es-EC"/>
              </w:rPr>
              <w:t>Movilización</w:t>
            </w:r>
          </w:p>
        </w:tc>
        <w:tc>
          <w:tcPr>
            <w:tcW w:w="1502" w:type="dxa"/>
            <w:tcBorders>
              <w:top w:val="nil"/>
              <w:left w:val="nil"/>
              <w:right w:val="nil"/>
            </w:tcBorders>
            <w:shd w:val="clear" w:color="auto" w:fill="auto"/>
            <w:noWrap/>
            <w:vAlign w:val="bottom"/>
          </w:tcPr>
          <w:p w14:paraId="4F8398EF" w14:textId="55705998"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2,801,528</w:t>
            </w:r>
          </w:p>
        </w:tc>
        <w:tc>
          <w:tcPr>
            <w:tcW w:w="227" w:type="dxa"/>
            <w:tcBorders>
              <w:top w:val="nil"/>
              <w:left w:val="nil"/>
              <w:right w:val="nil"/>
            </w:tcBorders>
            <w:shd w:val="clear" w:color="auto" w:fill="auto"/>
            <w:noWrap/>
            <w:vAlign w:val="bottom"/>
          </w:tcPr>
          <w:p w14:paraId="068EFA7F"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62C7C4E" w14:textId="522A050B"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1,101,105</w:t>
            </w:r>
          </w:p>
        </w:tc>
      </w:tr>
      <w:tr w:rsidR="008146FA" w:rsidRPr="0074154F" w14:paraId="243B0425" w14:textId="77777777" w:rsidTr="007246EE">
        <w:trPr>
          <w:trHeight w:val="272"/>
          <w:jc w:val="right"/>
        </w:trPr>
        <w:tc>
          <w:tcPr>
            <w:tcW w:w="5272" w:type="dxa"/>
            <w:tcBorders>
              <w:top w:val="nil"/>
              <w:left w:val="nil"/>
              <w:right w:val="nil"/>
            </w:tcBorders>
            <w:shd w:val="clear" w:color="auto" w:fill="auto"/>
            <w:noWrap/>
            <w:vAlign w:val="bottom"/>
          </w:tcPr>
          <w:p w14:paraId="0AB06083" w14:textId="49445CAA"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Otros impuestos y contribuciones</w:t>
            </w:r>
          </w:p>
        </w:tc>
        <w:tc>
          <w:tcPr>
            <w:tcW w:w="1502" w:type="dxa"/>
            <w:tcBorders>
              <w:top w:val="nil"/>
              <w:left w:val="nil"/>
              <w:right w:val="nil"/>
            </w:tcBorders>
            <w:shd w:val="clear" w:color="auto" w:fill="auto"/>
            <w:noWrap/>
            <w:vAlign w:val="bottom"/>
          </w:tcPr>
          <w:p w14:paraId="2B732BDA" w14:textId="5EA3C2BE" w:rsidR="008146FA"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2,650,602</w:t>
            </w:r>
          </w:p>
        </w:tc>
        <w:tc>
          <w:tcPr>
            <w:tcW w:w="227" w:type="dxa"/>
            <w:tcBorders>
              <w:top w:val="nil"/>
              <w:left w:val="nil"/>
              <w:right w:val="nil"/>
            </w:tcBorders>
            <w:shd w:val="clear" w:color="auto" w:fill="auto"/>
            <w:noWrap/>
            <w:vAlign w:val="bottom"/>
          </w:tcPr>
          <w:p w14:paraId="7C660EC0"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250E3AB" w14:textId="4B72DCD2"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3,718,303</w:t>
            </w:r>
          </w:p>
        </w:tc>
      </w:tr>
      <w:tr w:rsidR="008146FA" w:rsidRPr="0074154F" w14:paraId="7EDC2C69" w14:textId="77777777" w:rsidTr="00CC7E8F">
        <w:trPr>
          <w:trHeight w:val="272"/>
          <w:jc w:val="right"/>
        </w:trPr>
        <w:tc>
          <w:tcPr>
            <w:tcW w:w="5272" w:type="dxa"/>
            <w:tcBorders>
              <w:top w:val="nil"/>
              <w:left w:val="nil"/>
              <w:right w:val="nil"/>
            </w:tcBorders>
            <w:shd w:val="clear" w:color="auto" w:fill="auto"/>
            <w:noWrap/>
            <w:vAlign w:val="bottom"/>
          </w:tcPr>
          <w:p w14:paraId="157DF641" w14:textId="058F3DD5"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sz w:val="20"/>
                <w:szCs w:val="20"/>
                <w:lang w:val="es-MX" w:eastAsia="es-MX"/>
              </w:rPr>
              <w:t xml:space="preserve">Amortizaciones </w:t>
            </w:r>
          </w:p>
        </w:tc>
        <w:tc>
          <w:tcPr>
            <w:tcW w:w="1502" w:type="dxa"/>
            <w:tcBorders>
              <w:top w:val="nil"/>
              <w:left w:val="nil"/>
              <w:right w:val="nil"/>
            </w:tcBorders>
            <w:shd w:val="clear" w:color="auto" w:fill="auto"/>
            <w:noWrap/>
            <w:vAlign w:val="bottom"/>
          </w:tcPr>
          <w:p w14:paraId="1C5CCE1E" w14:textId="6343C980"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2,409,467</w:t>
            </w:r>
          </w:p>
        </w:tc>
        <w:tc>
          <w:tcPr>
            <w:tcW w:w="227" w:type="dxa"/>
            <w:tcBorders>
              <w:top w:val="nil"/>
              <w:left w:val="nil"/>
              <w:right w:val="nil"/>
            </w:tcBorders>
            <w:shd w:val="clear" w:color="auto" w:fill="auto"/>
            <w:noWrap/>
            <w:vAlign w:val="bottom"/>
          </w:tcPr>
          <w:p w14:paraId="2F5C18B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B2CC05A" w14:textId="3A962B63"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2,482,348</w:t>
            </w:r>
          </w:p>
        </w:tc>
      </w:tr>
      <w:tr w:rsidR="008146FA" w:rsidRPr="0074154F" w14:paraId="49DA2432" w14:textId="77777777" w:rsidTr="00CC7E8F">
        <w:trPr>
          <w:trHeight w:val="272"/>
          <w:jc w:val="right"/>
        </w:trPr>
        <w:tc>
          <w:tcPr>
            <w:tcW w:w="5272" w:type="dxa"/>
            <w:tcBorders>
              <w:top w:val="nil"/>
              <w:left w:val="nil"/>
              <w:right w:val="nil"/>
            </w:tcBorders>
            <w:shd w:val="clear" w:color="auto" w:fill="auto"/>
            <w:noWrap/>
            <w:vAlign w:val="bottom"/>
          </w:tcPr>
          <w:p w14:paraId="13E6FD98" w14:textId="005B5365" w:rsidR="008146FA" w:rsidRPr="0074154F" w:rsidRDefault="008146FA" w:rsidP="008146FA">
            <w:pPr>
              <w:spacing w:after="0" w:line="240" w:lineRule="auto"/>
              <w:ind w:left="-70"/>
              <w:rPr>
                <w:rFonts w:ascii="Arial" w:eastAsia="Times New Roman" w:hAnsi="Arial" w:cs="Arial"/>
                <w:sz w:val="20"/>
                <w:szCs w:val="20"/>
                <w:lang w:val="es-MX" w:eastAsia="es-MX"/>
              </w:rPr>
            </w:pPr>
            <w:r w:rsidRPr="0074154F">
              <w:rPr>
                <w:rFonts w:ascii="Arial" w:eastAsia="Times New Roman" w:hAnsi="Arial" w:cs="Arial"/>
                <w:color w:val="000000"/>
                <w:sz w:val="20"/>
                <w:szCs w:val="20"/>
                <w:lang w:val="es-MX" w:eastAsia="es-MX"/>
              </w:rPr>
              <w:t>Seguros y pólizas</w:t>
            </w:r>
          </w:p>
        </w:tc>
        <w:tc>
          <w:tcPr>
            <w:tcW w:w="1502" w:type="dxa"/>
            <w:tcBorders>
              <w:top w:val="nil"/>
              <w:left w:val="nil"/>
              <w:right w:val="nil"/>
            </w:tcBorders>
            <w:shd w:val="clear" w:color="auto" w:fill="auto"/>
            <w:noWrap/>
            <w:vAlign w:val="bottom"/>
          </w:tcPr>
          <w:p w14:paraId="1F9B71C9" w14:textId="4A9AF66C" w:rsidR="008146FA"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2,037,229</w:t>
            </w:r>
          </w:p>
        </w:tc>
        <w:tc>
          <w:tcPr>
            <w:tcW w:w="227" w:type="dxa"/>
            <w:tcBorders>
              <w:top w:val="nil"/>
              <w:left w:val="nil"/>
              <w:right w:val="nil"/>
            </w:tcBorders>
            <w:shd w:val="clear" w:color="auto" w:fill="auto"/>
            <w:noWrap/>
            <w:vAlign w:val="bottom"/>
          </w:tcPr>
          <w:p w14:paraId="2968DD0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6F40114" w14:textId="35EC77EF" w:rsidR="008146FA"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819,267</w:t>
            </w:r>
          </w:p>
        </w:tc>
      </w:tr>
      <w:tr w:rsidR="008146FA" w:rsidRPr="0074154F" w14:paraId="5EE84957" w14:textId="77777777" w:rsidTr="00CC7E8F">
        <w:trPr>
          <w:trHeight w:val="272"/>
          <w:jc w:val="right"/>
        </w:trPr>
        <w:tc>
          <w:tcPr>
            <w:tcW w:w="5272" w:type="dxa"/>
            <w:tcBorders>
              <w:top w:val="nil"/>
              <w:left w:val="nil"/>
              <w:right w:val="nil"/>
            </w:tcBorders>
            <w:shd w:val="clear" w:color="auto" w:fill="auto"/>
            <w:noWrap/>
            <w:vAlign w:val="bottom"/>
          </w:tcPr>
          <w:p w14:paraId="6AC1D11F" w14:textId="06C2DD45" w:rsidR="008146FA" w:rsidRPr="0074154F" w:rsidRDefault="008146FA" w:rsidP="008146FA">
            <w:pPr>
              <w:spacing w:after="0" w:line="240" w:lineRule="auto"/>
              <w:ind w:left="-70"/>
              <w:rPr>
                <w:rFonts w:ascii="Arial" w:eastAsia="Times New Roman" w:hAnsi="Arial" w:cs="Arial"/>
                <w:sz w:val="20"/>
                <w:szCs w:val="20"/>
                <w:lang w:val="es-MX" w:eastAsia="es-MX"/>
              </w:rPr>
            </w:pPr>
            <w:r w:rsidRPr="0074154F">
              <w:rPr>
                <w:rFonts w:ascii="Arial" w:eastAsia="Times New Roman" w:hAnsi="Arial" w:cs="Arial"/>
                <w:color w:val="000000"/>
                <w:sz w:val="20"/>
                <w:szCs w:val="20"/>
                <w:lang w:val="es-MX" w:eastAsia="es-MX"/>
              </w:rPr>
              <w:t>Compra de materiales y repuestos</w:t>
            </w:r>
          </w:p>
        </w:tc>
        <w:tc>
          <w:tcPr>
            <w:tcW w:w="1502" w:type="dxa"/>
            <w:tcBorders>
              <w:top w:val="nil"/>
              <w:left w:val="nil"/>
              <w:right w:val="nil"/>
            </w:tcBorders>
            <w:shd w:val="clear" w:color="auto" w:fill="auto"/>
            <w:noWrap/>
            <w:vAlign w:val="bottom"/>
          </w:tcPr>
          <w:p w14:paraId="28807279" w14:textId="7CAF44DA" w:rsidR="008146FA"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1,714,483</w:t>
            </w:r>
          </w:p>
        </w:tc>
        <w:tc>
          <w:tcPr>
            <w:tcW w:w="227" w:type="dxa"/>
            <w:tcBorders>
              <w:top w:val="nil"/>
              <w:left w:val="nil"/>
              <w:right w:val="nil"/>
            </w:tcBorders>
            <w:shd w:val="clear" w:color="auto" w:fill="auto"/>
            <w:noWrap/>
            <w:vAlign w:val="bottom"/>
          </w:tcPr>
          <w:p w14:paraId="62B4481F"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93FC7FF" w14:textId="6AF16683" w:rsidR="008146FA"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color w:val="000000"/>
                <w:sz w:val="20"/>
                <w:szCs w:val="20"/>
                <w:lang w:val="es-MX" w:eastAsia="es-MX"/>
              </w:rPr>
              <w:t>5,408,875</w:t>
            </w:r>
          </w:p>
        </w:tc>
      </w:tr>
      <w:tr w:rsidR="008146FA" w:rsidRPr="0074154F" w14:paraId="479BF857" w14:textId="77777777" w:rsidTr="00CC7E8F">
        <w:trPr>
          <w:trHeight w:val="272"/>
          <w:jc w:val="right"/>
        </w:trPr>
        <w:tc>
          <w:tcPr>
            <w:tcW w:w="5272" w:type="dxa"/>
            <w:tcBorders>
              <w:top w:val="nil"/>
              <w:left w:val="nil"/>
              <w:right w:val="nil"/>
            </w:tcBorders>
            <w:shd w:val="clear" w:color="auto" w:fill="auto"/>
            <w:noWrap/>
            <w:vAlign w:val="bottom"/>
          </w:tcPr>
          <w:p w14:paraId="33CDD419" w14:textId="68ADC619"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Amortización por derecho de uso</w:t>
            </w:r>
            <w:r>
              <w:rPr>
                <w:rFonts w:ascii="Arial" w:eastAsia="Times New Roman" w:hAnsi="Arial" w:cs="Arial"/>
                <w:color w:val="000000"/>
                <w:sz w:val="20"/>
                <w:szCs w:val="20"/>
                <w:lang w:val="es-MX" w:eastAsia="es-MX"/>
              </w:rPr>
              <w:t>, Ver nota 7</w:t>
            </w:r>
          </w:p>
        </w:tc>
        <w:tc>
          <w:tcPr>
            <w:tcW w:w="1502" w:type="dxa"/>
            <w:tcBorders>
              <w:top w:val="nil"/>
              <w:left w:val="nil"/>
              <w:right w:val="nil"/>
            </w:tcBorders>
            <w:shd w:val="clear" w:color="auto" w:fill="auto"/>
            <w:noWrap/>
            <w:vAlign w:val="bottom"/>
          </w:tcPr>
          <w:p w14:paraId="7A4E9593" w14:textId="60F29BB5"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2,408,033</w:t>
            </w:r>
          </w:p>
        </w:tc>
        <w:tc>
          <w:tcPr>
            <w:tcW w:w="227" w:type="dxa"/>
            <w:tcBorders>
              <w:top w:val="nil"/>
              <w:left w:val="nil"/>
              <w:right w:val="nil"/>
            </w:tcBorders>
            <w:shd w:val="clear" w:color="auto" w:fill="auto"/>
            <w:noWrap/>
            <w:vAlign w:val="bottom"/>
          </w:tcPr>
          <w:p w14:paraId="33CD2815"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608774E2" w14:textId="66270AF3"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1,484,293</w:t>
            </w:r>
          </w:p>
        </w:tc>
      </w:tr>
      <w:tr w:rsidR="008146FA" w:rsidRPr="0074154F" w14:paraId="6D9335B3" w14:textId="77777777" w:rsidTr="007246EE">
        <w:trPr>
          <w:trHeight w:val="272"/>
          <w:jc w:val="right"/>
        </w:trPr>
        <w:tc>
          <w:tcPr>
            <w:tcW w:w="5272" w:type="dxa"/>
            <w:tcBorders>
              <w:top w:val="nil"/>
              <w:left w:val="nil"/>
              <w:right w:val="nil"/>
            </w:tcBorders>
            <w:shd w:val="clear" w:color="auto" w:fill="auto"/>
            <w:noWrap/>
            <w:vAlign w:val="bottom"/>
          </w:tcPr>
          <w:p w14:paraId="789F6CB6" w14:textId="0C8F1D7C"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Seguridad</w:t>
            </w:r>
          </w:p>
        </w:tc>
        <w:tc>
          <w:tcPr>
            <w:tcW w:w="1502" w:type="dxa"/>
            <w:tcBorders>
              <w:top w:val="nil"/>
              <w:left w:val="nil"/>
              <w:right w:val="nil"/>
            </w:tcBorders>
            <w:shd w:val="clear" w:color="auto" w:fill="auto"/>
            <w:noWrap/>
            <w:vAlign w:val="bottom"/>
          </w:tcPr>
          <w:p w14:paraId="171A724A" w14:textId="28DB739D"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898,975</w:t>
            </w:r>
          </w:p>
        </w:tc>
        <w:tc>
          <w:tcPr>
            <w:tcW w:w="227" w:type="dxa"/>
            <w:tcBorders>
              <w:top w:val="nil"/>
              <w:left w:val="nil"/>
              <w:right w:val="nil"/>
            </w:tcBorders>
            <w:shd w:val="clear" w:color="auto" w:fill="auto"/>
            <w:noWrap/>
            <w:vAlign w:val="bottom"/>
          </w:tcPr>
          <w:p w14:paraId="6C9F313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22FC487" w14:textId="57763124"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1,139,290</w:t>
            </w:r>
          </w:p>
        </w:tc>
      </w:tr>
      <w:tr w:rsidR="008146FA" w:rsidRPr="0074154F" w14:paraId="49BAEF4D" w14:textId="77777777" w:rsidTr="007246EE">
        <w:trPr>
          <w:trHeight w:val="272"/>
          <w:jc w:val="right"/>
        </w:trPr>
        <w:tc>
          <w:tcPr>
            <w:tcW w:w="5272" w:type="dxa"/>
            <w:tcBorders>
              <w:top w:val="nil"/>
              <w:left w:val="nil"/>
              <w:right w:val="nil"/>
            </w:tcBorders>
            <w:shd w:val="clear" w:color="auto" w:fill="auto"/>
            <w:noWrap/>
            <w:vAlign w:val="bottom"/>
          </w:tcPr>
          <w:p w14:paraId="395BC717" w14:textId="0D97F044"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eastAsia="es-EC"/>
              </w:rPr>
              <w:t>Gastos de gestión de viaje</w:t>
            </w:r>
          </w:p>
        </w:tc>
        <w:tc>
          <w:tcPr>
            <w:tcW w:w="1502" w:type="dxa"/>
            <w:tcBorders>
              <w:top w:val="nil"/>
              <w:left w:val="nil"/>
              <w:right w:val="nil"/>
            </w:tcBorders>
            <w:shd w:val="clear" w:color="auto" w:fill="auto"/>
            <w:noWrap/>
            <w:vAlign w:val="bottom"/>
          </w:tcPr>
          <w:p w14:paraId="10F17F72" w14:textId="1FBDCE62"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564,408</w:t>
            </w:r>
          </w:p>
        </w:tc>
        <w:tc>
          <w:tcPr>
            <w:tcW w:w="227" w:type="dxa"/>
            <w:tcBorders>
              <w:top w:val="nil"/>
              <w:left w:val="nil"/>
              <w:right w:val="nil"/>
            </w:tcBorders>
            <w:shd w:val="clear" w:color="auto" w:fill="auto"/>
            <w:noWrap/>
            <w:vAlign w:val="bottom"/>
          </w:tcPr>
          <w:p w14:paraId="1BB2F3D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B410DCB" w14:textId="18F55F19"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988,793</w:t>
            </w:r>
          </w:p>
        </w:tc>
      </w:tr>
      <w:tr w:rsidR="008146FA" w:rsidRPr="0074154F" w14:paraId="64131E8B" w14:textId="77777777" w:rsidTr="007246EE">
        <w:trPr>
          <w:trHeight w:val="272"/>
          <w:jc w:val="right"/>
        </w:trPr>
        <w:tc>
          <w:tcPr>
            <w:tcW w:w="5272" w:type="dxa"/>
            <w:tcBorders>
              <w:top w:val="nil"/>
              <w:left w:val="nil"/>
              <w:right w:val="nil"/>
            </w:tcBorders>
            <w:shd w:val="clear" w:color="auto" w:fill="auto"/>
            <w:noWrap/>
            <w:vAlign w:val="bottom"/>
          </w:tcPr>
          <w:p w14:paraId="0D3DA6E7" w14:textId="55BE35CC"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Arriendos</w:t>
            </w:r>
          </w:p>
        </w:tc>
        <w:tc>
          <w:tcPr>
            <w:tcW w:w="1502" w:type="dxa"/>
            <w:tcBorders>
              <w:top w:val="nil"/>
              <w:left w:val="nil"/>
              <w:right w:val="nil"/>
            </w:tcBorders>
            <w:shd w:val="clear" w:color="auto" w:fill="auto"/>
            <w:noWrap/>
            <w:vAlign w:val="bottom"/>
          </w:tcPr>
          <w:p w14:paraId="11389EA6" w14:textId="726C1CE5"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269,935</w:t>
            </w:r>
          </w:p>
        </w:tc>
        <w:tc>
          <w:tcPr>
            <w:tcW w:w="227" w:type="dxa"/>
            <w:tcBorders>
              <w:top w:val="nil"/>
              <w:left w:val="nil"/>
              <w:right w:val="nil"/>
            </w:tcBorders>
            <w:shd w:val="clear" w:color="auto" w:fill="auto"/>
            <w:noWrap/>
            <w:vAlign w:val="bottom"/>
          </w:tcPr>
          <w:p w14:paraId="442AF8A8"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F922145" w14:textId="3F923ED9"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1,959,321</w:t>
            </w:r>
          </w:p>
        </w:tc>
      </w:tr>
      <w:tr w:rsidR="008146FA" w:rsidRPr="0074154F" w14:paraId="2B39B1B1" w14:textId="77777777" w:rsidTr="00130158">
        <w:trPr>
          <w:trHeight w:val="272"/>
          <w:jc w:val="right"/>
        </w:trPr>
        <w:tc>
          <w:tcPr>
            <w:tcW w:w="5272" w:type="dxa"/>
            <w:tcBorders>
              <w:top w:val="nil"/>
              <w:left w:val="nil"/>
              <w:right w:val="nil"/>
            </w:tcBorders>
            <w:shd w:val="clear" w:color="auto" w:fill="auto"/>
            <w:noWrap/>
            <w:vAlign w:val="bottom"/>
          </w:tcPr>
          <w:p w14:paraId="40F095FD" w14:textId="317B2635" w:rsidR="008146FA" w:rsidRPr="0074154F" w:rsidRDefault="008146FA" w:rsidP="008146FA">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Provisión cuentas incobrables, ver Nota 4</w:t>
            </w:r>
          </w:p>
        </w:tc>
        <w:tc>
          <w:tcPr>
            <w:tcW w:w="1502" w:type="dxa"/>
            <w:tcBorders>
              <w:top w:val="nil"/>
              <w:left w:val="nil"/>
              <w:right w:val="nil"/>
            </w:tcBorders>
            <w:shd w:val="clear" w:color="auto" w:fill="auto"/>
            <w:noWrap/>
            <w:vAlign w:val="bottom"/>
          </w:tcPr>
          <w:p w14:paraId="68B6D84F" w14:textId="4CA6D4AE" w:rsidR="008146FA" w:rsidRPr="005F0AB6" w:rsidRDefault="008146FA" w:rsidP="008146FA">
            <w:pPr>
              <w:tabs>
                <w:tab w:val="decimal" w:pos="1276"/>
              </w:tabs>
              <w:spacing w:after="0" w:line="240" w:lineRule="auto"/>
              <w:jc w:val="right"/>
              <w:rPr>
                <w:rFonts w:ascii="Arial" w:eastAsia="Times New Roman" w:hAnsi="Arial" w:cs="Arial"/>
                <w:color w:val="000000" w:themeColor="text1"/>
                <w:sz w:val="20"/>
                <w:szCs w:val="20"/>
                <w:lang w:val="es-MX" w:eastAsia="es-MX"/>
              </w:rPr>
            </w:pPr>
            <w:r w:rsidRPr="005F0AB6">
              <w:rPr>
                <w:rFonts w:ascii="Arial" w:eastAsia="Times New Roman" w:hAnsi="Arial" w:cs="Arial"/>
                <w:color w:val="000000" w:themeColor="text1"/>
                <w:sz w:val="20"/>
                <w:szCs w:val="20"/>
                <w:lang w:val="es-MX" w:eastAsia="es-MX"/>
              </w:rPr>
              <w:t>697,121</w:t>
            </w:r>
          </w:p>
        </w:tc>
        <w:tc>
          <w:tcPr>
            <w:tcW w:w="227" w:type="dxa"/>
            <w:tcBorders>
              <w:top w:val="nil"/>
              <w:left w:val="nil"/>
              <w:right w:val="nil"/>
            </w:tcBorders>
            <w:shd w:val="clear" w:color="auto" w:fill="auto"/>
            <w:noWrap/>
            <w:vAlign w:val="bottom"/>
          </w:tcPr>
          <w:p w14:paraId="499540E4"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DE73DC5" w14:textId="38CCD97E"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694,576</w:t>
            </w:r>
          </w:p>
        </w:tc>
      </w:tr>
      <w:tr w:rsidR="008146FA" w:rsidRPr="0074154F" w14:paraId="7783A1F2" w14:textId="77777777" w:rsidTr="00130158">
        <w:trPr>
          <w:trHeight w:val="272"/>
          <w:jc w:val="right"/>
        </w:trPr>
        <w:tc>
          <w:tcPr>
            <w:tcW w:w="5272" w:type="dxa"/>
            <w:tcBorders>
              <w:top w:val="nil"/>
              <w:left w:val="nil"/>
              <w:right w:val="nil"/>
            </w:tcBorders>
            <w:shd w:val="clear" w:color="auto" w:fill="auto"/>
            <w:noWrap/>
            <w:vAlign w:val="bottom"/>
          </w:tcPr>
          <w:p w14:paraId="72E6F8A7" w14:textId="7C873067" w:rsidR="008146FA" w:rsidRPr="0074154F" w:rsidRDefault="008146FA" w:rsidP="008146FA">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Suministros de oficina</w:t>
            </w:r>
          </w:p>
        </w:tc>
        <w:tc>
          <w:tcPr>
            <w:tcW w:w="1502" w:type="dxa"/>
            <w:tcBorders>
              <w:top w:val="nil"/>
              <w:left w:val="nil"/>
              <w:right w:val="nil"/>
            </w:tcBorders>
            <w:shd w:val="clear" w:color="auto" w:fill="auto"/>
            <w:noWrap/>
            <w:vAlign w:val="bottom"/>
          </w:tcPr>
          <w:p w14:paraId="21DE16C8" w14:textId="6FB9F9EC"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149,488</w:t>
            </w:r>
          </w:p>
        </w:tc>
        <w:tc>
          <w:tcPr>
            <w:tcW w:w="227" w:type="dxa"/>
            <w:tcBorders>
              <w:top w:val="nil"/>
              <w:left w:val="nil"/>
              <w:right w:val="nil"/>
            </w:tcBorders>
            <w:shd w:val="clear" w:color="auto" w:fill="auto"/>
            <w:noWrap/>
            <w:vAlign w:val="bottom"/>
          </w:tcPr>
          <w:p w14:paraId="601CB0B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7B4A0A5" w14:textId="488A098D"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143,174</w:t>
            </w:r>
          </w:p>
        </w:tc>
      </w:tr>
      <w:tr w:rsidR="008146FA" w:rsidRPr="0074154F" w14:paraId="6BFFF7AC" w14:textId="77777777" w:rsidTr="0036560F">
        <w:trPr>
          <w:trHeight w:val="272"/>
          <w:jc w:val="right"/>
        </w:trPr>
        <w:tc>
          <w:tcPr>
            <w:tcW w:w="5272" w:type="dxa"/>
            <w:tcBorders>
              <w:top w:val="nil"/>
              <w:left w:val="nil"/>
              <w:right w:val="nil"/>
            </w:tcBorders>
            <w:shd w:val="clear" w:color="auto" w:fill="auto"/>
            <w:noWrap/>
            <w:vAlign w:val="bottom"/>
          </w:tcPr>
          <w:p w14:paraId="65C5CB1F" w14:textId="267C1F86" w:rsidR="008146FA" w:rsidRPr="0074154F" w:rsidRDefault="008146FA" w:rsidP="008146FA">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Deterioro de otras cuentas por cobrar, ver Nota 4</w:t>
            </w:r>
          </w:p>
        </w:tc>
        <w:tc>
          <w:tcPr>
            <w:tcW w:w="1502" w:type="dxa"/>
            <w:tcBorders>
              <w:top w:val="nil"/>
              <w:left w:val="nil"/>
              <w:right w:val="nil"/>
            </w:tcBorders>
            <w:shd w:val="clear" w:color="auto" w:fill="auto"/>
            <w:noWrap/>
            <w:vAlign w:val="bottom"/>
          </w:tcPr>
          <w:p w14:paraId="700E460A" w14:textId="1317508F"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124,060</w:t>
            </w:r>
          </w:p>
        </w:tc>
        <w:tc>
          <w:tcPr>
            <w:tcW w:w="227" w:type="dxa"/>
            <w:tcBorders>
              <w:top w:val="nil"/>
              <w:left w:val="nil"/>
              <w:right w:val="nil"/>
            </w:tcBorders>
            <w:shd w:val="clear" w:color="auto" w:fill="auto"/>
            <w:noWrap/>
            <w:vAlign w:val="bottom"/>
          </w:tcPr>
          <w:p w14:paraId="6EA1EF68"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56A59B2" w14:textId="729D3232" w:rsidR="008146FA" w:rsidRPr="0074154F" w:rsidRDefault="008146FA" w:rsidP="008146FA">
            <w:pPr>
              <w:tabs>
                <w:tab w:val="decimal" w:pos="1276"/>
              </w:tabs>
              <w:spacing w:after="0" w:line="240" w:lineRule="auto"/>
              <w:jc w:val="right"/>
              <w:rPr>
                <w:rFonts w:ascii="Arial" w:eastAsia="Times New Roman" w:hAnsi="Arial" w:cs="Arial"/>
                <w:sz w:val="20"/>
                <w:szCs w:val="20"/>
                <w:lang w:eastAsia="es-EC"/>
              </w:rPr>
            </w:pPr>
            <w:r>
              <w:rPr>
                <w:rFonts w:ascii="Arial" w:eastAsia="Times New Roman" w:hAnsi="Arial" w:cs="Arial"/>
                <w:sz w:val="20"/>
                <w:szCs w:val="20"/>
                <w:lang w:eastAsia="es-EC"/>
              </w:rPr>
              <w:t>-</w:t>
            </w:r>
          </w:p>
        </w:tc>
      </w:tr>
      <w:tr w:rsidR="008146FA" w:rsidRPr="0074154F" w14:paraId="1FCCCFBF" w14:textId="77777777" w:rsidTr="0036560F">
        <w:trPr>
          <w:trHeight w:val="272"/>
          <w:jc w:val="right"/>
        </w:trPr>
        <w:tc>
          <w:tcPr>
            <w:tcW w:w="5272" w:type="dxa"/>
            <w:tcBorders>
              <w:top w:val="nil"/>
              <w:left w:val="nil"/>
              <w:right w:val="nil"/>
            </w:tcBorders>
            <w:shd w:val="clear" w:color="auto" w:fill="auto"/>
            <w:noWrap/>
            <w:vAlign w:val="bottom"/>
          </w:tcPr>
          <w:p w14:paraId="1BCBD892" w14:textId="733553F4" w:rsidR="008146FA" w:rsidRPr="0074154F" w:rsidRDefault="008146FA" w:rsidP="008146FA">
            <w:pPr>
              <w:spacing w:after="0" w:line="240" w:lineRule="auto"/>
              <w:ind w:left="-70"/>
              <w:rPr>
                <w:rFonts w:ascii="Arial" w:eastAsia="Times New Roman" w:hAnsi="Arial" w:cs="Arial"/>
                <w:color w:val="000000"/>
                <w:sz w:val="20"/>
                <w:szCs w:val="20"/>
                <w:lang w:val="es-MX" w:eastAsia="es-MX"/>
              </w:rPr>
            </w:pPr>
            <w:r w:rsidRPr="0074154F">
              <w:rPr>
                <w:rFonts w:ascii="Arial" w:eastAsia="Times New Roman" w:hAnsi="Arial" w:cs="Arial"/>
                <w:color w:val="000000"/>
                <w:sz w:val="20"/>
                <w:szCs w:val="20"/>
                <w:lang w:val="es-MX" w:eastAsia="es-MX"/>
              </w:rPr>
              <w:t>Otros</w:t>
            </w:r>
          </w:p>
        </w:tc>
        <w:tc>
          <w:tcPr>
            <w:tcW w:w="1502" w:type="dxa"/>
            <w:tcBorders>
              <w:top w:val="nil"/>
              <w:left w:val="nil"/>
              <w:bottom w:val="single" w:sz="6" w:space="0" w:color="auto"/>
              <w:right w:val="nil"/>
            </w:tcBorders>
            <w:shd w:val="clear" w:color="auto" w:fill="auto"/>
            <w:noWrap/>
            <w:vAlign w:val="bottom"/>
          </w:tcPr>
          <w:p w14:paraId="76402C22" w14:textId="2E9F6361"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11,844,367</w:t>
            </w:r>
          </w:p>
        </w:tc>
        <w:tc>
          <w:tcPr>
            <w:tcW w:w="227" w:type="dxa"/>
            <w:tcBorders>
              <w:top w:val="nil"/>
              <w:left w:val="nil"/>
              <w:right w:val="nil"/>
            </w:tcBorders>
            <w:shd w:val="clear" w:color="auto" w:fill="auto"/>
            <w:noWrap/>
            <w:vAlign w:val="bottom"/>
          </w:tcPr>
          <w:p w14:paraId="16E9FF0D"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29EA6260" w14:textId="4BE1C4BA"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17,458,757</w:t>
            </w:r>
          </w:p>
        </w:tc>
      </w:tr>
      <w:tr w:rsidR="008146FA" w:rsidRPr="0074154F" w14:paraId="546FDC96" w14:textId="77777777" w:rsidTr="0036560F">
        <w:trPr>
          <w:trHeight w:val="272"/>
          <w:jc w:val="right"/>
        </w:trPr>
        <w:tc>
          <w:tcPr>
            <w:tcW w:w="5272" w:type="dxa"/>
            <w:tcBorders>
              <w:left w:val="nil"/>
              <w:right w:val="nil"/>
            </w:tcBorders>
            <w:shd w:val="clear" w:color="auto" w:fill="auto"/>
            <w:noWrap/>
            <w:vAlign w:val="bottom"/>
          </w:tcPr>
          <w:p w14:paraId="42ADA104" w14:textId="77777777" w:rsidR="008146FA" w:rsidRPr="0074154F" w:rsidRDefault="008146FA" w:rsidP="008146FA">
            <w:pPr>
              <w:spacing w:after="0" w:line="240" w:lineRule="auto"/>
              <w:ind w:left="-70"/>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1A06F8FD" w14:textId="748E9C04"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left w:val="nil"/>
              <w:right w:val="nil"/>
            </w:tcBorders>
            <w:shd w:val="clear" w:color="auto" w:fill="auto"/>
            <w:noWrap/>
            <w:vAlign w:val="bottom"/>
          </w:tcPr>
          <w:p w14:paraId="188AAFEB" w14:textId="77777777" w:rsidR="008146FA" w:rsidRPr="0074154F" w:rsidRDefault="008146FA" w:rsidP="008146FA">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1B8B9214" w14:textId="23F85B82"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EC"/>
              </w:rPr>
            </w:pPr>
          </w:p>
        </w:tc>
      </w:tr>
      <w:tr w:rsidR="008146FA" w:rsidRPr="0074154F" w14:paraId="003FD873" w14:textId="77777777" w:rsidTr="007246EE">
        <w:trPr>
          <w:trHeight w:val="272"/>
          <w:jc w:val="right"/>
        </w:trPr>
        <w:tc>
          <w:tcPr>
            <w:tcW w:w="5272" w:type="dxa"/>
            <w:tcBorders>
              <w:left w:val="nil"/>
              <w:right w:val="nil"/>
            </w:tcBorders>
            <w:shd w:val="clear" w:color="auto" w:fill="auto"/>
            <w:noWrap/>
            <w:vAlign w:val="bottom"/>
          </w:tcPr>
          <w:p w14:paraId="3A8FCF96" w14:textId="77777777" w:rsidR="008146FA" w:rsidRPr="0074154F" w:rsidRDefault="008146FA" w:rsidP="008146FA">
            <w:pPr>
              <w:spacing w:after="0" w:line="240" w:lineRule="auto"/>
              <w:ind w:left="-70"/>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s-MX" w:eastAsia="es-MX"/>
              </w:rPr>
              <w:t>Total</w:t>
            </w:r>
          </w:p>
        </w:tc>
        <w:tc>
          <w:tcPr>
            <w:tcW w:w="1502" w:type="dxa"/>
            <w:tcBorders>
              <w:left w:val="nil"/>
              <w:bottom w:val="double" w:sz="4" w:space="0" w:color="auto"/>
              <w:right w:val="nil"/>
            </w:tcBorders>
            <w:shd w:val="clear" w:color="auto" w:fill="auto"/>
            <w:noWrap/>
            <w:vAlign w:val="bottom"/>
          </w:tcPr>
          <w:p w14:paraId="3A1B817D" w14:textId="68A4CE38"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204,915,529</w:t>
            </w:r>
          </w:p>
        </w:tc>
        <w:tc>
          <w:tcPr>
            <w:tcW w:w="227" w:type="dxa"/>
            <w:tcBorders>
              <w:left w:val="nil"/>
              <w:right w:val="nil"/>
            </w:tcBorders>
            <w:shd w:val="clear" w:color="auto" w:fill="auto"/>
            <w:noWrap/>
            <w:vAlign w:val="bottom"/>
          </w:tcPr>
          <w:p w14:paraId="4C4363A3" w14:textId="77777777" w:rsidR="008146FA" w:rsidRPr="0074154F" w:rsidRDefault="008146FA" w:rsidP="008146FA">
            <w:pPr>
              <w:spacing w:after="0" w:line="240" w:lineRule="auto"/>
              <w:rPr>
                <w:rFonts w:ascii="Arial" w:eastAsia="Times New Roman" w:hAnsi="Arial" w:cs="Arial"/>
                <w:color w:val="000000"/>
                <w:sz w:val="20"/>
                <w:szCs w:val="20"/>
                <w:lang w:eastAsia="es-EC"/>
              </w:rPr>
            </w:pPr>
          </w:p>
        </w:tc>
        <w:tc>
          <w:tcPr>
            <w:tcW w:w="1502" w:type="dxa"/>
            <w:tcBorders>
              <w:left w:val="nil"/>
              <w:bottom w:val="double" w:sz="4" w:space="0" w:color="auto"/>
              <w:right w:val="nil"/>
            </w:tcBorders>
            <w:shd w:val="clear" w:color="auto" w:fill="auto"/>
            <w:noWrap/>
            <w:vAlign w:val="bottom"/>
          </w:tcPr>
          <w:p w14:paraId="50524C24" w14:textId="158822B9" w:rsidR="008146FA" w:rsidRPr="0074154F" w:rsidRDefault="008146FA" w:rsidP="008146FA">
            <w:pPr>
              <w:tabs>
                <w:tab w:val="decimal" w:pos="1276"/>
              </w:tabs>
              <w:spacing w:after="0" w:line="240" w:lineRule="auto"/>
              <w:jc w:val="right"/>
              <w:rPr>
                <w:rFonts w:ascii="Arial" w:eastAsia="Times New Roman" w:hAnsi="Arial" w:cs="Arial"/>
                <w:color w:val="000000"/>
                <w:sz w:val="20"/>
                <w:szCs w:val="20"/>
                <w:lang w:eastAsia="es-EC"/>
              </w:rPr>
            </w:pPr>
            <w:r>
              <w:rPr>
                <w:rFonts w:ascii="Arial" w:eastAsia="Times New Roman" w:hAnsi="Arial" w:cs="Arial"/>
                <w:sz w:val="20"/>
                <w:szCs w:val="20"/>
                <w:lang w:eastAsia="es-EC"/>
              </w:rPr>
              <w:t>190,756,852</w:t>
            </w:r>
          </w:p>
        </w:tc>
      </w:tr>
    </w:tbl>
    <w:p w14:paraId="09E90240" w14:textId="77777777" w:rsidR="00D453AF" w:rsidRPr="0074154F" w:rsidRDefault="00D453AF" w:rsidP="00471822">
      <w:pPr>
        <w:spacing w:after="0" w:line="240" w:lineRule="auto"/>
        <w:ind w:firstLine="567"/>
        <w:jc w:val="both"/>
        <w:rPr>
          <w:rFonts w:ascii="Arial" w:hAnsi="Arial" w:cs="Arial"/>
          <w:sz w:val="20"/>
          <w:szCs w:val="20"/>
        </w:rPr>
      </w:pPr>
    </w:p>
    <w:p w14:paraId="0F3AAE70" w14:textId="3FBB278C" w:rsidR="00E01F40" w:rsidRPr="0074154F" w:rsidRDefault="00E01F40" w:rsidP="00471822">
      <w:pPr>
        <w:spacing w:after="0" w:line="240" w:lineRule="auto"/>
        <w:ind w:firstLine="567"/>
        <w:jc w:val="both"/>
        <w:rPr>
          <w:rFonts w:ascii="Arial" w:hAnsi="Arial" w:cs="Arial"/>
          <w:sz w:val="20"/>
          <w:szCs w:val="20"/>
        </w:rPr>
      </w:pPr>
      <w:r w:rsidRPr="0074154F">
        <w:rPr>
          <w:rFonts w:ascii="Arial" w:hAnsi="Arial" w:cs="Arial"/>
          <w:sz w:val="20"/>
          <w:szCs w:val="20"/>
        </w:rPr>
        <w:t>Durante el año 2020:</w:t>
      </w:r>
    </w:p>
    <w:p w14:paraId="5942B1B6" w14:textId="77777777" w:rsidR="00E01F40" w:rsidRPr="0074154F" w:rsidRDefault="00E01F40" w:rsidP="00E01F40">
      <w:pPr>
        <w:spacing w:after="0" w:line="240" w:lineRule="auto"/>
        <w:ind w:firstLine="633"/>
        <w:jc w:val="both"/>
        <w:rPr>
          <w:rFonts w:ascii="Arial" w:hAnsi="Arial" w:cs="Arial"/>
          <w:sz w:val="20"/>
          <w:szCs w:val="20"/>
        </w:rPr>
      </w:pPr>
    </w:p>
    <w:p w14:paraId="4EEC34E4" w14:textId="38873C9A" w:rsidR="00E01F40" w:rsidRPr="00B26EA4" w:rsidRDefault="00E01F40" w:rsidP="00E01F40">
      <w:pPr>
        <w:pStyle w:val="ListParagraph"/>
        <w:numPr>
          <w:ilvl w:val="0"/>
          <w:numId w:val="19"/>
        </w:numPr>
        <w:spacing w:after="0" w:line="240" w:lineRule="auto"/>
        <w:ind w:left="993"/>
        <w:jc w:val="both"/>
        <w:rPr>
          <w:rFonts w:ascii="Arial" w:hAnsi="Arial" w:cs="Arial"/>
          <w:b/>
          <w:sz w:val="20"/>
          <w:szCs w:val="20"/>
        </w:rPr>
      </w:pPr>
      <w:r w:rsidRPr="0074154F">
        <w:rPr>
          <w:rFonts w:ascii="Arial" w:hAnsi="Arial" w:cs="Arial"/>
          <w:sz w:val="20"/>
          <w:szCs w:val="20"/>
        </w:rPr>
        <w:t>Sueldos y beneficios a trabajadores, corresponde a sueldos y salarios por US$</w:t>
      </w:r>
      <w:r w:rsidR="00A12191">
        <w:rPr>
          <w:rFonts w:ascii="Arial" w:hAnsi="Arial" w:cs="Arial"/>
          <w:sz w:val="20"/>
          <w:szCs w:val="20"/>
        </w:rPr>
        <w:t>3</w:t>
      </w:r>
      <w:r w:rsidR="00B26EA4">
        <w:rPr>
          <w:rFonts w:ascii="Arial" w:hAnsi="Arial" w:cs="Arial"/>
          <w:sz w:val="20"/>
          <w:szCs w:val="20"/>
        </w:rPr>
        <w:t>7</w:t>
      </w:r>
      <w:r w:rsidR="003231F2" w:rsidRPr="0074154F">
        <w:rPr>
          <w:rFonts w:ascii="Arial" w:hAnsi="Arial" w:cs="Arial"/>
          <w:sz w:val="20"/>
          <w:szCs w:val="20"/>
        </w:rPr>
        <w:t>.</w:t>
      </w:r>
      <w:r w:rsidR="00A12191">
        <w:rPr>
          <w:rFonts w:ascii="Arial" w:hAnsi="Arial" w:cs="Arial"/>
          <w:sz w:val="20"/>
          <w:szCs w:val="20"/>
        </w:rPr>
        <w:t>4</w:t>
      </w:r>
      <w:r w:rsidRPr="0074154F">
        <w:rPr>
          <w:rFonts w:ascii="Arial" w:hAnsi="Arial" w:cs="Arial"/>
          <w:sz w:val="20"/>
          <w:szCs w:val="20"/>
        </w:rPr>
        <w:t xml:space="preserve"> millones (US$</w:t>
      </w:r>
      <w:r w:rsidR="00B26EA4">
        <w:rPr>
          <w:rFonts w:ascii="Arial" w:hAnsi="Arial" w:cs="Arial"/>
          <w:sz w:val="20"/>
          <w:szCs w:val="20"/>
        </w:rPr>
        <w:t>4</w:t>
      </w:r>
      <w:r w:rsidR="00A12191">
        <w:rPr>
          <w:rFonts w:ascii="Arial" w:hAnsi="Arial" w:cs="Arial"/>
          <w:sz w:val="20"/>
          <w:szCs w:val="20"/>
        </w:rPr>
        <w:t>0</w:t>
      </w:r>
      <w:r w:rsidR="003231F2" w:rsidRPr="0074154F">
        <w:rPr>
          <w:rFonts w:ascii="Arial" w:hAnsi="Arial" w:cs="Arial"/>
          <w:sz w:val="20"/>
          <w:szCs w:val="20"/>
        </w:rPr>
        <w:t>.</w:t>
      </w:r>
      <w:r w:rsidR="00A12191">
        <w:rPr>
          <w:rFonts w:ascii="Arial" w:hAnsi="Arial" w:cs="Arial"/>
          <w:sz w:val="20"/>
          <w:szCs w:val="20"/>
        </w:rPr>
        <w:t>7</w:t>
      </w:r>
      <w:r w:rsidRPr="0074154F">
        <w:rPr>
          <w:rFonts w:ascii="Arial" w:hAnsi="Arial" w:cs="Arial"/>
          <w:sz w:val="20"/>
          <w:szCs w:val="20"/>
        </w:rPr>
        <w:t xml:space="preserve"> millones en el año 2019); beneficios sociales por US$</w:t>
      </w:r>
      <w:r w:rsidR="004A4215">
        <w:rPr>
          <w:rFonts w:ascii="Arial" w:hAnsi="Arial" w:cs="Arial"/>
          <w:sz w:val="20"/>
          <w:szCs w:val="20"/>
        </w:rPr>
        <w:t>12</w:t>
      </w:r>
      <w:r w:rsidR="003231F2" w:rsidRPr="0074154F">
        <w:rPr>
          <w:rFonts w:ascii="Arial" w:hAnsi="Arial" w:cs="Arial"/>
          <w:sz w:val="20"/>
          <w:szCs w:val="20"/>
        </w:rPr>
        <w:t>.</w:t>
      </w:r>
      <w:r w:rsidR="004A4215">
        <w:rPr>
          <w:rFonts w:ascii="Arial" w:hAnsi="Arial" w:cs="Arial"/>
          <w:sz w:val="20"/>
          <w:szCs w:val="20"/>
        </w:rPr>
        <w:t>8</w:t>
      </w:r>
      <w:r w:rsidR="003231F2" w:rsidRPr="0074154F">
        <w:rPr>
          <w:rFonts w:ascii="Arial" w:hAnsi="Arial" w:cs="Arial"/>
          <w:sz w:val="20"/>
          <w:szCs w:val="20"/>
        </w:rPr>
        <w:t xml:space="preserve"> millones</w:t>
      </w:r>
      <w:r w:rsidRPr="0074154F">
        <w:rPr>
          <w:rFonts w:ascii="Arial" w:hAnsi="Arial" w:cs="Arial"/>
          <w:sz w:val="20"/>
          <w:szCs w:val="20"/>
        </w:rPr>
        <w:t xml:space="preserve"> (US$</w:t>
      </w:r>
      <w:r w:rsidR="004A4215">
        <w:rPr>
          <w:rFonts w:ascii="Arial" w:hAnsi="Arial" w:cs="Arial"/>
          <w:sz w:val="20"/>
          <w:szCs w:val="20"/>
        </w:rPr>
        <w:t>9</w:t>
      </w:r>
      <w:r w:rsidR="00E456D0" w:rsidRPr="0074154F">
        <w:rPr>
          <w:rFonts w:ascii="Arial" w:hAnsi="Arial" w:cs="Arial"/>
          <w:sz w:val="20"/>
          <w:szCs w:val="20"/>
        </w:rPr>
        <w:t>.</w:t>
      </w:r>
      <w:r w:rsidR="004A4215">
        <w:rPr>
          <w:rFonts w:ascii="Arial" w:hAnsi="Arial" w:cs="Arial"/>
          <w:sz w:val="20"/>
          <w:szCs w:val="20"/>
        </w:rPr>
        <w:t>5</w:t>
      </w:r>
      <w:r w:rsidRPr="0074154F">
        <w:rPr>
          <w:rFonts w:ascii="Arial" w:hAnsi="Arial" w:cs="Arial"/>
          <w:sz w:val="20"/>
          <w:szCs w:val="20"/>
        </w:rPr>
        <w:t xml:space="preserve"> </w:t>
      </w:r>
      <w:r w:rsidR="003231F2" w:rsidRPr="0074154F">
        <w:rPr>
          <w:rFonts w:ascii="Arial" w:hAnsi="Arial" w:cs="Arial"/>
          <w:sz w:val="20"/>
          <w:szCs w:val="20"/>
        </w:rPr>
        <w:t>millones</w:t>
      </w:r>
      <w:r w:rsidRPr="0074154F">
        <w:rPr>
          <w:rFonts w:ascii="Arial" w:hAnsi="Arial" w:cs="Arial"/>
          <w:sz w:val="20"/>
          <w:szCs w:val="20"/>
        </w:rPr>
        <w:t xml:space="preserve"> en el año 2019); aporte al IESS por US$</w:t>
      </w:r>
      <w:r w:rsidR="004A4215">
        <w:rPr>
          <w:rFonts w:ascii="Arial" w:hAnsi="Arial" w:cs="Arial"/>
          <w:sz w:val="20"/>
          <w:szCs w:val="20"/>
        </w:rPr>
        <w:t>7</w:t>
      </w:r>
      <w:r w:rsidR="003231F2" w:rsidRPr="0074154F">
        <w:rPr>
          <w:rFonts w:ascii="Arial" w:hAnsi="Arial" w:cs="Arial"/>
          <w:sz w:val="20"/>
          <w:szCs w:val="20"/>
        </w:rPr>
        <w:t>.</w:t>
      </w:r>
      <w:r w:rsidR="004A4215">
        <w:rPr>
          <w:rFonts w:ascii="Arial" w:hAnsi="Arial" w:cs="Arial"/>
          <w:sz w:val="20"/>
          <w:szCs w:val="20"/>
        </w:rPr>
        <w:t>1</w:t>
      </w:r>
      <w:r w:rsidR="003231F2" w:rsidRPr="0074154F">
        <w:rPr>
          <w:rFonts w:ascii="Arial" w:hAnsi="Arial" w:cs="Arial"/>
          <w:sz w:val="20"/>
          <w:szCs w:val="20"/>
        </w:rPr>
        <w:t xml:space="preserve"> millones</w:t>
      </w:r>
      <w:r w:rsidRPr="0074154F">
        <w:rPr>
          <w:rFonts w:ascii="Arial" w:hAnsi="Arial" w:cs="Arial"/>
          <w:sz w:val="20"/>
          <w:szCs w:val="20"/>
        </w:rPr>
        <w:t xml:space="preserve"> (US$</w:t>
      </w:r>
      <w:r w:rsidR="004A4215">
        <w:rPr>
          <w:rFonts w:ascii="Arial" w:hAnsi="Arial" w:cs="Arial"/>
          <w:sz w:val="20"/>
          <w:szCs w:val="20"/>
        </w:rPr>
        <w:t>4.3</w:t>
      </w:r>
      <w:r w:rsidR="003231F2" w:rsidRPr="0074154F">
        <w:rPr>
          <w:rFonts w:ascii="Arial" w:hAnsi="Arial" w:cs="Arial"/>
          <w:sz w:val="20"/>
          <w:szCs w:val="20"/>
        </w:rPr>
        <w:t xml:space="preserve"> millones </w:t>
      </w:r>
      <w:r w:rsidRPr="0074154F">
        <w:rPr>
          <w:rFonts w:ascii="Arial" w:hAnsi="Arial" w:cs="Arial"/>
          <w:sz w:val="20"/>
          <w:szCs w:val="20"/>
        </w:rPr>
        <w:t>en el año 2019).</w:t>
      </w:r>
    </w:p>
    <w:p w14:paraId="50724FED" w14:textId="77777777" w:rsidR="00B26EA4" w:rsidRPr="0074154F" w:rsidRDefault="00B26EA4" w:rsidP="00B26EA4">
      <w:pPr>
        <w:pStyle w:val="ListParagraph"/>
        <w:spacing w:after="0" w:line="240" w:lineRule="auto"/>
        <w:ind w:left="993"/>
        <w:jc w:val="both"/>
        <w:rPr>
          <w:rFonts w:ascii="Arial" w:hAnsi="Arial" w:cs="Arial"/>
          <w:b/>
          <w:sz w:val="20"/>
          <w:szCs w:val="20"/>
        </w:rPr>
      </w:pPr>
    </w:p>
    <w:p w14:paraId="54597247" w14:textId="590A0997" w:rsidR="00B87AD1" w:rsidRPr="0074154F" w:rsidRDefault="00B87AD1" w:rsidP="00176704">
      <w:pPr>
        <w:pStyle w:val="ListParagraph"/>
        <w:numPr>
          <w:ilvl w:val="0"/>
          <w:numId w:val="19"/>
        </w:numPr>
        <w:spacing w:after="0" w:line="240" w:lineRule="auto"/>
        <w:ind w:left="993"/>
        <w:jc w:val="both"/>
        <w:rPr>
          <w:rFonts w:ascii="Arial" w:hAnsi="Arial" w:cs="Arial"/>
          <w:bCs/>
          <w:sz w:val="20"/>
          <w:szCs w:val="20"/>
        </w:rPr>
      </w:pPr>
      <w:r w:rsidRPr="0074154F">
        <w:rPr>
          <w:rFonts w:ascii="Arial" w:hAnsi="Arial" w:cs="Arial"/>
          <w:sz w:val="20"/>
          <w:szCs w:val="20"/>
        </w:rPr>
        <w:t>Equipos y materiales</w:t>
      </w:r>
      <w:r w:rsidR="00EE44DE" w:rsidRPr="0074154F">
        <w:rPr>
          <w:rFonts w:ascii="Arial" w:hAnsi="Arial" w:cs="Arial"/>
          <w:sz w:val="20"/>
          <w:szCs w:val="20"/>
        </w:rPr>
        <w:t>, corresponden a material</w:t>
      </w:r>
      <w:r w:rsidRPr="0074154F">
        <w:rPr>
          <w:rFonts w:ascii="Arial" w:hAnsi="Arial" w:cs="Arial"/>
          <w:sz w:val="20"/>
          <w:szCs w:val="20"/>
        </w:rPr>
        <w:t>es</w:t>
      </w:r>
      <w:r w:rsidR="00EE44DE" w:rsidRPr="0074154F">
        <w:rPr>
          <w:rFonts w:ascii="Arial" w:hAnsi="Arial" w:cs="Arial"/>
          <w:sz w:val="20"/>
          <w:szCs w:val="20"/>
        </w:rPr>
        <w:t xml:space="preserve"> de uso general </w:t>
      </w:r>
      <w:r w:rsidRPr="0074154F">
        <w:rPr>
          <w:rFonts w:ascii="Arial" w:hAnsi="Arial" w:cs="Arial"/>
          <w:sz w:val="20"/>
          <w:szCs w:val="20"/>
        </w:rPr>
        <w:t>para provisión y prestación de servicio de internet y servicios de telecomunicaciones.</w:t>
      </w:r>
    </w:p>
    <w:p w14:paraId="711ECD54" w14:textId="1EE4155B" w:rsidR="00B87AD1" w:rsidRPr="0074154F" w:rsidRDefault="00B87AD1" w:rsidP="00176704">
      <w:pPr>
        <w:pStyle w:val="ListParagraph"/>
        <w:numPr>
          <w:ilvl w:val="0"/>
          <w:numId w:val="19"/>
        </w:numPr>
        <w:spacing w:after="0" w:line="240" w:lineRule="auto"/>
        <w:ind w:left="993"/>
        <w:jc w:val="both"/>
        <w:rPr>
          <w:rFonts w:ascii="Arial" w:hAnsi="Arial" w:cs="Arial"/>
          <w:bCs/>
          <w:sz w:val="20"/>
          <w:szCs w:val="20"/>
        </w:rPr>
      </w:pPr>
      <w:r w:rsidRPr="0074154F">
        <w:rPr>
          <w:rFonts w:ascii="Arial" w:hAnsi="Arial" w:cs="Arial"/>
          <w:bCs/>
          <w:sz w:val="20"/>
          <w:szCs w:val="20"/>
        </w:rPr>
        <w:t xml:space="preserve">Compra de servicios de respaldos de internet, corresponden a dispositivos de respaldos de internet </w:t>
      </w:r>
      <w:r w:rsidR="00F77426" w:rsidRPr="0074154F">
        <w:rPr>
          <w:rFonts w:ascii="Arial" w:hAnsi="Arial" w:cs="Arial"/>
          <w:bCs/>
          <w:sz w:val="20"/>
          <w:szCs w:val="20"/>
        </w:rPr>
        <w:t>y</w:t>
      </w:r>
      <w:r w:rsidRPr="0074154F">
        <w:rPr>
          <w:rFonts w:ascii="Arial" w:hAnsi="Arial" w:cs="Arial"/>
          <w:bCs/>
          <w:sz w:val="20"/>
          <w:szCs w:val="20"/>
        </w:rPr>
        <w:t xml:space="preserve"> </w:t>
      </w:r>
      <w:r w:rsidR="004740EF" w:rsidRPr="0074154F">
        <w:rPr>
          <w:rFonts w:ascii="Arial" w:hAnsi="Arial" w:cs="Arial"/>
          <w:bCs/>
          <w:sz w:val="20"/>
          <w:szCs w:val="20"/>
        </w:rPr>
        <w:t>reestructuración</w:t>
      </w:r>
      <w:r w:rsidRPr="0074154F">
        <w:rPr>
          <w:rFonts w:ascii="Arial" w:hAnsi="Arial" w:cs="Arial"/>
          <w:bCs/>
          <w:sz w:val="20"/>
          <w:szCs w:val="20"/>
        </w:rPr>
        <w:t xml:space="preserve"> de redes a nivel nacional.</w:t>
      </w:r>
    </w:p>
    <w:p w14:paraId="4B7A3FEC" w14:textId="21264608" w:rsidR="0008047E" w:rsidRPr="0074154F" w:rsidRDefault="00565B3C" w:rsidP="00B87AD1">
      <w:pPr>
        <w:spacing w:after="0" w:line="240" w:lineRule="auto"/>
        <w:jc w:val="both"/>
        <w:rPr>
          <w:rFonts w:ascii="Arial" w:hAnsi="Arial" w:cs="Arial"/>
          <w:bCs/>
          <w:sz w:val="20"/>
          <w:szCs w:val="20"/>
        </w:rPr>
      </w:pPr>
      <w:r w:rsidRPr="0074154F">
        <w:rPr>
          <w:rFonts w:ascii="Arial" w:hAnsi="Arial" w:cs="Arial"/>
          <w:sz w:val="20"/>
          <w:szCs w:val="20"/>
        </w:rPr>
        <w:t xml:space="preserve">  </w:t>
      </w:r>
    </w:p>
    <w:p w14:paraId="70F796A8" w14:textId="7EC9C0B8" w:rsidR="005119AB" w:rsidRDefault="004740EF" w:rsidP="00E01F40">
      <w:pPr>
        <w:pStyle w:val="ListParagraph"/>
        <w:numPr>
          <w:ilvl w:val="0"/>
          <w:numId w:val="19"/>
        </w:numPr>
        <w:spacing w:after="0" w:line="240" w:lineRule="auto"/>
        <w:ind w:left="993"/>
        <w:jc w:val="both"/>
        <w:rPr>
          <w:rFonts w:ascii="Arial" w:hAnsi="Arial" w:cs="Arial"/>
          <w:bCs/>
          <w:sz w:val="20"/>
          <w:szCs w:val="20"/>
        </w:rPr>
      </w:pPr>
      <w:r w:rsidRPr="0074154F">
        <w:rPr>
          <w:rFonts w:ascii="Arial" w:hAnsi="Arial" w:cs="Arial"/>
          <w:bCs/>
          <w:sz w:val="20"/>
          <w:szCs w:val="20"/>
        </w:rPr>
        <w:t>Depreciación, corresponden a las depreciaciones de propiedades y equipos y de las propiedades de inversión (Edificios).</w:t>
      </w:r>
    </w:p>
    <w:p w14:paraId="3FC6DDFC" w14:textId="77777777" w:rsidR="004A0C57" w:rsidRPr="004A0C57" w:rsidRDefault="004A0C57" w:rsidP="004A0C57">
      <w:pPr>
        <w:pStyle w:val="ListParagraph"/>
        <w:rPr>
          <w:rFonts w:ascii="Arial" w:hAnsi="Arial" w:cs="Arial"/>
          <w:bCs/>
          <w:sz w:val="20"/>
          <w:szCs w:val="20"/>
        </w:rPr>
      </w:pPr>
    </w:p>
    <w:p w14:paraId="1CF3606C" w14:textId="1E192A91" w:rsidR="004A0C57" w:rsidRPr="0074154F" w:rsidRDefault="004A0C57" w:rsidP="00E01F40">
      <w:pPr>
        <w:pStyle w:val="ListParagraph"/>
        <w:numPr>
          <w:ilvl w:val="0"/>
          <w:numId w:val="19"/>
        </w:numPr>
        <w:spacing w:after="0" w:line="240" w:lineRule="auto"/>
        <w:ind w:left="993"/>
        <w:jc w:val="both"/>
        <w:rPr>
          <w:rFonts w:ascii="Arial" w:hAnsi="Arial" w:cs="Arial"/>
          <w:bCs/>
          <w:sz w:val="20"/>
          <w:szCs w:val="20"/>
        </w:rPr>
      </w:pPr>
      <w:r w:rsidRPr="00D25C0B">
        <w:rPr>
          <w:rFonts w:ascii="Arial" w:hAnsi="Arial" w:cs="Arial"/>
          <w:bCs/>
          <w:sz w:val="20"/>
          <w:szCs w:val="20"/>
        </w:rPr>
        <w:t>Amortización por derecho de uso, corresponden a gastos por amortización por aplicación de la “NIIF 16 Arrendamientos” por un monto de US$</w:t>
      </w:r>
      <w:r w:rsidR="004C1730">
        <w:rPr>
          <w:rFonts w:ascii="Arial" w:hAnsi="Arial" w:cs="Arial"/>
          <w:bCs/>
          <w:sz w:val="20"/>
          <w:szCs w:val="20"/>
        </w:rPr>
        <w:t>2</w:t>
      </w:r>
      <w:r w:rsidRPr="00D25C0B">
        <w:rPr>
          <w:rFonts w:ascii="Arial" w:hAnsi="Arial" w:cs="Arial"/>
          <w:bCs/>
          <w:sz w:val="20"/>
          <w:szCs w:val="20"/>
        </w:rPr>
        <w:t>.</w:t>
      </w:r>
      <w:r w:rsidR="004C1730">
        <w:rPr>
          <w:rFonts w:ascii="Arial" w:hAnsi="Arial" w:cs="Arial"/>
          <w:bCs/>
          <w:sz w:val="20"/>
          <w:szCs w:val="20"/>
        </w:rPr>
        <w:t>4</w:t>
      </w:r>
      <w:r w:rsidRPr="00D25C0B">
        <w:rPr>
          <w:rFonts w:ascii="Arial" w:hAnsi="Arial" w:cs="Arial"/>
          <w:bCs/>
          <w:sz w:val="20"/>
          <w:szCs w:val="20"/>
        </w:rPr>
        <w:t xml:space="preserve"> millones, </w:t>
      </w:r>
      <w:r>
        <w:rPr>
          <w:rFonts w:ascii="Arial" w:hAnsi="Arial" w:cs="Arial"/>
          <w:bCs/>
          <w:sz w:val="20"/>
          <w:szCs w:val="20"/>
        </w:rPr>
        <w:t xml:space="preserve">ver </w:t>
      </w:r>
      <w:r w:rsidRPr="00D25C0B">
        <w:rPr>
          <w:rFonts w:ascii="Arial" w:hAnsi="Arial" w:cs="Arial"/>
          <w:bCs/>
          <w:sz w:val="20"/>
          <w:szCs w:val="20"/>
        </w:rPr>
        <w:t>Nota 7.</w:t>
      </w:r>
    </w:p>
    <w:p w14:paraId="7366A6BB" w14:textId="7EE345FA" w:rsidR="006F78C6" w:rsidRPr="0074154F" w:rsidRDefault="006F78C6" w:rsidP="006F78C6">
      <w:pPr>
        <w:pStyle w:val="Heading1"/>
        <w:tabs>
          <w:tab w:val="clear" w:pos="6960"/>
          <w:tab w:val="clear" w:pos="7800"/>
          <w:tab w:val="clear" w:pos="8280"/>
          <w:tab w:val="left" w:pos="7655"/>
        </w:tabs>
        <w:ind w:left="567"/>
        <w:jc w:val="both"/>
        <w:rPr>
          <w:rFonts w:ascii="Arial" w:hAnsi="Arial" w:cs="Arial"/>
          <w:sz w:val="20"/>
          <w:u w:val="single"/>
          <w:lang w:eastAsia="es-EC"/>
        </w:rPr>
      </w:pPr>
    </w:p>
    <w:p w14:paraId="61D847FE" w14:textId="3121A93F" w:rsidR="00B2512B" w:rsidRPr="0074154F" w:rsidRDefault="00B2512B"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eastAsia="es-EC"/>
        </w:rPr>
      </w:pPr>
      <w:r w:rsidRPr="0074154F">
        <w:rPr>
          <w:rFonts w:ascii="Arial" w:hAnsi="Arial" w:cs="Arial"/>
          <w:sz w:val="20"/>
          <w:u w:val="single"/>
          <w:lang w:eastAsia="es-EC"/>
        </w:rPr>
        <w:t xml:space="preserve">PRINCIPALES SALDOS Y TRANSACCIONES CON </w:t>
      </w:r>
      <w:r w:rsidR="00792FBB" w:rsidRPr="0074154F">
        <w:rPr>
          <w:rFonts w:ascii="Arial" w:hAnsi="Arial" w:cs="Arial"/>
          <w:sz w:val="20"/>
          <w:u w:val="single"/>
          <w:lang w:eastAsia="es-EC"/>
        </w:rPr>
        <w:t>PARTES</w:t>
      </w:r>
      <w:r w:rsidRPr="0074154F">
        <w:rPr>
          <w:rFonts w:ascii="Arial" w:hAnsi="Arial" w:cs="Arial"/>
          <w:sz w:val="20"/>
          <w:u w:val="single"/>
          <w:lang w:eastAsia="es-EC"/>
        </w:rPr>
        <w:t xml:space="preserve"> RELACIONADAS</w:t>
      </w:r>
    </w:p>
    <w:p w14:paraId="414ED1E3" w14:textId="77777777" w:rsidR="00B2512B" w:rsidRPr="0074154F" w:rsidRDefault="00B2512B" w:rsidP="00413455">
      <w:pPr>
        <w:spacing w:after="0" w:line="240" w:lineRule="auto"/>
        <w:ind w:left="540"/>
        <w:rPr>
          <w:rFonts w:ascii="Arial" w:eastAsia="Times New Roman" w:hAnsi="Arial" w:cs="Arial"/>
          <w:sz w:val="20"/>
          <w:szCs w:val="20"/>
          <w:lang w:val="es-ES_tradnl" w:eastAsia="es-EC"/>
        </w:rPr>
      </w:pPr>
    </w:p>
    <w:p w14:paraId="3EAD1CBB" w14:textId="77777777" w:rsidR="00792FBB" w:rsidRPr="0074154F" w:rsidRDefault="00792FBB" w:rsidP="00792FBB">
      <w:pPr>
        <w:spacing w:after="0" w:line="240" w:lineRule="auto"/>
        <w:ind w:left="567"/>
        <w:jc w:val="both"/>
        <w:rPr>
          <w:rFonts w:ascii="Arial" w:hAnsi="Arial" w:cs="Arial"/>
          <w:sz w:val="20"/>
          <w:szCs w:val="20"/>
        </w:rPr>
      </w:pPr>
      <w:r w:rsidRPr="0074154F">
        <w:rPr>
          <w:rFonts w:ascii="Arial" w:hAnsi="Arial" w:cs="Arial"/>
          <w:sz w:val="20"/>
          <w:szCs w:val="20"/>
        </w:rPr>
        <w:t>Los principales saldos y transacciones comparativos con partes relacionadas efectuadas de común acuerdo con ellas incluyen las siguientes:</w:t>
      </w:r>
    </w:p>
    <w:p w14:paraId="0132A8D8" w14:textId="0F840C16" w:rsidR="00A2030E" w:rsidRPr="0074154F" w:rsidRDefault="00A2030E" w:rsidP="00413455">
      <w:pPr>
        <w:spacing w:after="0" w:line="240" w:lineRule="auto"/>
        <w:ind w:left="540"/>
        <w:jc w:val="both"/>
        <w:rPr>
          <w:rFonts w:ascii="Arial" w:eastAsia="Times New Roman" w:hAnsi="Arial" w:cs="Arial"/>
          <w:sz w:val="20"/>
          <w:szCs w:val="20"/>
          <w:lang w:eastAsia="es-EC"/>
        </w:rPr>
      </w:pPr>
    </w:p>
    <w:tbl>
      <w:tblPr>
        <w:tblW w:w="8503" w:type="dxa"/>
        <w:jc w:val="right"/>
        <w:tblCellMar>
          <w:left w:w="70" w:type="dxa"/>
          <w:right w:w="70" w:type="dxa"/>
        </w:tblCellMar>
        <w:tblLook w:val="04A0" w:firstRow="1" w:lastRow="0" w:firstColumn="1" w:lastColumn="0" w:noHBand="0" w:noVBand="1"/>
      </w:tblPr>
      <w:tblGrid>
        <w:gridCol w:w="4821"/>
        <w:gridCol w:w="2015"/>
        <w:gridCol w:w="219"/>
        <w:gridCol w:w="2015"/>
      </w:tblGrid>
      <w:tr w:rsidR="00F15582" w:rsidRPr="0074154F" w14:paraId="4B55A9CF" w14:textId="77777777" w:rsidTr="007246EE">
        <w:trPr>
          <w:trHeight w:val="283"/>
          <w:jc w:val="right"/>
        </w:trPr>
        <w:tc>
          <w:tcPr>
            <w:tcW w:w="5272" w:type="dxa"/>
            <w:tcBorders>
              <w:top w:val="nil"/>
              <w:left w:val="nil"/>
              <w:bottom w:val="nil"/>
              <w:right w:val="nil"/>
            </w:tcBorders>
            <w:shd w:val="clear" w:color="auto" w:fill="auto"/>
            <w:noWrap/>
            <w:vAlign w:val="bottom"/>
            <w:hideMark/>
          </w:tcPr>
          <w:p w14:paraId="77D7E411" w14:textId="77777777" w:rsidR="00F15582" w:rsidRPr="0074154F" w:rsidRDefault="00F15582" w:rsidP="00413455">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305548ED" w14:textId="4056342B" w:rsidR="00F15582" w:rsidRPr="0074154F" w:rsidRDefault="00F15582" w:rsidP="00F267C9">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w:t>
            </w:r>
            <w:r w:rsidR="00A02C8F" w:rsidRPr="0074154F">
              <w:rPr>
                <w:rFonts w:ascii="Arial" w:eastAsia="Times New Roman" w:hAnsi="Arial" w:cs="Arial"/>
                <w:b/>
                <w:bCs/>
                <w:color w:val="000000"/>
                <w:sz w:val="20"/>
                <w:szCs w:val="20"/>
                <w:lang w:eastAsia="es-EC"/>
              </w:rPr>
              <w:t>20</w:t>
            </w:r>
          </w:p>
        </w:tc>
        <w:tc>
          <w:tcPr>
            <w:tcW w:w="227" w:type="dxa"/>
            <w:tcBorders>
              <w:top w:val="nil"/>
              <w:left w:val="nil"/>
              <w:bottom w:val="nil"/>
              <w:right w:val="nil"/>
            </w:tcBorders>
            <w:shd w:val="clear" w:color="auto" w:fill="auto"/>
            <w:noWrap/>
            <w:vAlign w:val="bottom"/>
            <w:hideMark/>
          </w:tcPr>
          <w:p w14:paraId="52DB838A" w14:textId="77777777" w:rsidR="00F15582" w:rsidRPr="0074154F" w:rsidRDefault="00F15582" w:rsidP="00F267C9">
            <w:pPr>
              <w:spacing w:after="0" w:line="240" w:lineRule="auto"/>
              <w:ind w:right="69"/>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4A521DFF" w14:textId="616475A7" w:rsidR="00F15582" w:rsidRPr="0074154F" w:rsidRDefault="00F15582" w:rsidP="00F267C9">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31/12/201</w:t>
            </w:r>
            <w:r w:rsidR="00A02C8F" w:rsidRPr="0074154F">
              <w:rPr>
                <w:rFonts w:ascii="Arial" w:eastAsia="Times New Roman" w:hAnsi="Arial" w:cs="Arial"/>
                <w:b/>
                <w:bCs/>
                <w:color w:val="000000"/>
                <w:sz w:val="20"/>
                <w:szCs w:val="20"/>
                <w:lang w:eastAsia="es-EC"/>
              </w:rPr>
              <w:t>9</w:t>
            </w:r>
          </w:p>
        </w:tc>
      </w:tr>
      <w:tr w:rsidR="00704FCD" w:rsidRPr="0074154F" w14:paraId="2CECCC1A" w14:textId="77777777" w:rsidTr="00BA0B15">
        <w:trPr>
          <w:trHeight w:val="227"/>
          <w:jc w:val="right"/>
        </w:trPr>
        <w:tc>
          <w:tcPr>
            <w:tcW w:w="5272" w:type="dxa"/>
            <w:tcBorders>
              <w:top w:val="nil"/>
              <w:left w:val="nil"/>
              <w:right w:val="nil"/>
            </w:tcBorders>
            <w:shd w:val="clear" w:color="auto" w:fill="auto"/>
            <w:noWrap/>
            <w:vAlign w:val="bottom"/>
          </w:tcPr>
          <w:p w14:paraId="27FF7C4F" w14:textId="77777777" w:rsidR="00704FCD" w:rsidRPr="0074154F" w:rsidRDefault="00704FCD" w:rsidP="00413455">
            <w:pPr>
              <w:spacing w:after="0" w:line="240" w:lineRule="auto"/>
              <w:ind w:left="-70"/>
              <w:rPr>
                <w:rFonts w:ascii="Arial" w:eastAsia="Times New Roman" w:hAnsi="Arial" w:cs="Arial"/>
                <w:b/>
                <w:bCs/>
                <w:sz w:val="20"/>
                <w:szCs w:val="20"/>
                <w:u w:val="single"/>
                <w:lang w:eastAsia="es-EC"/>
              </w:rPr>
            </w:pPr>
          </w:p>
        </w:tc>
        <w:tc>
          <w:tcPr>
            <w:tcW w:w="1502" w:type="dxa"/>
            <w:tcBorders>
              <w:top w:val="single" w:sz="8" w:space="0" w:color="auto"/>
              <w:left w:val="nil"/>
              <w:right w:val="nil"/>
            </w:tcBorders>
            <w:shd w:val="clear" w:color="auto" w:fill="auto"/>
            <w:noWrap/>
            <w:vAlign w:val="bottom"/>
          </w:tcPr>
          <w:p w14:paraId="0F50B74C" w14:textId="77777777" w:rsidR="00704FCD" w:rsidRPr="0074154F" w:rsidRDefault="00704FCD" w:rsidP="00413455">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tcPr>
          <w:p w14:paraId="269494DC" w14:textId="77777777" w:rsidR="00704FCD" w:rsidRPr="0074154F" w:rsidRDefault="00704FCD" w:rsidP="00413455">
            <w:pPr>
              <w:spacing w:after="0" w:line="240" w:lineRule="auto"/>
              <w:rPr>
                <w:rFonts w:ascii="Arial" w:eastAsia="Times New Roman" w:hAnsi="Arial" w:cs="Arial"/>
                <w:sz w:val="20"/>
                <w:szCs w:val="20"/>
                <w:lang w:eastAsia="es-EC"/>
              </w:rPr>
            </w:pPr>
          </w:p>
        </w:tc>
        <w:tc>
          <w:tcPr>
            <w:tcW w:w="1502" w:type="dxa"/>
            <w:tcBorders>
              <w:top w:val="single" w:sz="8" w:space="0" w:color="auto"/>
              <w:left w:val="nil"/>
              <w:right w:val="nil"/>
            </w:tcBorders>
            <w:shd w:val="clear" w:color="auto" w:fill="auto"/>
            <w:noWrap/>
            <w:vAlign w:val="bottom"/>
          </w:tcPr>
          <w:p w14:paraId="2D1F82E1" w14:textId="77777777" w:rsidR="00704FCD" w:rsidRPr="0074154F" w:rsidRDefault="00704FCD" w:rsidP="00413455">
            <w:pPr>
              <w:spacing w:after="0" w:line="240" w:lineRule="auto"/>
              <w:rPr>
                <w:rFonts w:ascii="Arial" w:eastAsia="Times New Roman" w:hAnsi="Arial" w:cs="Arial"/>
                <w:sz w:val="20"/>
                <w:szCs w:val="20"/>
                <w:lang w:eastAsia="es-EC"/>
              </w:rPr>
            </w:pPr>
          </w:p>
        </w:tc>
      </w:tr>
      <w:tr w:rsidR="00F15582" w:rsidRPr="0074154F" w14:paraId="347C9A9D" w14:textId="77777777" w:rsidTr="007246EE">
        <w:trPr>
          <w:trHeight w:val="283"/>
          <w:jc w:val="right"/>
        </w:trPr>
        <w:tc>
          <w:tcPr>
            <w:tcW w:w="5272" w:type="dxa"/>
            <w:tcBorders>
              <w:top w:val="nil"/>
              <w:left w:val="nil"/>
              <w:right w:val="nil"/>
            </w:tcBorders>
            <w:shd w:val="clear" w:color="auto" w:fill="auto"/>
            <w:noWrap/>
            <w:vAlign w:val="bottom"/>
            <w:hideMark/>
          </w:tcPr>
          <w:p w14:paraId="7A554BD3" w14:textId="77777777" w:rsidR="00F15582" w:rsidRPr="0074154F" w:rsidRDefault="00F15582" w:rsidP="00413455">
            <w:pPr>
              <w:spacing w:after="0" w:line="240" w:lineRule="auto"/>
              <w:ind w:left="-70"/>
              <w:rPr>
                <w:rFonts w:ascii="Arial" w:eastAsia="Times New Roman" w:hAnsi="Arial" w:cs="Arial"/>
                <w:b/>
                <w:bCs/>
                <w:i/>
                <w:iCs/>
                <w:color w:val="000000"/>
                <w:sz w:val="20"/>
                <w:szCs w:val="20"/>
                <w:u w:val="single"/>
                <w:lang w:eastAsia="es-EC"/>
              </w:rPr>
            </w:pPr>
            <w:r w:rsidRPr="0074154F">
              <w:rPr>
                <w:rFonts w:ascii="Arial" w:eastAsia="Times New Roman" w:hAnsi="Arial" w:cs="Arial"/>
                <w:b/>
                <w:bCs/>
                <w:i/>
                <w:iCs/>
                <w:sz w:val="20"/>
                <w:szCs w:val="20"/>
                <w:u w:val="single"/>
                <w:lang w:eastAsia="es-EC"/>
              </w:rPr>
              <w:t>Cuentas por cobrar</w:t>
            </w:r>
            <w:r w:rsidRPr="0074154F">
              <w:rPr>
                <w:rFonts w:ascii="Arial" w:eastAsia="Times New Roman" w:hAnsi="Arial" w:cs="Arial"/>
                <w:b/>
                <w:i/>
                <w:iCs/>
                <w:sz w:val="20"/>
                <w:szCs w:val="20"/>
                <w:lang w:eastAsia="es-EC"/>
              </w:rPr>
              <w:t>:</w:t>
            </w:r>
          </w:p>
        </w:tc>
        <w:tc>
          <w:tcPr>
            <w:tcW w:w="1502" w:type="dxa"/>
            <w:tcBorders>
              <w:top w:val="nil"/>
              <w:left w:val="nil"/>
              <w:right w:val="nil"/>
            </w:tcBorders>
            <w:shd w:val="clear" w:color="auto" w:fill="auto"/>
            <w:noWrap/>
            <w:vAlign w:val="bottom"/>
            <w:hideMark/>
          </w:tcPr>
          <w:p w14:paraId="354AD730" w14:textId="77777777" w:rsidR="00F15582" w:rsidRPr="0074154F" w:rsidRDefault="00F15582" w:rsidP="00413455">
            <w:pPr>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hideMark/>
          </w:tcPr>
          <w:p w14:paraId="132E17E5" w14:textId="77777777" w:rsidR="00F15582" w:rsidRPr="0074154F" w:rsidRDefault="00F15582" w:rsidP="00413455">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hideMark/>
          </w:tcPr>
          <w:p w14:paraId="6A575C4B" w14:textId="77777777" w:rsidR="00F15582" w:rsidRPr="0074154F" w:rsidRDefault="00F15582" w:rsidP="00413455">
            <w:pPr>
              <w:spacing w:after="0" w:line="240" w:lineRule="auto"/>
              <w:rPr>
                <w:rFonts w:ascii="Arial" w:eastAsia="Times New Roman" w:hAnsi="Arial" w:cs="Arial"/>
                <w:sz w:val="20"/>
                <w:szCs w:val="20"/>
                <w:lang w:eastAsia="es-EC"/>
              </w:rPr>
            </w:pPr>
          </w:p>
        </w:tc>
      </w:tr>
      <w:tr w:rsidR="00CE21C4" w:rsidRPr="0074154F" w14:paraId="67B19C02" w14:textId="77777777" w:rsidTr="007246EE">
        <w:trPr>
          <w:trHeight w:val="283"/>
          <w:jc w:val="right"/>
        </w:trPr>
        <w:tc>
          <w:tcPr>
            <w:tcW w:w="5272" w:type="dxa"/>
            <w:tcBorders>
              <w:top w:val="nil"/>
              <w:left w:val="nil"/>
              <w:right w:val="nil"/>
            </w:tcBorders>
            <w:shd w:val="clear" w:color="auto" w:fill="auto"/>
            <w:noWrap/>
            <w:vAlign w:val="bottom"/>
          </w:tcPr>
          <w:p w14:paraId="776D4204" w14:textId="1A51A10E" w:rsidR="00CE21C4" w:rsidRPr="00CE21C4" w:rsidRDefault="00CE21C4" w:rsidP="00413455">
            <w:pPr>
              <w:spacing w:after="0" w:line="240" w:lineRule="auto"/>
              <w:ind w:left="-70"/>
              <w:rPr>
                <w:rFonts w:ascii="Arial" w:eastAsia="Times New Roman" w:hAnsi="Arial" w:cs="Arial"/>
                <w:sz w:val="20"/>
                <w:szCs w:val="20"/>
                <w:lang w:eastAsia="es-EC"/>
              </w:rPr>
            </w:pPr>
            <w:r w:rsidRPr="00CE21C4">
              <w:rPr>
                <w:rFonts w:ascii="Arial" w:eastAsia="Times New Roman" w:hAnsi="Arial" w:cs="Arial"/>
                <w:sz w:val="20"/>
                <w:szCs w:val="20"/>
                <w:lang w:eastAsia="es-EC"/>
              </w:rPr>
              <w:t xml:space="preserve">  Cable Andino Inc.</w:t>
            </w:r>
          </w:p>
        </w:tc>
        <w:tc>
          <w:tcPr>
            <w:tcW w:w="1502" w:type="dxa"/>
            <w:tcBorders>
              <w:top w:val="nil"/>
              <w:left w:val="nil"/>
              <w:right w:val="nil"/>
            </w:tcBorders>
            <w:shd w:val="clear" w:color="auto" w:fill="auto"/>
            <w:noWrap/>
            <w:vAlign w:val="bottom"/>
          </w:tcPr>
          <w:p w14:paraId="358A8F50" w14:textId="3D2002DC" w:rsidR="00CE21C4" w:rsidRPr="0074154F" w:rsidRDefault="00CE21C4" w:rsidP="001C6CC4">
            <w:pPr>
              <w:spacing w:after="0" w:line="240" w:lineRule="auto"/>
              <w:ind w:left="47" w:right="-246"/>
              <w:jc w:val="center"/>
              <w:rPr>
                <w:rFonts w:ascii="Arial" w:eastAsia="Times New Roman" w:hAnsi="Arial" w:cs="Arial"/>
                <w:sz w:val="20"/>
                <w:szCs w:val="20"/>
                <w:lang w:eastAsia="es-EC"/>
              </w:rPr>
            </w:pPr>
            <w:r>
              <w:rPr>
                <w:rFonts w:ascii="Arial" w:eastAsia="Times New Roman" w:hAnsi="Arial" w:cs="Arial"/>
                <w:sz w:val="20"/>
                <w:szCs w:val="20"/>
                <w:lang w:eastAsia="es-EC"/>
              </w:rPr>
              <w:t>4,656,577</w:t>
            </w:r>
          </w:p>
        </w:tc>
        <w:tc>
          <w:tcPr>
            <w:tcW w:w="227" w:type="dxa"/>
            <w:tcBorders>
              <w:top w:val="nil"/>
              <w:left w:val="nil"/>
              <w:right w:val="nil"/>
            </w:tcBorders>
            <w:shd w:val="clear" w:color="auto" w:fill="auto"/>
            <w:noWrap/>
            <w:vAlign w:val="bottom"/>
          </w:tcPr>
          <w:p w14:paraId="1FA8AD48" w14:textId="77777777" w:rsidR="00CE21C4" w:rsidRPr="0074154F" w:rsidRDefault="00CE21C4" w:rsidP="00413455">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50C65FF" w14:textId="3243B0E2" w:rsidR="00CE21C4" w:rsidRPr="0074154F" w:rsidRDefault="00CE21C4" w:rsidP="001C6CC4">
            <w:pPr>
              <w:spacing w:after="0" w:line="240" w:lineRule="auto"/>
              <w:ind w:left="301"/>
              <w:jc w:val="center"/>
              <w:rPr>
                <w:rFonts w:ascii="Arial" w:eastAsia="Times New Roman" w:hAnsi="Arial" w:cs="Arial"/>
                <w:sz w:val="20"/>
                <w:szCs w:val="20"/>
                <w:lang w:eastAsia="es-EC"/>
              </w:rPr>
            </w:pPr>
            <w:r>
              <w:rPr>
                <w:rFonts w:ascii="Arial" w:eastAsia="Times New Roman" w:hAnsi="Arial" w:cs="Arial"/>
                <w:sz w:val="20"/>
                <w:szCs w:val="20"/>
                <w:lang w:eastAsia="es-EC"/>
              </w:rPr>
              <w:t>4,315,558</w:t>
            </w:r>
          </w:p>
        </w:tc>
      </w:tr>
      <w:tr w:rsidR="00153C78" w:rsidRPr="0074154F" w14:paraId="17807663" w14:textId="77777777" w:rsidTr="007246EE">
        <w:trPr>
          <w:trHeight w:val="283"/>
          <w:jc w:val="right"/>
        </w:trPr>
        <w:tc>
          <w:tcPr>
            <w:tcW w:w="5272" w:type="dxa"/>
            <w:tcBorders>
              <w:top w:val="nil"/>
              <w:left w:val="nil"/>
              <w:right w:val="nil"/>
            </w:tcBorders>
            <w:shd w:val="clear" w:color="auto" w:fill="auto"/>
            <w:noWrap/>
            <w:vAlign w:val="bottom"/>
          </w:tcPr>
          <w:p w14:paraId="72E7546F" w14:textId="274D5BD6" w:rsidR="00153C78" w:rsidRPr="0074154F" w:rsidRDefault="00153C78" w:rsidP="00153C78">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w:t>
            </w:r>
            <w:proofErr w:type="spellStart"/>
            <w:r w:rsidRPr="0074154F">
              <w:rPr>
                <w:rFonts w:ascii="Arial" w:eastAsia="Times New Roman" w:hAnsi="Arial" w:cs="Arial"/>
                <w:color w:val="000000"/>
                <w:sz w:val="20"/>
                <w:szCs w:val="20"/>
                <w:lang w:eastAsia="es-EC"/>
              </w:rPr>
              <w:t>Latamfiberhome</w:t>
            </w:r>
            <w:proofErr w:type="spellEnd"/>
            <w:r w:rsidRPr="0074154F">
              <w:rPr>
                <w:rFonts w:ascii="Arial" w:eastAsia="Times New Roman" w:hAnsi="Arial" w:cs="Arial"/>
                <w:color w:val="000000"/>
                <w:sz w:val="20"/>
                <w:szCs w:val="20"/>
                <w:lang w:eastAsia="es-EC"/>
              </w:rPr>
              <w:t xml:space="preserve"> Cable </w:t>
            </w:r>
            <w:proofErr w:type="spellStart"/>
            <w:r w:rsidRPr="0074154F">
              <w:rPr>
                <w:rFonts w:ascii="Arial" w:eastAsia="Times New Roman" w:hAnsi="Arial" w:cs="Arial"/>
                <w:color w:val="000000"/>
                <w:sz w:val="20"/>
                <w:szCs w:val="20"/>
                <w:lang w:eastAsia="es-EC"/>
              </w:rPr>
              <w:t>C.Ltda</w:t>
            </w:r>
            <w:proofErr w:type="spellEnd"/>
            <w:r w:rsidRPr="0074154F">
              <w:rPr>
                <w:rFonts w:ascii="Arial" w:eastAsia="Times New Roman" w:hAnsi="Arial" w:cs="Arial"/>
                <w:color w:val="000000"/>
                <w:sz w:val="20"/>
                <w:szCs w:val="20"/>
                <w:lang w:eastAsia="es-EC"/>
              </w:rPr>
              <w:t>.</w:t>
            </w:r>
          </w:p>
        </w:tc>
        <w:tc>
          <w:tcPr>
            <w:tcW w:w="1502" w:type="dxa"/>
            <w:tcBorders>
              <w:top w:val="nil"/>
              <w:left w:val="nil"/>
              <w:right w:val="nil"/>
            </w:tcBorders>
            <w:shd w:val="clear" w:color="auto" w:fill="auto"/>
            <w:noWrap/>
            <w:vAlign w:val="bottom"/>
          </w:tcPr>
          <w:p w14:paraId="2F9F17D8" w14:textId="47125755" w:rsidR="00153C78" w:rsidRPr="0074154F" w:rsidRDefault="00CE21C4" w:rsidP="00153C7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4,150,764</w:t>
            </w:r>
          </w:p>
        </w:tc>
        <w:tc>
          <w:tcPr>
            <w:tcW w:w="227" w:type="dxa"/>
            <w:tcBorders>
              <w:top w:val="nil"/>
              <w:left w:val="nil"/>
              <w:right w:val="nil"/>
            </w:tcBorders>
            <w:shd w:val="clear" w:color="auto" w:fill="auto"/>
            <w:noWrap/>
            <w:vAlign w:val="bottom"/>
          </w:tcPr>
          <w:p w14:paraId="05627424" w14:textId="77777777" w:rsidR="00153C78" w:rsidRPr="0074154F" w:rsidRDefault="00153C78" w:rsidP="00153C7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2D0E452C" w14:textId="5DC2F7CC" w:rsidR="00153C78" w:rsidRPr="0074154F" w:rsidRDefault="00CE21C4" w:rsidP="00153C7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2,077,739</w:t>
            </w:r>
          </w:p>
        </w:tc>
      </w:tr>
      <w:tr w:rsidR="00153C78" w:rsidRPr="0074154F" w14:paraId="21831261" w14:textId="77777777" w:rsidTr="008146FA">
        <w:trPr>
          <w:trHeight w:val="283"/>
          <w:jc w:val="right"/>
        </w:trPr>
        <w:tc>
          <w:tcPr>
            <w:tcW w:w="5272" w:type="dxa"/>
            <w:tcBorders>
              <w:top w:val="nil"/>
              <w:left w:val="nil"/>
              <w:right w:val="nil"/>
            </w:tcBorders>
            <w:shd w:val="clear" w:color="auto" w:fill="auto"/>
            <w:noWrap/>
            <w:vAlign w:val="bottom"/>
          </w:tcPr>
          <w:p w14:paraId="3A1B2B7B" w14:textId="58B38250" w:rsidR="00153C78" w:rsidRPr="0074154F" w:rsidRDefault="00153C78" w:rsidP="00153C78">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Transcorpecuador</w:t>
            </w:r>
            <w:proofErr w:type="spellEnd"/>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Transire</w:t>
            </w:r>
            <w:proofErr w:type="spellEnd"/>
          </w:p>
        </w:tc>
        <w:tc>
          <w:tcPr>
            <w:tcW w:w="1502" w:type="dxa"/>
            <w:tcBorders>
              <w:top w:val="nil"/>
              <w:left w:val="nil"/>
              <w:right w:val="nil"/>
            </w:tcBorders>
            <w:shd w:val="clear" w:color="auto" w:fill="auto"/>
            <w:noWrap/>
            <w:vAlign w:val="bottom"/>
          </w:tcPr>
          <w:p w14:paraId="3F5FD637" w14:textId="4AF53D6A" w:rsidR="00153C78" w:rsidRPr="0074154F" w:rsidRDefault="00CE21C4" w:rsidP="00153C7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1,721,937</w:t>
            </w:r>
          </w:p>
        </w:tc>
        <w:tc>
          <w:tcPr>
            <w:tcW w:w="227" w:type="dxa"/>
            <w:tcBorders>
              <w:top w:val="nil"/>
              <w:left w:val="nil"/>
              <w:right w:val="nil"/>
            </w:tcBorders>
            <w:shd w:val="clear" w:color="auto" w:fill="auto"/>
            <w:noWrap/>
            <w:vAlign w:val="bottom"/>
          </w:tcPr>
          <w:p w14:paraId="5AA9CF39" w14:textId="77777777" w:rsidR="00153C78" w:rsidRPr="0074154F" w:rsidRDefault="00153C78" w:rsidP="00153C78">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3F7FB658" w14:textId="35AC054B" w:rsidR="00153C78" w:rsidRPr="0074154F" w:rsidRDefault="00CE21C4" w:rsidP="00153C78">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3,443,375</w:t>
            </w:r>
          </w:p>
        </w:tc>
      </w:tr>
      <w:tr w:rsidR="001224E8" w:rsidRPr="0074154F" w14:paraId="0F04ED8D" w14:textId="77777777" w:rsidTr="008146FA">
        <w:trPr>
          <w:trHeight w:val="283"/>
          <w:jc w:val="right"/>
        </w:trPr>
        <w:tc>
          <w:tcPr>
            <w:tcW w:w="5272" w:type="dxa"/>
            <w:tcBorders>
              <w:top w:val="nil"/>
              <w:left w:val="nil"/>
              <w:right w:val="nil"/>
            </w:tcBorders>
            <w:shd w:val="clear" w:color="auto" w:fill="auto"/>
            <w:noWrap/>
            <w:vAlign w:val="bottom"/>
          </w:tcPr>
          <w:p w14:paraId="079EF5BB" w14:textId="32206C2B" w:rsidR="001224E8" w:rsidRPr="0074154F" w:rsidRDefault="001224E8" w:rsidP="001224E8">
            <w:pPr>
              <w:spacing w:after="0" w:line="240" w:lineRule="auto"/>
              <w:rPr>
                <w:rFonts w:ascii="Arial" w:eastAsia="Times New Roman" w:hAnsi="Arial" w:cs="Arial"/>
                <w:color w:val="000000"/>
                <w:sz w:val="20"/>
                <w:szCs w:val="20"/>
                <w:lang w:val="en-US" w:eastAsia="es-EC"/>
              </w:rPr>
            </w:pPr>
            <w:r w:rsidRPr="0074154F">
              <w:rPr>
                <w:rFonts w:ascii="Arial" w:eastAsia="Times New Roman" w:hAnsi="Arial" w:cs="Arial"/>
                <w:color w:val="000000"/>
                <w:sz w:val="20"/>
                <w:szCs w:val="20"/>
                <w:lang w:val="en-US" w:eastAsia="es-EC"/>
              </w:rPr>
              <w:t xml:space="preserve"> Telsoterra S.A.</w:t>
            </w:r>
          </w:p>
        </w:tc>
        <w:tc>
          <w:tcPr>
            <w:tcW w:w="1502" w:type="dxa"/>
            <w:tcBorders>
              <w:top w:val="nil"/>
              <w:left w:val="nil"/>
              <w:bottom w:val="single" w:sz="6" w:space="0" w:color="auto"/>
              <w:right w:val="nil"/>
            </w:tcBorders>
            <w:shd w:val="clear" w:color="auto" w:fill="auto"/>
            <w:noWrap/>
            <w:vAlign w:val="bottom"/>
          </w:tcPr>
          <w:p w14:paraId="7845AAE5" w14:textId="20E287C3" w:rsidR="001224E8" w:rsidRDefault="001224E8" w:rsidP="001224E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1,282,511</w:t>
            </w:r>
          </w:p>
        </w:tc>
        <w:tc>
          <w:tcPr>
            <w:tcW w:w="227" w:type="dxa"/>
            <w:tcBorders>
              <w:top w:val="nil"/>
              <w:left w:val="nil"/>
              <w:bottom w:val="single" w:sz="6" w:space="0" w:color="auto"/>
              <w:right w:val="nil"/>
            </w:tcBorders>
            <w:shd w:val="clear" w:color="auto" w:fill="auto"/>
            <w:noWrap/>
            <w:vAlign w:val="bottom"/>
          </w:tcPr>
          <w:p w14:paraId="23BA1A97" w14:textId="77777777" w:rsidR="001224E8" w:rsidRPr="0074154F" w:rsidRDefault="001224E8" w:rsidP="001224E8">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359ACF06" w14:textId="2D7F0B06" w:rsidR="001224E8" w:rsidRDefault="001224E8" w:rsidP="001224E8">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sz w:val="20"/>
                <w:szCs w:val="20"/>
                <w:lang w:eastAsia="es-EC"/>
              </w:rPr>
              <w:t>1,331,732</w:t>
            </w:r>
          </w:p>
        </w:tc>
      </w:tr>
      <w:tr w:rsidR="008146FA" w:rsidRPr="0074154F" w14:paraId="54519368" w14:textId="77777777" w:rsidTr="008146FA">
        <w:trPr>
          <w:trHeight w:val="283"/>
          <w:jc w:val="right"/>
        </w:trPr>
        <w:tc>
          <w:tcPr>
            <w:tcW w:w="5272" w:type="dxa"/>
            <w:tcBorders>
              <w:top w:val="nil"/>
              <w:left w:val="nil"/>
              <w:right w:val="nil"/>
            </w:tcBorders>
            <w:shd w:val="clear" w:color="auto" w:fill="auto"/>
            <w:noWrap/>
            <w:vAlign w:val="bottom"/>
          </w:tcPr>
          <w:p w14:paraId="4DAB8249" w14:textId="77777777" w:rsidR="008146FA" w:rsidRPr="0074154F" w:rsidRDefault="008146FA" w:rsidP="001224E8">
            <w:pPr>
              <w:spacing w:after="0" w:line="240" w:lineRule="auto"/>
              <w:rPr>
                <w:rFonts w:ascii="Arial" w:eastAsia="Times New Roman" w:hAnsi="Arial" w:cs="Arial"/>
                <w:color w:val="000000"/>
                <w:sz w:val="20"/>
                <w:szCs w:val="20"/>
                <w:lang w:val="en-US" w:eastAsia="es-EC"/>
              </w:rPr>
            </w:pPr>
          </w:p>
        </w:tc>
        <w:tc>
          <w:tcPr>
            <w:tcW w:w="1502" w:type="dxa"/>
            <w:tcBorders>
              <w:top w:val="single" w:sz="6" w:space="0" w:color="auto"/>
              <w:left w:val="nil"/>
              <w:right w:val="nil"/>
            </w:tcBorders>
            <w:shd w:val="clear" w:color="auto" w:fill="auto"/>
            <w:noWrap/>
            <w:vAlign w:val="bottom"/>
          </w:tcPr>
          <w:p w14:paraId="47B1FF30" w14:textId="77777777" w:rsidR="008146FA" w:rsidRDefault="008146FA" w:rsidP="001224E8">
            <w:pPr>
              <w:tabs>
                <w:tab w:val="decimal" w:pos="1276"/>
              </w:tabs>
              <w:spacing w:after="0" w:line="240" w:lineRule="auto"/>
              <w:rPr>
                <w:rFonts w:ascii="Arial" w:eastAsia="Times New Roman" w:hAnsi="Arial" w:cs="Arial"/>
                <w:sz w:val="20"/>
                <w:szCs w:val="20"/>
                <w:lang w:eastAsia="es-EC"/>
              </w:rPr>
            </w:pPr>
          </w:p>
        </w:tc>
        <w:tc>
          <w:tcPr>
            <w:tcW w:w="227" w:type="dxa"/>
            <w:tcBorders>
              <w:top w:val="single" w:sz="6" w:space="0" w:color="auto"/>
              <w:left w:val="nil"/>
              <w:right w:val="nil"/>
            </w:tcBorders>
            <w:shd w:val="clear" w:color="auto" w:fill="auto"/>
            <w:noWrap/>
            <w:vAlign w:val="bottom"/>
          </w:tcPr>
          <w:p w14:paraId="1297B805" w14:textId="77777777" w:rsidR="008146FA" w:rsidRPr="0074154F" w:rsidRDefault="008146FA" w:rsidP="001224E8">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617B5AA7" w14:textId="77777777" w:rsidR="008146FA" w:rsidRDefault="008146FA" w:rsidP="001224E8">
            <w:pPr>
              <w:tabs>
                <w:tab w:val="decimal" w:pos="1276"/>
              </w:tabs>
              <w:spacing w:after="0" w:line="240" w:lineRule="auto"/>
              <w:rPr>
                <w:rFonts w:ascii="Arial" w:eastAsia="Times New Roman" w:hAnsi="Arial" w:cs="Arial"/>
                <w:sz w:val="20"/>
                <w:szCs w:val="20"/>
                <w:lang w:eastAsia="es-EC"/>
              </w:rPr>
            </w:pPr>
          </w:p>
        </w:tc>
      </w:tr>
      <w:tr w:rsidR="008146FA" w:rsidRPr="0074154F" w14:paraId="47B4C429" w14:textId="77777777" w:rsidTr="007246EE">
        <w:trPr>
          <w:trHeight w:val="283"/>
          <w:jc w:val="right"/>
        </w:trPr>
        <w:tc>
          <w:tcPr>
            <w:tcW w:w="5272" w:type="dxa"/>
            <w:tcBorders>
              <w:top w:val="nil"/>
              <w:left w:val="nil"/>
              <w:right w:val="nil"/>
            </w:tcBorders>
            <w:shd w:val="clear" w:color="auto" w:fill="auto"/>
            <w:noWrap/>
            <w:vAlign w:val="bottom"/>
          </w:tcPr>
          <w:p w14:paraId="0B1EA01A" w14:textId="6AFD67CA" w:rsidR="008146FA" w:rsidRPr="0074154F" w:rsidRDefault="008146FA" w:rsidP="008146FA">
            <w:pPr>
              <w:spacing w:after="0" w:line="240" w:lineRule="auto"/>
              <w:rPr>
                <w:rFonts w:ascii="Arial" w:eastAsia="Times New Roman" w:hAnsi="Arial" w:cs="Arial"/>
                <w:color w:val="000000"/>
                <w:sz w:val="20"/>
                <w:szCs w:val="20"/>
                <w:lang w:val="en-US" w:eastAsia="es-EC"/>
              </w:rPr>
            </w:pPr>
            <w:r>
              <w:rPr>
                <w:rFonts w:ascii="Arial" w:eastAsia="Times New Roman" w:hAnsi="Arial" w:cs="Arial"/>
                <w:i/>
                <w:iCs/>
                <w:color w:val="000000"/>
                <w:sz w:val="20"/>
                <w:szCs w:val="20"/>
                <w:lang w:eastAsia="es-EC"/>
              </w:rPr>
              <w:t xml:space="preserve"> </w:t>
            </w:r>
            <w:proofErr w:type="gramStart"/>
            <w:r w:rsidRPr="008146FA">
              <w:rPr>
                <w:rFonts w:ascii="Arial" w:eastAsia="Times New Roman" w:hAnsi="Arial" w:cs="Arial"/>
                <w:i/>
                <w:iCs/>
                <w:color w:val="000000"/>
                <w:sz w:val="20"/>
                <w:szCs w:val="20"/>
                <w:lang w:eastAsia="es-EC"/>
              </w:rPr>
              <w:t>Suman..</w:t>
            </w:r>
            <w:proofErr w:type="gramEnd"/>
          </w:p>
        </w:tc>
        <w:tc>
          <w:tcPr>
            <w:tcW w:w="1502" w:type="dxa"/>
            <w:tcBorders>
              <w:top w:val="nil"/>
              <w:left w:val="nil"/>
              <w:right w:val="nil"/>
            </w:tcBorders>
            <w:shd w:val="clear" w:color="auto" w:fill="auto"/>
            <w:noWrap/>
            <w:vAlign w:val="bottom"/>
          </w:tcPr>
          <w:p w14:paraId="30F0AC43" w14:textId="424192A2"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11,811,789</w:t>
            </w:r>
          </w:p>
        </w:tc>
        <w:tc>
          <w:tcPr>
            <w:tcW w:w="227" w:type="dxa"/>
            <w:tcBorders>
              <w:top w:val="nil"/>
              <w:left w:val="nil"/>
              <w:right w:val="nil"/>
            </w:tcBorders>
            <w:shd w:val="clear" w:color="auto" w:fill="auto"/>
            <w:noWrap/>
            <w:vAlign w:val="bottom"/>
          </w:tcPr>
          <w:p w14:paraId="1C0D48C4"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4AD4ECC" w14:textId="1162A430"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11,168,404</w:t>
            </w:r>
          </w:p>
        </w:tc>
      </w:tr>
      <w:tr w:rsidR="008146FA" w:rsidRPr="0074154F" w14:paraId="3595ED97" w14:textId="77777777" w:rsidTr="007246EE">
        <w:trPr>
          <w:trHeight w:val="283"/>
          <w:jc w:val="right"/>
        </w:trPr>
        <w:tc>
          <w:tcPr>
            <w:tcW w:w="5272" w:type="dxa"/>
            <w:tcBorders>
              <w:top w:val="nil"/>
              <w:left w:val="nil"/>
              <w:right w:val="nil"/>
            </w:tcBorders>
            <w:shd w:val="clear" w:color="auto" w:fill="auto"/>
            <w:noWrap/>
            <w:vAlign w:val="bottom"/>
          </w:tcPr>
          <w:p w14:paraId="505240AB" w14:textId="5D4BEE76" w:rsidR="008146FA" w:rsidRPr="0074154F" w:rsidRDefault="008146FA" w:rsidP="008146FA">
            <w:pPr>
              <w:spacing w:after="0" w:line="240" w:lineRule="auto"/>
              <w:rPr>
                <w:rFonts w:ascii="Arial" w:eastAsia="Times New Roman" w:hAnsi="Arial" w:cs="Arial"/>
                <w:color w:val="000000"/>
                <w:sz w:val="20"/>
                <w:szCs w:val="20"/>
                <w:lang w:val="en-US" w:eastAsia="es-EC"/>
              </w:rPr>
            </w:pPr>
            <w:r w:rsidRPr="008146FA">
              <w:rPr>
                <w:rFonts w:ascii="Arial" w:eastAsia="Times New Roman" w:hAnsi="Arial" w:cs="Arial"/>
                <w:i/>
                <w:iCs/>
                <w:color w:val="000000"/>
                <w:sz w:val="20"/>
                <w:szCs w:val="20"/>
                <w:lang w:eastAsia="es-EC"/>
              </w:rPr>
              <w:lastRenderedPageBreak/>
              <w:t xml:space="preserve"> Vienen…</w:t>
            </w:r>
          </w:p>
        </w:tc>
        <w:tc>
          <w:tcPr>
            <w:tcW w:w="1502" w:type="dxa"/>
            <w:tcBorders>
              <w:top w:val="nil"/>
              <w:left w:val="nil"/>
              <w:right w:val="nil"/>
            </w:tcBorders>
            <w:shd w:val="clear" w:color="auto" w:fill="auto"/>
            <w:noWrap/>
            <w:vAlign w:val="bottom"/>
          </w:tcPr>
          <w:p w14:paraId="7E87C5F2" w14:textId="5F3365C6"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11,811,789</w:t>
            </w:r>
          </w:p>
        </w:tc>
        <w:tc>
          <w:tcPr>
            <w:tcW w:w="227" w:type="dxa"/>
            <w:tcBorders>
              <w:top w:val="nil"/>
              <w:left w:val="nil"/>
              <w:right w:val="nil"/>
            </w:tcBorders>
            <w:shd w:val="clear" w:color="auto" w:fill="auto"/>
            <w:noWrap/>
            <w:vAlign w:val="bottom"/>
          </w:tcPr>
          <w:p w14:paraId="39C1CF5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B3C5BAD" w14:textId="59DAC079" w:rsidR="008146FA"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sz w:val="20"/>
                <w:szCs w:val="20"/>
                <w:lang w:eastAsia="es-EC"/>
              </w:rPr>
              <w:t>11,168,404</w:t>
            </w:r>
          </w:p>
        </w:tc>
      </w:tr>
      <w:tr w:rsidR="008146FA" w:rsidRPr="0074154F" w14:paraId="69B5A432" w14:textId="77777777" w:rsidTr="007246EE">
        <w:trPr>
          <w:trHeight w:val="283"/>
          <w:jc w:val="right"/>
        </w:trPr>
        <w:tc>
          <w:tcPr>
            <w:tcW w:w="5272" w:type="dxa"/>
            <w:tcBorders>
              <w:top w:val="nil"/>
              <w:left w:val="nil"/>
              <w:right w:val="nil"/>
            </w:tcBorders>
            <w:shd w:val="clear" w:color="auto" w:fill="auto"/>
            <w:noWrap/>
            <w:vAlign w:val="bottom"/>
          </w:tcPr>
          <w:p w14:paraId="3C32EAC5" w14:textId="77777777" w:rsidR="008146FA" w:rsidRPr="008146FA" w:rsidRDefault="008146FA" w:rsidP="008146FA">
            <w:pPr>
              <w:spacing w:after="0" w:line="240" w:lineRule="auto"/>
              <w:rPr>
                <w:rFonts w:ascii="Arial" w:eastAsia="Times New Roman" w:hAnsi="Arial" w:cs="Arial"/>
                <w:i/>
                <w:iCs/>
                <w:color w:val="000000"/>
                <w:sz w:val="20"/>
                <w:szCs w:val="20"/>
                <w:lang w:eastAsia="es-EC"/>
              </w:rPr>
            </w:pPr>
          </w:p>
        </w:tc>
        <w:tc>
          <w:tcPr>
            <w:tcW w:w="1502" w:type="dxa"/>
            <w:tcBorders>
              <w:top w:val="nil"/>
              <w:left w:val="nil"/>
              <w:right w:val="nil"/>
            </w:tcBorders>
            <w:shd w:val="clear" w:color="auto" w:fill="auto"/>
            <w:noWrap/>
            <w:vAlign w:val="bottom"/>
          </w:tcPr>
          <w:p w14:paraId="08655040" w14:textId="77777777" w:rsidR="008146FA" w:rsidRDefault="008146FA" w:rsidP="008146FA">
            <w:pPr>
              <w:tabs>
                <w:tab w:val="decimal" w:pos="1276"/>
              </w:tabs>
              <w:spacing w:after="0" w:line="240" w:lineRule="auto"/>
              <w:rPr>
                <w:rFonts w:ascii="Arial" w:eastAsia="Times New Roman" w:hAnsi="Arial" w:cs="Arial"/>
                <w:sz w:val="20"/>
                <w:szCs w:val="20"/>
                <w:lang w:eastAsia="es-EC"/>
              </w:rPr>
            </w:pPr>
          </w:p>
        </w:tc>
        <w:tc>
          <w:tcPr>
            <w:tcW w:w="227" w:type="dxa"/>
            <w:tcBorders>
              <w:top w:val="nil"/>
              <w:left w:val="nil"/>
              <w:right w:val="nil"/>
            </w:tcBorders>
            <w:shd w:val="clear" w:color="auto" w:fill="auto"/>
            <w:noWrap/>
            <w:vAlign w:val="bottom"/>
          </w:tcPr>
          <w:p w14:paraId="31C46212"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5F31691" w14:textId="77777777" w:rsidR="008146FA" w:rsidRDefault="008146FA" w:rsidP="008146FA">
            <w:pPr>
              <w:tabs>
                <w:tab w:val="decimal" w:pos="1276"/>
              </w:tabs>
              <w:spacing w:after="0" w:line="240" w:lineRule="auto"/>
              <w:rPr>
                <w:rFonts w:ascii="Arial" w:eastAsia="Times New Roman" w:hAnsi="Arial" w:cs="Arial"/>
                <w:sz w:val="20"/>
                <w:szCs w:val="20"/>
                <w:lang w:eastAsia="es-EC"/>
              </w:rPr>
            </w:pPr>
          </w:p>
        </w:tc>
      </w:tr>
      <w:tr w:rsidR="008146FA" w:rsidRPr="0074154F" w14:paraId="3D5EAB24" w14:textId="77777777" w:rsidTr="007246EE">
        <w:trPr>
          <w:trHeight w:val="283"/>
          <w:jc w:val="right"/>
        </w:trPr>
        <w:tc>
          <w:tcPr>
            <w:tcW w:w="5272" w:type="dxa"/>
            <w:tcBorders>
              <w:top w:val="nil"/>
              <w:left w:val="nil"/>
              <w:right w:val="nil"/>
            </w:tcBorders>
            <w:shd w:val="clear" w:color="auto" w:fill="auto"/>
            <w:noWrap/>
            <w:vAlign w:val="bottom"/>
          </w:tcPr>
          <w:p w14:paraId="195FFDA9" w14:textId="2E42B358" w:rsidR="008146FA" w:rsidRPr="0074154F"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Consorcio</w:t>
            </w:r>
            <w:proofErr w:type="spellEnd"/>
            <w:r w:rsidRPr="0074154F">
              <w:rPr>
                <w:rFonts w:ascii="Arial" w:eastAsia="Times New Roman" w:hAnsi="Arial" w:cs="Arial"/>
                <w:color w:val="000000"/>
                <w:sz w:val="20"/>
                <w:szCs w:val="20"/>
                <w:lang w:val="en-US" w:eastAsia="es-EC"/>
              </w:rPr>
              <w:t xml:space="preserve"> Universidad Segura</w:t>
            </w:r>
          </w:p>
        </w:tc>
        <w:tc>
          <w:tcPr>
            <w:tcW w:w="1502" w:type="dxa"/>
            <w:tcBorders>
              <w:top w:val="nil"/>
              <w:left w:val="nil"/>
              <w:right w:val="nil"/>
            </w:tcBorders>
            <w:shd w:val="clear" w:color="auto" w:fill="auto"/>
            <w:noWrap/>
            <w:vAlign w:val="bottom"/>
          </w:tcPr>
          <w:p w14:paraId="12930A8C" w14:textId="6FB998CB"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1,248,279</w:t>
            </w:r>
          </w:p>
        </w:tc>
        <w:tc>
          <w:tcPr>
            <w:tcW w:w="227" w:type="dxa"/>
            <w:tcBorders>
              <w:top w:val="nil"/>
              <w:left w:val="nil"/>
              <w:right w:val="nil"/>
            </w:tcBorders>
            <w:shd w:val="clear" w:color="auto" w:fill="auto"/>
            <w:noWrap/>
            <w:vAlign w:val="bottom"/>
          </w:tcPr>
          <w:p w14:paraId="2E0861A5"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296C70B" w14:textId="3E27981C"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r>
      <w:tr w:rsidR="008146FA" w:rsidRPr="00CE21C4" w14:paraId="230BC5D8" w14:textId="77777777" w:rsidTr="007246EE">
        <w:trPr>
          <w:trHeight w:val="283"/>
          <w:jc w:val="right"/>
        </w:trPr>
        <w:tc>
          <w:tcPr>
            <w:tcW w:w="5272" w:type="dxa"/>
            <w:tcBorders>
              <w:top w:val="nil"/>
              <w:left w:val="nil"/>
              <w:right w:val="nil"/>
            </w:tcBorders>
            <w:shd w:val="clear" w:color="auto" w:fill="auto"/>
            <w:noWrap/>
            <w:vAlign w:val="bottom"/>
          </w:tcPr>
          <w:p w14:paraId="7E22BD44" w14:textId="39A63BD8" w:rsidR="008146FA" w:rsidRPr="00CE21C4" w:rsidRDefault="008146FA" w:rsidP="008146FA">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w:t>
            </w:r>
            <w:r w:rsidRPr="00CE21C4">
              <w:rPr>
                <w:rFonts w:ascii="Arial" w:eastAsia="Times New Roman" w:hAnsi="Arial" w:cs="Arial"/>
                <w:color w:val="000000"/>
                <w:sz w:val="20"/>
                <w:szCs w:val="20"/>
                <w:lang w:eastAsia="es-EC"/>
              </w:rPr>
              <w:t xml:space="preserve">Cable Andino S.A. </w:t>
            </w:r>
            <w:proofErr w:type="spellStart"/>
            <w:r w:rsidRPr="00CE21C4">
              <w:rPr>
                <w:rFonts w:ascii="Arial" w:eastAsia="Times New Roman" w:hAnsi="Arial" w:cs="Arial"/>
                <w:color w:val="000000"/>
                <w:sz w:val="20"/>
                <w:szCs w:val="20"/>
                <w:lang w:eastAsia="es-EC"/>
              </w:rPr>
              <w:t>Cor</w:t>
            </w:r>
            <w:r>
              <w:rPr>
                <w:rFonts w:ascii="Arial" w:eastAsia="Times New Roman" w:hAnsi="Arial" w:cs="Arial"/>
                <w:color w:val="000000"/>
                <w:sz w:val="20"/>
                <w:szCs w:val="20"/>
                <w:lang w:eastAsia="es-EC"/>
              </w:rPr>
              <w:t>pandino</w:t>
            </w:r>
            <w:proofErr w:type="spellEnd"/>
          </w:p>
        </w:tc>
        <w:tc>
          <w:tcPr>
            <w:tcW w:w="1502" w:type="dxa"/>
            <w:tcBorders>
              <w:top w:val="nil"/>
              <w:left w:val="nil"/>
              <w:right w:val="nil"/>
            </w:tcBorders>
            <w:shd w:val="clear" w:color="auto" w:fill="auto"/>
            <w:noWrap/>
            <w:vAlign w:val="bottom"/>
          </w:tcPr>
          <w:p w14:paraId="15C3E54C" w14:textId="0E639E39" w:rsidR="008146FA" w:rsidRPr="00CE21C4"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1,150,814</w:t>
            </w:r>
          </w:p>
        </w:tc>
        <w:tc>
          <w:tcPr>
            <w:tcW w:w="227" w:type="dxa"/>
            <w:tcBorders>
              <w:top w:val="nil"/>
              <w:left w:val="nil"/>
              <w:right w:val="nil"/>
            </w:tcBorders>
            <w:shd w:val="clear" w:color="auto" w:fill="auto"/>
            <w:noWrap/>
            <w:vAlign w:val="bottom"/>
          </w:tcPr>
          <w:p w14:paraId="17405760" w14:textId="77777777" w:rsidR="008146FA" w:rsidRPr="00CE21C4"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A64AB49" w14:textId="48D7CEDB" w:rsidR="008146FA" w:rsidRPr="00CE21C4"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2,158,456</w:t>
            </w:r>
          </w:p>
        </w:tc>
      </w:tr>
      <w:tr w:rsidR="008146FA" w:rsidRPr="00CE21C4" w14:paraId="7A0A8A9E" w14:textId="77777777" w:rsidTr="008146FA">
        <w:trPr>
          <w:trHeight w:val="283"/>
          <w:jc w:val="right"/>
        </w:trPr>
        <w:tc>
          <w:tcPr>
            <w:tcW w:w="5272" w:type="dxa"/>
            <w:tcBorders>
              <w:top w:val="nil"/>
              <w:left w:val="nil"/>
              <w:right w:val="nil"/>
            </w:tcBorders>
            <w:shd w:val="clear" w:color="auto" w:fill="auto"/>
            <w:noWrap/>
            <w:vAlign w:val="bottom"/>
          </w:tcPr>
          <w:p w14:paraId="088E9FC7" w14:textId="007A1B6E" w:rsidR="008146FA" w:rsidRDefault="008146FA" w:rsidP="008146FA">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Telconet Panamá S.A.</w:t>
            </w:r>
          </w:p>
        </w:tc>
        <w:tc>
          <w:tcPr>
            <w:tcW w:w="1502" w:type="dxa"/>
            <w:tcBorders>
              <w:top w:val="nil"/>
              <w:left w:val="nil"/>
              <w:right w:val="nil"/>
            </w:tcBorders>
            <w:shd w:val="clear" w:color="auto" w:fill="auto"/>
            <w:noWrap/>
            <w:vAlign w:val="bottom"/>
          </w:tcPr>
          <w:p w14:paraId="62943B21" w14:textId="7C1A11D3"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545,136</w:t>
            </w:r>
          </w:p>
        </w:tc>
        <w:tc>
          <w:tcPr>
            <w:tcW w:w="227" w:type="dxa"/>
            <w:tcBorders>
              <w:top w:val="nil"/>
              <w:left w:val="nil"/>
              <w:right w:val="nil"/>
            </w:tcBorders>
            <w:shd w:val="clear" w:color="auto" w:fill="auto"/>
            <w:noWrap/>
            <w:vAlign w:val="bottom"/>
          </w:tcPr>
          <w:p w14:paraId="6BAD56C6" w14:textId="77777777" w:rsidR="008146FA" w:rsidRPr="00CE21C4"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3E6D872" w14:textId="5300A211"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290,146</w:t>
            </w:r>
          </w:p>
        </w:tc>
      </w:tr>
      <w:tr w:rsidR="008146FA" w:rsidRPr="0074154F" w14:paraId="7787E72B" w14:textId="77777777" w:rsidTr="008146FA">
        <w:trPr>
          <w:trHeight w:val="283"/>
          <w:jc w:val="right"/>
        </w:trPr>
        <w:tc>
          <w:tcPr>
            <w:tcW w:w="5272" w:type="dxa"/>
            <w:tcBorders>
              <w:top w:val="nil"/>
              <w:left w:val="nil"/>
              <w:right w:val="nil"/>
            </w:tcBorders>
            <w:shd w:val="clear" w:color="auto" w:fill="auto"/>
            <w:noWrap/>
            <w:vAlign w:val="bottom"/>
          </w:tcPr>
          <w:p w14:paraId="439BD77D" w14:textId="6E34F271" w:rsidR="008146FA" w:rsidRPr="0074154F" w:rsidRDefault="008146FA" w:rsidP="008146FA">
            <w:pPr>
              <w:spacing w:after="0" w:line="240" w:lineRule="auto"/>
              <w:rPr>
                <w:rFonts w:ascii="Arial" w:eastAsia="Times New Roman" w:hAnsi="Arial" w:cs="Arial"/>
                <w:color w:val="000000"/>
                <w:sz w:val="20"/>
                <w:szCs w:val="20"/>
                <w:lang w:val="en-US" w:eastAsia="es-EC"/>
              </w:rPr>
            </w:pPr>
            <w:r w:rsidRPr="0074154F">
              <w:rPr>
                <w:rFonts w:ascii="Arial" w:eastAsia="Times New Roman" w:hAnsi="Arial" w:cs="Arial"/>
                <w:color w:val="000000"/>
                <w:sz w:val="20"/>
                <w:szCs w:val="20"/>
                <w:lang w:eastAsia="es-EC"/>
              </w:rPr>
              <w:t xml:space="preserve"> </w:t>
            </w:r>
            <w:r>
              <w:rPr>
                <w:rFonts w:ascii="Arial" w:eastAsia="Times New Roman" w:hAnsi="Arial" w:cs="Arial"/>
                <w:color w:val="000000"/>
                <w:sz w:val="20"/>
                <w:szCs w:val="20"/>
                <w:lang w:eastAsia="es-EC"/>
              </w:rPr>
              <w:t xml:space="preserve">Sr. </w:t>
            </w:r>
            <w:r w:rsidRPr="0074154F">
              <w:rPr>
                <w:rFonts w:ascii="Arial" w:eastAsia="Times New Roman" w:hAnsi="Arial" w:cs="Arial"/>
                <w:color w:val="000000"/>
                <w:sz w:val="20"/>
                <w:szCs w:val="20"/>
                <w:lang w:eastAsia="es-EC"/>
              </w:rPr>
              <w:t>Tomislav Topic Granados</w:t>
            </w:r>
          </w:p>
        </w:tc>
        <w:tc>
          <w:tcPr>
            <w:tcW w:w="1502" w:type="dxa"/>
            <w:tcBorders>
              <w:top w:val="nil"/>
              <w:left w:val="nil"/>
              <w:right w:val="nil"/>
            </w:tcBorders>
            <w:shd w:val="clear" w:color="auto" w:fill="auto"/>
            <w:noWrap/>
            <w:vAlign w:val="bottom"/>
          </w:tcPr>
          <w:p w14:paraId="4CA6AE27" w14:textId="0C225CFA"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461,750</w:t>
            </w:r>
          </w:p>
        </w:tc>
        <w:tc>
          <w:tcPr>
            <w:tcW w:w="227" w:type="dxa"/>
            <w:tcBorders>
              <w:top w:val="nil"/>
              <w:left w:val="nil"/>
              <w:right w:val="nil"/>
            </w:tcBorders>
            <w:shd w:val="clear" w:color="auto" w:fill="auto"/>
            <w:noWrap/>
            <w:vAlign w:val="bottom"/>
          </w:tcPr>
          <w:p w14:paraId="3173DC8B"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4E09A2F" w14:textId="75D91B11"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5,306,616</w:t>
            </w:r>
          </w:p>
        </w:tc>
      </w:tr>
      <w:tr w:rsidR="008146FA" w:rsidRPr="0074154F" w14:paraId="04E06258" w14:textId="77777777" w:rsidTr="007246EE">
        <w:trPr>
          <w:trHeight w:val="283"/>
          <w:jc w:val="right"/>
        </w:trPr>
        <w:tc>
          <w:tcPr>
            <w:tcW w:w="5272" w:type="dxa"/>
            <w:tcBorders>
              <w:top w:val="nil"/>
              <w:left w:val="nil"/>
              <w:right w:val="nil"/>
            </w:tcBorders>
            <w:shd w:val="clear" w:color="auto" w:fill="auto"/>
            <w:noWrap/>
            <w:vAlign w:val="bottom"/>
          </w:tcPr>
          <w:p w14:paraId="7A3F398F" w14:textId="1CD7FE4C" w:rsidR="008146FA" w:rsidRPr="0074154F" w:rsidRDefault="008146FA" w:rsidP="008146FA">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w:t>
            </w:r>
            <w:proofErr w:type="spellStart"/>
            <w:r>
              <w:rPr>
                <w:rFonts w:ascii="Arial" w:eastAsia="Times New Roman" w:hAnsi="Arial" w:cs="Arial"/>
                <w:color w:val="000000"/>
                <w:sz w:val="20"/>
                <w:szCs w:val="20"/>
                <w:lang w:eastAsia="es-EC"/>
              </w:rPr>
              <w:t>Netspeed</w:t>
            </w:r>
            <w:proofErr w:type="spellEnd"/>
            <w:r>
              <w:rPr>
                <w:rFonts w:ascii="Arial" w:eastAsia="Times New Roman" w:hAnsi="Arial" w:cs="Arial"/>
                <w:color w:val="000000"/>
                <w:sz w:val="20"/>
                <w:szCs w:val="20"/>
                <w:lang w:eastAsia="es-EC"/>
              </w:rPr>
              <w:t xml:space="preserve"> S.A.</w:t>
            </w:r>
          </w:p>
        </w:tc>
        <w:tc>
          <w:tcPr>
            <w:tcW w:w="1502" w:type="dxa"/>
            <w:tcBorders>
              <w:top w:val="nil"/>
              <w:left w:val="nil"/>
              <w:right w:val="nil"/>
            </w:tcBorders>
            <w:shd w:val="clear" w:color="auto" w:fill="auto"/>
            <w:noWrap/>
            <w:vAlign w:val="bottom"/>
          </w:tcPr>
          <w:p w14:paraId="66902AF1" w14:textId="220D320F"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410,393</w:t>
            </w:r>
          </w:p>
        </w:tc>
        <w:tc>
          <w:tcPr>
            <w:tcW w:w="227" w:type="dxa"/>
            <w:tcBorders>
              <w:top w:val="nil"/>
              <w:left w:val="nil"/>
              <w:right w:val="nil"/>
            </w:tcBorders>
            <w:shd w:val="clear" w:color="auto" w:fill="auto"/>
            <w:noWrap/>
            <w:vAlign w:val="bottom"/>
          </w:tcPr>
          <w:p w14:paraId="43CC5377"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0AAD5FF" w14:textId="3901BE82"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926,855</w:t>
            </w:r>
          </w:p>
        </w:tc>
      </w:tr>
      <w:tr w:rsidR="008146FA" w:rsidRPr="0074154F" w14:paraId="201D947D" w14:textId="77777777" w:rsidTr="007246EE">
        <w:trPr>
          <w:trHeight w:val="283"/>
          <w:jc w:val="right"/>
        </w:trPr>
        <w:tc>
          <w:tcPr>
            <w:tcW w:w="5272" w:type="dxa"/>
            <w:tcBorders>
              <w:top w:val="nil"/>
              <w:left w:val="nil"/>
              <w:right w:val="nil"/>
            </w:tcBorders>
            <w:shd w:val="clear" w:color="auto" w:fill="auto"/>
            <w:noWrap/>
            <w:vAlign w:val="bottom"/>
          </w:tcPr>
          <w:p w14:paraId="41972785" w14:textId="42F1C329" w:rsidR="008146FA"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Linkotel S.A.</w:t>
            </w:r>
          </w:p>
        </w:tc>
        <w:tc>
          <w:tcPr>
            <w:tcW w:w="1502" w:type="dxa"/>
            <w:tcBorders>
              <w:top w:val="nil"/>
              <w:left w:val="nil"/>
              <w:right w:val="nil"/>
            </w:tcBorders>
            <w:shd w:val="clear" w:color="auto" w:fill="auto"/>
            <w:noWrap/>
            <w:vAlign w:val="bottom"/>
          </w:tcPr>
          <w:p w14:paraId="5ED3F09B" w14:textId="4FD8E265"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129,110</w:t>
            </w:r>
          </w:p>
        </w:tc>
        <w:tc>
          <w:tcPr>
            <w:tcW w:w="227" w:type="dxa"/>
            <w:tcBorders>
              <w:top w:val="nil"/>
              <w:left w:val="nil"/>
              <w:right w:val="nil"/>
            </w:tcBorders>
            <w:shd w:val="clear" w:color="auto" w:fill="auto"/>
            <w:noWrap/>
            <w:vAlign w:val="bottom"/>
          </w:tcPr>
          <w:p w14:paraId="03C25B9B"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240EEFF" w14:textId="4E72291D" w:rsidR="008146FA"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color w:val="000000"/>
                <w:sz w:val="20"/>
                <w:szCs w:val="20"/>
                <w:lang w:eastAsia="es-MX"/>
              </w:rPr>
              <w:t>510,630</w:t>
            </w:r>
          </w:p>
        </w:tc>
      </w:tr>
      <w:tr w:rsidR="008146FA" w:rsidRPr="0074154F" w14:paraId="18E8717E" w14:textId="77777777" w:rsidTr="007246EE">
        <w:trPr>
          <w:trHeight w:val="283"/>
          <w:jc w:val="right"/>
        </w:trPr>
        <w:tc>
          <w:tcPr>
            <w:tcW w:w="5272" w:type="dxa"/>
            <w:tcBorders>
              <w:top w:val="nil"/>
              <w:left w:val="nil"/>
              <w:right w:val="nil"/>
            </w:tcBorders>
            <w:shd w:val="clear" w:color="auto" w:fill="auto"/>
            <w:noWrap/>
            <w:vAlign w:val="bottom"/>
          </w:tcPr>
          <w:p w14:paraId="02205B0D" w14:textId="377AFE65" w:rsidR="008146FA" w:rsidRPr="0074154F"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Cajamarca </w:t>
            </w:r>
            <w:proofErr w:type="spellStart"/>
            <w:r w:rsidRPr="0074154F">
              <w:rPr>
                <w:rFonts w:ascii="Arial" w:eastAsia="Times New Roman" w:hAnsi="Arial" w:cs="Arial"/>
                <w:color w:val="000000"/>
                <w:sz w:val="20"/>
                <w:szCs w:val="20"/>
                <w:lang w:eastAsia="es-EC"/>
              </w:rPr>
              <w:t>Protective</w:t>
            </w:r>
            <w:proofErr w:type="spellEnd"/>
            <w:r w:rsidRPr="0074154F">
              <w:rPr>
                <w:rFonts w:ascii="Arial" w:eastAsia="Times New Roman" w:hAnsi="Arial" w:cs="Arial"/>
                <w:color w:val="000000"/>
                <w:sz w:val="20"/>
                <w:szCs w:val="20"/>
                <w:lang w:eastAsia="es-EC"/>
              </w:rPr>
              <w:t xml:space="preserve"> Services Cía. Ltda.</w:t>
            </w:r>
          </w:p>
        </w:tc>
        <w:tc>
          <w:tcPr>
            <w:tcW w:w="1502" w:type="dxa"/>
            <w:tcBorders>
              <w:top w:val="nil"/>
              <w:left w:val="nil"/>
              <w:right w:val="nil"/>
            </w:tcBorders>
            <w:shd w:val="clear" w:color="auto" w:fill="auto"/>
            <w:noWrap/>
            <w:vAlign w:val="bottom"/>
          </w:tcPr>
          <w:p w14:paraId="2E51C54F" w14:textId="48E7D703"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115,956</w:t>
            </w:r>
          </w:p>
        </w:tc>
        <w:tc>
          <w:tcPr>
            <w:tcW w:w="227" w:type="dxa"/>
            <w:tcBorders>
              <w:top w:val="nil"/>
              <w:left w:val="nil"/>
              <w:right w:val="nil"/>
            </w:tcBorders>
            <w:shd w:val="clear" w:color="auto" w:fill="auto"/>
            <w:noWrap/>
            <w:vAlign w:val="bottom"/>
          </w:tcPr>
          <w:p w14:paraId="120B3B6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53F27E69" w14:textId="2EF4EB15"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104,066</w:t>
            </w:r>
          </w:p>
        </w:tc>
      </w:tr>
      <w:tr w:rsidR="008146FA" w:rsidRPr="0074154F" w14:paraId="4B2AC7BF" w14:textId="77777777" w:rsidTr="007246EE">
        <w:trPr>
          <w:trHeight w:val="283"/>
          <w:jc w:val="right"/>
        </w:trPr>
        <w:tc>
          <w:tcPr>
            <w:tcW w:w="5272" w:type="dxa"/>
            <w:tcBorders>
              <w:top w:val="nil"/>
              <w:left w:val="nil"/>
              <w:right w:val="nil"/>
            </w:tcBorders>
            <w:shd w:val="clear" w:color="auto" w:fill="auto"/>
            <w:noWrap/>
            <w:vAlign w:val="bottom"/>
          </w:tcPr>
          <w:p w14:paraId="4DDDD5D5" w14:textId="0D54E823" w:rsidR="008146FA" w:rsidRPr="0074154F" w:rsidRDefault="008146FA" w:rsidP="008146FA">
            <w:pPr>
              <w:spacing w:after="0" w:line="240" w:lineRule="auto"/>
              <w:rPr>
                <w:rFonts w:ascii="Arial" w:eastAsia="Times New Roman" w:hAnsi="Arial" w:cs="Arial"/>
                <w:color w:val="000000"/>
                <w:sz w:val="20"/>
                <w:szCs w:val="20"/>
                <w:lang w:val="en-US" w:eastAsia="es-EC"/>
              </w:rPr>
            </w:pPr>
            <w:r w:rsidRPr="0074154F">
              <w:rPr>
                <w:rFonts w:ascii="Arial" w:eastAsia="Times New Roman" w:hAnsi="Arial" w:cs="Arial"/>
                <w:color w:val="000000"/>
                <w:sz w:val="20"/>
                <w:szCs w:val="20"/>
                <w:lang w:val="en-US" w:eastAsia="es-EC"/>
              </w:rPr>
              <w:t xml:space="preserve"> Telconet Colombia SAS</w:t>
            </w:r>
          </w:p>
        </w:tc>
        <w:tc>
          <w:tcPr>
            <w:tcW w:w="1502" w:type="dxa"/>
            <w:tcBorders>
              <w:top w:val="nil"/>
              <w:left w:val="nil"/>
              <w:right w:val="nil"/>
            </w:tcBorders>
            <w:shd w:val="clear" w:color="auto" w:fill="auto"/>
            <w:noWrap/>
            <w:vAlign w:val="bottom"/>
          </w:tcPr>
          <w:p w14:paraId="52612B03" w14:textId="62C54504"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46,229</w:t>
            </w:r>
          </w:p>
        </w:tc>
        <w:tc>
          <w:tcPr>
            <w:tcW w:w="227" w:type="dxa"/>
            <w:tcBorders>
              <w:top w:val="nil"/>
              <w:left w:val="nil"/>
              <w:right w:val="nil"/>
            </w:tcBorders>
            <w:shd w:val="clear" w:color="auto" w:fill="auto"/>
            <w:noWrap/>
            <w:vAlign w:val="bottom"/>
          </w:tcPr>
          <w:p w14:paraId="74BBFBBC"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6AB55FD8" w14:textId="466695E9"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29,639</w:t>
            </w:r>
          </w:p>
        </w:tc>
      </w:tr>
      <w:tr w:rsidR="008146FA" w:rsidRPr="0074154F" w14:paraId="1B0A9174" w14:textId="77777777" w:rsidTr="007246EE">
        <w:trPr>
          <w:trHeight w:val="283"/>
          <w:jc w:val="right"/>
        </w:trPr>
        <w:tc>
          <w:tcPr>
            <w:tcW w:w="5272" w:type="dxa"/>
            <w:tcBorders>
              <w:top w:val="nil"/>
              <w:left w:val="nil"/>
              <w:right w:val="nil"/>
            </w:tcBorders>
            <w:shd w:val="clear" w:color="auto" w:fill="auto"/>
            <w:noWrap/>
            <w:vAlign w:val="bottom"/>
          </w:tcPr>
          <w:p w14:paraId="2ACD5085" w14:textId="37D07D38" w:rsidR="008146FA" w:rsidRPr="0074154F" w:rsidRDefault="008146FA" w:rsidP="008146FA">
            <w:pPr>
              <w:spacing w:after="0" w:line="240" w:lineRule="auto"/>
              <w:rPr>
                <w:rFonts w:ascii="Arial" w:eastAsia="Times New Roman" w:hAnsi="Arial" w:cs="Arial"/>
                <w:color w:val="000000"/>
                <w:sz w:val="20"/>
                <w:szCs w:val="20"/>
                <w:lang w:val="en-US" w:eastAsia="es-EC"/>
              </w:rPr>
            </w:pPr>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Consorcio</w:t>
            </w:r>
            <w:proofErr w:type="spellEnd"/>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Systor</w:t>
            </w:r>
            <w:proofErr w:type="spellEnd"/>
            <w:r w:rsidRPr="0074154F">
              <w:rPr>
                <w:rFonts w:ascii="Arial" w:eastAsia="Times New Roman" w:hAnsi="Arial" w:cs="Arial"/>
                <w:color w:val="000000"/>
                <w:sz w:val="20"/>
                <w:szCs w:val="20"/>
                <w:lang w:val="en-US" w:eastAsia="es-EC"/>
              </w:rPr>
              <w:t xml:space="preserve"> Telconet JR Electric </w:t>
            </w:r>
            <w:proofErr w:type="spellStart"/>
            <w:r w:rsidRPr="0074154F">
              <w:rPr>
                <w:rFonts w:ascii="Arial" w:eastAsia="Times New Roman" w:hAnsi="Arial" w:cs="Arial"/>
                <w:color w:val="000000"/>
                <w:sz w:val="20"/>
                <w:szCs w:val="20"/>
                <w:lang w:val="en-US" w:eastAsia="es-EC"/>
              </w:rPr>
              <w:t>Stupply</w:t>
            </w:r>
            <w:proofErr w:type="spellEnd"/>
            <w:r w:rsidRPr="0074154F">
              <w:rPr>
                <w:rFonts w:ascii="Arial" w:eastAsia="Times New Roman" w:hAnsi="Arial" w:cs="Arial"/>
                <w:color w:val="000000"/>
                <w:sz w:val="20"/>
                <w:szCs w:val="20"/>
                <w:lang w:val="en-US" w:eastAsia="es-EC"/>
              </w:rPr>
              <w:t xml:space="preserve"> S.A.</w:t>
            </w:r>
          </w:p>
        </w:tc>
        <w:tc>
          <w:tcPr>
            <w:tcW w:w="1502" w:type="dxa"/>
            <w:tcBorders>
              <w:top w:val="nil"/>
              <w:left w:val="nil"/>
              <w:right w:val="nil"/>
            </w:tcBorders>
            <w:shd w:val="clear" w:color="auto" w:fill="auto"/>
            <w:noWrap/>
            <w:vAlign w:val="bottom"/>
          </w:tcPr>
          <w:p w14:paraId="2196B983" w14:textId="75561F42"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25,243</w:t>
            </w:r>
          </w:p>
        </w:tc>
        <w:tc>
          <w:tcPr>
            <w:tcW w:w="227" w:type="dxa"/>
            <w:tcBorders>
              <w:top w:val="nil"/>
              <w:left w:val="nil"/>
              <w:right w:val="nil"/>
            </w:tcBorders>
            <w:shd w:val="clear" w:color="auto" w:fill="auto"/>
            <w:noWrap/>
            <w:vAlign w:val="bottom"/>
          </w:tcPr>
          <w:p w14:paraId="2E579D1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72329EFF" w14:textId="738EE908"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68,859</w:t>
            </w:r>
          </w:p>
        </w:tc>
      </w:tr>
      <w:tr w:rsidR="008146FA" w:rsidRPr="0074154F" w14:paraId="1667220F" w14:textId="77777777" w:rsidTr="007246EE">
        <w:trPr>
          <w:trHeight w:val="283"/>
          <w:jc w:val="right"/>
        </w:trPr>
        <w:tc>
          <w:tcPr>
            <w:tcW w:w="5272" w:type="dxa"/>
            <w:tcBorders>
              <w:top w:val="nil"/>
              <w:left w:val="nil"/>
              <w:right w:val="nil"/>
            </w:tcBorders>
            <w:shd w:val="clear" w:color="auto" w:fill="auto"/>
            <w:noWrap/>
            <w:vAlign w:val="bottom"/>
          </w:tcPr>
          <w:p w14:paraId="56834880" w14:textId="77463574" w:rsidR="008146FA" w:rsidRPr="0074154F"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Security Data Seguridad en datos y Firma Digital S.A.</w:t>
            </w:r>
          </w:p>
        </w:tc>
        <w:tc>
          <w:tcPr>
            <w:tcW w:w="1502" w:type="dxa"/>
            <w:tcBorders>
              <w:top w:val="nil"/>
              <w:left w:val="nil"/>
              <w:right w:val="nil"/>
            </w:tcBorders>
            <w:shd w:val="clear" w:color="auto" w:fill="auto"/>
            <w:noWrap/>
            <w:vAlign w:val="bottom"/>
          </w:tcPr>
          <w:p w14:paraId="05812F25" w14:textId="15531D9E"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13,488</w:t>
            </w:r>
          </w:p>
        </w:tc>
        <w:tc>
          <w:tcPr>
            <w:tcW w:w="227" w:type="dxa"/>
            <w:tcBorders>
              <w:top w:val="nil"/>
              <w:left w:val="nil"/>
              <w:right w:val="nil"/>
            </w:tcBorders>
            <w:shd w:val="clear" w:color="auto" w:fill="auto"/>
            <w:noWrap/>
            <w:vAlign w:val="bottom"/>
          </w:tcPr>
          <w:p w14:paraId="47FA4D5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68761DEE" w14:textId="6299FBC2"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13,412</w:t>
            </w:r>
          </w:p>
        </w:tc>
      </w:tr>
      <w:tr w:rsidR="008146FA" w:rsidRPr="0074154F" w14:paraId="79B094D0" w14:textId="77777777" w:rsidTr="007246EE">
        <w:trPr>
          <w:trHeight w:val="283"/>
          <w:jc w:val="right"/>
        </w:trPr>
        <w:tc>
          <w:tcPr>
            <w:tcW w:w="5272" w:type="dxa"/>
            <w:tcBorders>
              <w:top w:val="nil"/>
              <w:left w:val="nil"/>
              <w:right w:val="nil"/>
            </w:tcBorders>
            <w:shd w:val="clear" w:color="auto" w:fill="auto"/>
            <w:noWrap/>
            <w:vAlign w:val="bottom"/>
          </w:tcPr>
          <w:p w14:paraId="24916D2D" w14:textId="04BBC6FB" w:rsidR="008146FA" w:rsidRPr="0074154F"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w:t>
            </w:r>
            <w:r>
              <w:rPr>
                <w:rFonts w:ascii="Arial" w:eastAsia="Times New Roman" w:hAnsi="Arial" w:cs="Arial"/>
                <w:color w:val="000000"/>
                <w:sz w:val="20"/>
                <w:szCs w:val="20"/>
                <w:lang w:eastAsia="es-EC"/>
              </w:rPr>
              <w:t xml:space="preserve">Sr. </w:t>
            </w:r>
            <w:r w:rsidRPr="0074154F">
              <w:rPr>
                <w:rFonts w:ascii="Arial" w:eastAsia="Times New Roman" w:hAnsi="Arial" w:cs="Arial"/>
                <w:color w:val="000000"/>
                <w:sz w:val="20"/>
                <w:szCs w:val="20"/>
                <w:lang w:eastAsia="es-EC"/>
              </w:rPr>
              <w:t>Jan Topic Feraud</w:t>
            </w:r>
          </w:p>
        </w:tc>
        <w:tc>
          <w:tcPr>
            <w:tcW w:w="1502" w:type="dxa"/>
            <w:tcBorders>
              <w:top w:val="nil"/>
              <w:left w:val="nil"/>
              <w:right w:val="nil"/>
            </w:tcBorders>
            <w:shd w:val="clear" w:color="auto" w:fill="auto"/>
            <w:noWrap/>
            <w:vAlign w:val="bottom"/>
          </w:tcPr>
          <w:p w14:paraId="7A160F04" w14:textId="2EA97132"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27" w:type="dxa"/>
            <w:tcBorders>
              <w:top w:val="nil"/>
              <w:left w:val="nil"/>
              <w:right w:val="nil"/>
            </w:tcBorders>
            <w:shd w:val="clear" w:color="auto" w:fill="auto"/>
            <w:noWrap/>
            <w:vAlign w:val="bottom"/>
          </w:tcPr>
          <w:p w14:paraId="3B4B0B15"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48F4FD92" w14:textId="675C4C91"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2,162,119</w:t>
            </w:r>
          </w:p>
        </w:tc>
      </w:tr>
      <w:tr w:rsidR="008146FA" w:rsidRPr="0074154F" w14:paraId="2D17A976" w14:textId="77777777" w:rsidTr="007246EE">
        <w:trPr>
          <w:trHeight w:val="283"/>
          <w:jc w:val="right"/>
        </w:trPr>
        <w:tc>
          <w:tcPr>
            <w:tcW w:w="5272" w:type="dxa"/>
            <w:tcBorders>
              <w:top w:val="nil"/>
              <w:left w:val="nil"/>
              <w:right w:val="nil"/>
            </w:tcBorders>
            <w:shd w:val="clear" w:color="auto" w:fill="auto"/>
            <w:noWrap/>
            <w:vAlign w:val="bottom"/>
          </w:tcPr>
          <w:p w14:paraId="22AEEB0F" w14:textId="68B2D2BA" w:rsidR="008146FA" w:rsidRPr="0074154F" w:rsidRDefault="008146FA" w:rsidP="008146FA">
            <w:pPr>
              <w:spacing w:after="0" w:line="240" w:lineRule="auto"/>
              <w:rPr>
                <w:rFonts w:ascii="Arial" w:eastAsia="Times New Roman" w:hAnsi="Arial" w:cs="Arial"/>
                <w:color w:val="000000"/>
                <w:sz w:val="20"/>
                <w:szCs w:val="20"/>
                <w:lang w:val="en-US" w:eastAsia="es-EC"/>
              </w:rPr>
            </w:pPr>
            <w:r w:rsidRPr="0074154F">
              <w:rPr>
                <w:rFonts w:ascii="Arial" w:eastAsia="Times New Roman" w:hAnsi="Arial" w:cs="Arial"/>
                <w:color w:val="000000"/>
                <w:sz w:val="20"/>
                <w:szCs w:val="20"/>
                <w:lang w:eastAsia="es-EC"/>
              </w:rPr>
              <w:t xml:space="preserve"> </w:t>
            </w:r>
            <w:proofErr w:type="spellStart"/>
            <w:r w:rsidRPr="0074154F">
              <w:rPr>
                <w:rFonts w:ascii="Arial" w:eastAsia="Times New Roman" w:hAnsi="Arial" w:cs="Arial"/>
                <w:color w:val="000000"/>
                <w:sz w:val="20"/>
                <w:szCs w:val="20"/>
                <w:lang w:eastAsia="es-EC"/>
              </w:rPr>
              <w:t>Bruxedkin</w:t>
            </w:r>
            <w:proofErr w:type="spellEnd"/>
            <w:r w:rsidRPr="0074154F">
              <w:rPr>
                <w:rFonts w:ascii="Arial" w:eastAsia="Times New Roman" w:hAnsi="Arial" w:cs="Arial"/>
                <w:color w:val="000000"/>
                <w:sz w:val="20"/>
                <w:szCs w:val="20"/>
                <w:lang w:eastAsia="es-EC"/>
              </w:rPr>
              <w:t xml:space="preserve"> S.A.</w:t>
            </w:r>
          </w:p>
        </w:tc>
        <w:tc>
          <w:tcPr>
            <w:tcW w:w="1502" w:type="dxa"/>
            <w:tcBorders>
              <w:top w:val="nil"/>
              <w:left w:val="nil"/>
              <w:right w:val="nil"/>
            </w:tcBorders>
            <w:shd w:val="clear" w:color="auto" w:fill="auto"/>
            <w:noWrap/>
            <w:vAlign w:val="bottom"/>
          </w:tcPr>
          <w:p w14:paraId="2B7C51DB" w14:textId="356846F5" w:rsidR="008146FA" w:rsidRPr="0074154F" w:rsidRDefault="008146FA" w:rsidP="008146FA">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w:t>
            </w:r>
          </w:p>
        </w:tc>
        <w:tc>
          <w:tcPr>
            <w:tcW w:w="227" w:type="dxa"/>
            <w:tcBorders>
              <w:top w:val="nil"/>
              <w:left w:val="nil"/>
              <w:right w:val="nil"/>
            </w:tcBorders>
            <w:shd w:val="clear" w:color="auto" w:fill="auto"/>
            <w:noWrap/>
            <w:vAlign w:val="bottom"/>
          </w:tcPr>
          <w:p w14:paraId="5B5CF9E7" w14:textId="77777777" w:rsidR="008146FA" w:rsidRPr="0074154F" w:rsidRDefault="008146FA" w:rsidP="008146FA">
            <w:pPr>
              <w:spacing w:after="0" w:line="240" w:lineRule="auto"/>
              <w:rPr>
                <w:rFonts w:ascii="Arial" w:eastAsia="Times New Roman" w:hAnsi="Arial" w:cs="Arial"/>
                <w:sz w:val="20"/>
                <w:szCs w:val="20"/>
                <w:lang w:val="en-US" w:eastAsia="es-EC"/>
              </w:rPr>
            </w:pPr>
          </w:p>
        </w:tc>
        <w:tc>
          <w:tcPr>
            <w:tcW w:w="1502" w:type="dxa"/>
            <w:tcBorders>
              <w:top w:val="nil"/>
              <w:left w:val="nil"/>
              <w:right w:val="nil"/>
            </w:tcBorders>
            <w:shd w:val="clear" w:color="auto" w:fill="auto"/>
            <w:noWrap/>
            <w:vAlign w:val="bottom"/>
          </w:tcPr>
          <w:p w14:paraId="18EBE75D" w14:textId="547726C7" w:rsidR="008146FA" w:rsidRPr="0074154F" w:rsidRDefault="008146FA" w:rsidP="008146FA">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5,813,218</w:t>
            </w:r>
          </w:p>
        </w:tc>
      </w:tr>
      <w:tr w:rsidR="008146FA" w:rsidRPr="0074154F" w14:paraId="7DE336F2" w14:textId="77777777" w:rsidTr="007246EE">
        <w:trPr>
          <w:trHeight w:val="283"/>
          <w:jc w:val="right"/>
        </w:trPr>
        <w:tc>
          <w:tcPr>
            <w:tcW w:w="5272" w:type="dxa"/>
            <w:tcBorders>
              <w:top w:val="nil"/>
              <w:left w:val="nil"/>
              <w:right w:val="nil"/>
            </w:tcBorders>
            <w:shd w:val="clear" w:color="auto" w:fill="auto"/>
            <w:noWrap/>
            <w:vAlign w:val="bottom"/>
          </w:tcPr>
          <w:p w14:paraId="2F03D343" w14:textId="2D273870" w:rsidR="008146FA" w:rsidRPr="0074154F" w:rsidRDefault="008146FA" w:rsidP="008146FA">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Servicios Telcodata S.A.</w:t>
            </w:r>
          </w:p>
        </w:tc>
        <w:tc>
          <w:tcPr>
            <w:tcW w:w="1502" w:type="dxa"/>
            <w:tcBorders>
              <w:top w:val="nil"/>
              <w:left w:val="nil"/>
              <w:right w:val="nil"/>
            </w:tcBorders>
            <w:shd w:val="clear" w:color="auto" w:fill="auto"/>
            <w:noWrap/>
            <w:vAlign w:val="bottom"/>
          </w:tcPr>
          <w:p w14:paraId="40CC8C74" w14:textId="7C76FCE4" w:rsidR="008146FA" w:rsidRPr="0074154F" w:rsidRDefault="008146FA" w:rsidP="008146FA">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w:t>
            </w:r>
          </w:p>
        </w:tc>
        <w:tc>
          <w:tcPr>
            <w:tcW w:w="227" w:type="dxa"/>
            <w:tcBorders>
              <w:top w:val="nil"/>
              <w:left w:val="nil"/>
              <w:right w:val="nil"/>
            </w:tcBorders>
            <w:shd w:val="clear" w:color="auto" w:fill="auto"/>
            <w:noWrap/>
            <w:vAlign w:val="bottom"/>
          </w:tcPr>
          <w:p w14:paraId="02351330" w14:textId="77777777" w:rsidR="008146FA" w:rsidRPr="0074154F" w:rsidRDefault="008146FA" w:rsidP="008146FA">
            <w:pPr>
              <w:spacing w:after="0" w:line="240" w:lineRule="auto"/>
              <w:rPr>
                <w:rFonts w:ascii="Arial" w:eastAsia="Times New Roman" w:hAnsi="Arial" w:cs="Arial"/>
                <w:sz w:val="20"/>
                <w:szCs w:val="20"/>
                <w:lang w:val="en-US" w:eastAsia="es-EC"/>
              </w:rPr>
            </w:pPr>
          </w:p>
        </w:tc>
        <w:tc>
          <w:tcPr>
            <w:tcW w:w="1502" w:type="dxa"/>
            <w:tcBorders>
              <w:top w:val="nil"/>
              <w:left w:val="nil"/>
              <w:right w:val="nil"/>
            </w:tcBorders>
            <w:shd w:val="clear" w:color="auto" w:fill="auto"/>
            <w:noWrap/>
            <w:vAlign w:val="bottom"/>
          </w:tcPr>
          <w:p w14:paraId="492DD222" w14:textId="4C30B2D4" w:rsidR="008146FA" w:rsidRDefault="008146FA" w:rsidP="008146FA">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100,156</w:t>
            </w:r>
          </w:p>
        </w:tc>
      </w:tr>
      <w:tr w:rsidR="008146FA" w:rsidRPr="0074154F" w14:paraId="32B8AA66" w14:textId="77777777" w:rsidTr="003F590E">
        <w:trPr>
          <w:trHeight w:val="283"/>
          <w:jc w:val="right"/>
        </w:trPr>
        <w:tc>
          <w:tcPr>
            <w:tcW w:w="5272" w:type="dxa"/>
            <w:tcBorders>
              <w:top w:val="nil"/>
              <w:left w:val="nil"/>
              <w:right w:val="nil"/>
            </w:tcBorders>
            <w:shd w:val="clear" w:color="auto" w:fill="auto"/>
            <w:noWrap/>
            <w:vAlign w:val="bottom"/>
          </w:tcPr>
          <w:p w14:paraId="2FD77A20" w14:textId="52320284" w:rsidR="008146FA" w:rsidRPr="0074154F" w:rsidRDefault="008146FA" w:rsidP="008146FA">
            <w:pPr>
              <w:spacing w:after="0" w:line="240" w:lineRule="auto"/>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 Otros menores</w:t>
            </w:r>
          </w:p>
        </w:tc>
        <w:tc>
          <w:tcPr>
            <w:tcW w:w="1502" w:type="dxa"/>
            <w:tcBorders>
              <w:top w:val="nil"/>
              <w:left w:val="nil"/>
              <w:bottom w:val="single" w:sz="6" w:space="0" w:color="auto"/>
              <w:right w:val="nil"/>
            </w:tcBorders>
            <w:shd w:val="clear" w:color="auto" w:fill="auto"/>
            <w:noWrap/>
            <w:vAlign w:val="bottom"/>
          </w:tcPr>
          <w:p w14:paraId="7874F224" w14:textId="1A3CA053"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45,748</w:t>
            </w:r>
          </w:p>
        </w:tc>
        <w:tc>
          <w:tcPr>
            <w:tcW w:w="227" w:type="dxa"/>
            <w:tcBorders>
              <w:top w:val="nil"/>
              <w:left w:val="nil"/>
              <w:right w:val="nil"/>
            </w:tcBorders>
            <w:shd w:val="clear" w:color="auto" w:fill="auto"/>
            <w:noWrap/>
            <w:vAlign w:val="bottom"/>
          </w:tcPr>
          <w:p w14:paraId="397A4B1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bottom w:val="single" w:sz="6" w:space="0" w:color="auto"/>
              <w:right w:val="nil"/>
            </w:tcBorders>
            <w:shd w:val="clear" w:color="auto" w:fill="auto"/>
            <w:noWrap/>
            <w:vAlign w:val="bottom"/>
          </w:tcPr>
          <w:p w14:paraId="239F5626" w14:textId="5FAA9881" w:rsidR="008146FA" w:rsidRPr="0074154F" w:rsidRDefault="008146FA" w:rsidP="008146FA">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45,897</w:t>
            </w:r>
          </w:p>
        </w:tc>
      </w:tr>
      <w:tr w:rsidR="008146FA" w:rsidRPr="0074154F" w14:paraId="4B913199" w14:textId="77777777" w:rsidTr="003F590E">
        <w:trPr>
          <w:trHeight w:val="283"/>
          <w:jc w:val="right"/>
        </w:trPr>
        <w:tc>
          <w:tcPr>
            <w:tcW w:w="5272" w:type="dxa"/>
            <w:tcBorders>
              <w:top w:val="nil"/>
              <w:left w:val="nil"/>
              <w:right w:val="nil"/>
            </w:tcBorders>
            <w:shd w:val="clear" w:color="auto" w:fill="auto"/>
            <w:noWrap/>
            <w:vAlign w:val="bottom"/>
          </w:tcPr>
          <w:p w14:paraId="0804B7D7" w14:textId="045F8081" w:rsidR="008146FA" w:rsidRPr="0074154F" w:rsidRDefault="008146FA" w:rsidP="008146FA">
            <w:pPr>
              <w:spacing w:after="0" w:line="240" w:lineRule="auto"/>
              <w:rPr>
                <w:rFonts w:ascii="Arial" w:eastAsia="Times New Roman" w:hAnsi="Arial" w:cs="Arial"/>
                <w:color w:val="000000"/>
                <w:sz w:val="20"/>
                <w:szCs w:val="20"/>
                <w:lang w:eastAsia="es-EC"/>
              </w:rPr>
            </w:pPr>
          </w:p>
        </w:tc>
        <w:tc>
          <w:tcPr>
            <w:tcW w:w="1502" w:type="dxa"/>
            <w:tcBorders>
              <w:top w:val="single" w:sz="6" w:space="0" w:color="auto"/>
              <w:left w:val="nil"/>
              <w:right w:val="nil"/>
            </w:tcBorders>
            <w:shd w:val="clear" w:color="auto" w:fill="auto"/>
            <w:noWrap/>
            <w:vAlign w:val="bottom"/>
          </w:tcPr>
          <w:p w14:paraId="380D7737" w14:textId="464AA622" w:rsidR="008146FA" w:rsidRPr="0074154F" w:rsidRDefault="008146FA" w:rsidP="008146FA">
            <w:pPr>
              <w:tabs>
                <w:tab w:val="decimal" w:pos="1276"/>
              </w:tabs>
              <w:spacing w:after="0" w:line="240" w:lineRule="auto"/>
              <w:rPr>
                <w:rFonts w:ascii="Arial" w:eastAsia="Times New Roman" w:hAnsi="Arial" w:cs="Arial"/>
                <w:color w:val="000000"/>
                <w:sz w:val="20"/>
                <w:szCs w:val="20"/>
                <w:lang w:val="en-US" w:eastAsia="es-MX"/>
              </w:rPr>
            </w:pPr>
          </w:p>
        </w:tc>
        <w:tc>
          <w:tcPr>
            <w:tcW w:w="227" w:type="dxa"/>
            <w:tcBorders>
              <w:left w:val="nil"/>
              <w:right w:val="nil"/>
            </w:tcBorders>
            <w:shd w:val="clear" w:color="auto" w:fill="auto"/>
            <w:noWrap/>
            <w:vAlign w:val="bottom"/>
          </w:tcPr>
          <w:p w14:paraId="77A3571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single" w:sz="6" w:space="0" w:color="auto"/>
              <w:left w:val="nil"/>
              <w:right w:val="nil"/>
            </w:tcBorders>
            <w:shd w:val="clear" w:color="auto" w:fill="auto"/>
            <w:noWrap/>
            <w:vAlign w:val="bottom"/>
          </w:tcPr>
          <w:p w14:paraId="5050EC97" w14:textId="75B89C21" w:rsidR="008146FA" w:rsidRPr="0074154F" w:rsidRDefault="008146FA" w:rsidP="008146FA">
            <w:pPr>
              <w:tabs>
                <w:tab w:val="decimal" w:pos="1276"/>
              </w:tabs>
              <w:spacing w:after="0" w:line="240" w:lineRule="auto"/>
              <w:rPr>
                <w:rFonts w:ascii="Arial" w:eastAsia="Times New Roman" w:hAnsi="Arial" w:cs="Arial"/>
                <w:color w:val="000000"/>
                <w:sz w:val="20"/>
                <w:szCs w:val="20"/>
                <w:lang w:val="en-US" w:eastAsia="es-MX"/>
              </w:rPr>
            </w:pPr>
          </w:p>
        </w:tc>
      </w:tr>
      <w:tr w:rsidR="008146FA" w:rsidRPr="0074154F" w14:paraId="33CE9080" w14:textId="77777777" w:rsidTr="007246EE">
        <w:trPr>
          <w:trHeight w:val="283"/>
          <w:jc w:val="right"/>
        </w:trPr>
        <w:tc>
          <w:tcPr>
            <w:tcW w:w="5272" w:type="dxa"/>
            <w:tcBorders>
              <w:top w:val="nil"/>
              <w:left w:val="nil"/>
              <w:right w:val="nil"/>
            </w:tcBorders>
            <w:shd w:val="clear" w:color="auto" w:fill="auto"/>
            <w:noWrap/>
            <w:vAlign w:val="bottom"/>
          </w:tcPr>
          <w:p w14:paraId="179B67F9" w14:textId="77777777"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sz w:val="20"/>
                <w:szCs w:val="20"/>
                <w:lang w:eastAsia="es-EC"/>
              </w:rPr>
              <w:t>Total</w:t>
            </w:r>
          </w:p>
        </w:tc>
        <w:tc>
          <w:tcPr>
            <w:tcW w:w="1502" w:type="dxa"/>
            <w:tcBorders>
              <w:top w:val="nil"/>
              <w:left w:val="nil"/>
              <w:bottom w:val="double" w:sz="4" w:space="0" w:color="auto"/>
              <w:right w:val="nil"/>
            </w:tcBorders>
            <w:shd w:val="clear" w:color="auto" w:fill="auto"/>
            <w:noWrap/>
            <w:vAlign w:val="bottom"/>
          </w:tcPr>
          <w:p w14:paraId="3FF06FC2" w14:textId="749F2E39"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16,003,935</w:t>
            </w:r>
          </w:p>
        </w:tc>
        <w:tc>
          <w:tcPr>
            <w:tcW w:w="227" w:type="dxa"/>
            <w:tcBorders>
              <w:top w:val="nil"/>
              <w:left w:val="nil"/>
              <w:right w:val="nil"/>
            </w:tcBorders>
            <w:shd w:val="clear" w:color="auto" w:fill="auto"/>
            <w:noWrap/>
            <w:vAlign w:val="bottom"/>
          </w:tcPr>
          <w:p w14:paraId="05FC3714"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bottom w:val="double" w:sz="4" w:space="0" w:color="auto"/>
              <w:right w:val="nil"/>
            </w:tcBorders>
            <w:shd w:val="clear" w:color="auto" w:fill="auto"/>
            <w:noWrap/>
            <w:vAlign w:val="bottom"/>
          </w:tcPr>
          <w:p w14:paraId="37D9A653" w14:textId="7EAAD296"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28,698,473</w:t>
            </w:r>
          </w:p>
        </w:tc>
      </w:tr>
      <w:tr w:rsidR="008146FA" w:rsidRPr="0074154F" w14:paraId="6159309A" w14:textId="77777777" w:rsidTr="00BA0B15">
        <w:trPr>
          <w:trHeight w:val="159"/>
          <w:jc w:val="right"/>
        </w:trPr>
        <w:tc>
          <w:tcPr>
            <w:tcW w:w="5272" w:type="dxa"/>
            <w:tcBorders>
              <w:top w:val="nil"/>
              <w:left w:val="nil"/>
              <w:right w:val="nil"/>
            </w:tcBorders>
            <w:shd w:val="clear" w:color="auto" w:fill="auto"/>
            <w:noWrap/>
            <w:vAlign w:val="bottom"/>
          </w:tcPr>
          <w:p w14:paraId="52410C3D" w14:textId="77777777"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double" w:sz="4" w:space="0" w:color="auto"/>
              <w:left w:val="nil"/>
              <w:right w:val="nil"/>
            </w:tcBorders>
            <w:shd w:val="clear" w:color="auto" w:fill="auto"/>
            <w:noWrap/>
            <w:vAlign w:val="bottom"/>
          </w:tcPr>
          <w:p w14:paraId="247F4F49"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top w:val="nil"/>
              <w:left w:val="nil"/>
              <w:right w:val="nil"/>
            </w:tcBorders>
            <w:shd w:val="clear" w:color="auto" w:fill="auto"/>
            <w:noWrap/>
            <w:vAlign w:val="bottom"/>
          </w:tcPr>
          <w:p w14:paraId="4311762A"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double" w:sz="4" w:space="0" w:color="auto"/>
              <w:left w:val="nil"/>
              <w:right w:val="nil"/>
            </w:tcBorders>
            <w:shd w:val="clear" w:color="auto" w:fill="auto"/>
            <w:noWrap/>
            <w:vAlign w:val="bottom"/>
          </w:tcPr>
          <w:p w14:paraId="0FEF1083"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r>
      <w:tr w:rsidR="008146FA" w:rsidRPr="0074154F" w14:paraId="73F60EB0" w14:textId="77777777" w:rsidTr="00177C07">
        <w:trPr>
          <w:trHeight w:val="283"/>
          <w:jc w:val="right"/>
        </w:trPr>
        <w:tc>
          <w:tcPr>
            <w:tcW w:w="5272" w:type="dxa"/>
            <w:tcBorders>
              <w:left w:val="nil"/>
              <w:right w:val="nil"/>
            </w:tcBorders>
            <w:shd w:val="clear" w:color="auto" w:fill="auto"/>
            <w:noWrap/>
            <w:vAlign w:val="bottom"/>
          </w:tcPr>
          <w:p w14:paraId="683AE762" w14:textId="77777777" w:rsidR="008146FA" w:rsidRPr="0074154F" w:rsidRDefault="008146FA" w:rsidP="008146FA">
            <w:pPr>
              <w:spacing w:after="0" w:line="240" w:lineRule="auto"/>
              <w:ind w:left="-70"/>
              <w:rPr>
                <w:rFonts w:ascii="Arial" w:eastAsia="Times New Roman" w:hAnsi="Arial" w:cs="Arial"/>
                <w:b/>
                <w:bCs/>
                <w:i/>
                <w:iCs/>
                <w:color w:val="000000"/>
                <w:sz w:val="20"/>
                <w:szCs w:val="20"/>
                <w:u w:val="single"/>
                <w:lang w:eastAsia="es-EC"/>
              </w:rPr>
            </w:pPr>
            <w:r w:rsidRPr="0074154F">
              <w:rPr>
                <w:rFonts w:ascii="Arial" w:eastAsia="Times New Roman" w:hAnsi="Arial" w:cs="Arial"/>
                <w:b/>
                <w:bCs/>
                <w:i/>
                <w:iCs/>
                <w:sz w:val="20"/>
                <w:szCs w:val="20"/>
                <w:u w:val="single"/>
                <w:lang w:eastAsia="es-EC"/>
              </w:rPr>
              <w:t>Cuentas por pagar</w:t>
            </w:r>
            <w:r w:rsidRPr="0074154F">
              <w:rPr>
                <w:rFonts w:ascii="Arial" w:eastAsia="Times New Roman" w:hAnsi="Arial" w:cs="Arial"/>
                <w:b/>
                <w:i/>
                <w:iCs/>
                <w:sz w:val="20"/>
                <w:szCs w:val="20"/>
                <w:lang w:eastAsia="es-EC"/>
              </w:rPr>
              <w:t>:</w:t>
            </w:r>
          </w:p>
        </w:tc>
        <w:tc>
          <w:tcPr>
            <w:tcW w:w="1502" w:type="dxa"/>
            <w:tcBorders>
              <w:left w:val="nil"/>
              <w:right w:val="nil"/>
            </w:tcBorders>
            <w:shd w:val="clear" w:color="auto" w:fill="auto"/>
            <w:noWrap/>
            <w:vAlign w:val="bottom"/>
          </w:tcPr>
          <w:p w14:paraId="36CB7C29"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left w:val="nil"/>
              <w:right w:val="nil"/>
            </w:tcBorders>
            <w:shd w:val="clear" w:color="auto" w:fill="auto"/>
            <w:noWrap/>
            <w:vAlign w:val="bottom"/>
          </w:tcPr>
          <w:p w14:paraId="3766F767"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042E0157" w14:textId="77777777" w:rsidR="008146FA" w:rsidRPr="0074154F" w:rsidRDefault="008146FA" w:rsidP="008146FA">
            <w:pPr>
              <w:spacing w:after="0" w:line="240" w:lineRule="auto"/>
              <w:rPr>
                <w:rFonts w:ascii="Arial" w:eastAsia="Times New Roman" w:hAnsi="Arial" w:cs="Arial"/>
                <w:color w:val="000000"/>
                <w:sz w:val="20"/>
                <w:szCs w:val="20"/>
                <w:lang w:val="es-MX" w:eastAsia="es-MX"/>
              </w:rPr>
            </w:pPr>
          </w:p>
        </w:tc>
      </w:tr>
      <w:tr w:rsidR="008146FA" w:rsidRPr="0074154F" w14:paraId="6A164883" w14:textId="77777777" w:rsidTr="00177C07">
        <w:trPr>
          <w:trHeight w:val="283"/>
          <w:jc w:val="right"/>
        </w:trPr>
        <w:tc>
          <w:tcPr>
            <w:tcW w:w="5272" w:type="dxa"/>
            <w:tcBorders>
              <w:left w:val="nil"/>
              <w:right w:val="nil"/>
            </w:tcBorders>
            <w:shd w:val="clear" w:color="auto" w:fill="auto"/>
            <w:noWrap/>
            <w:vAlign w:val="bottom"/>
          </w:tcPr>
          <w:p w14:paraId="0C3ACD3A" w14:textId="3025DDD5" w:rsidR="008146FA" w:rsidRPr="0074154F" w:rsidRDefault="008146FA" w:rsidP="008146FA">
            <w:pPr>
              <w:spacing w:after="0" w:line="240" w:lineRule="auto"/>
              <w:ind w:left="-70"/>
              <w:rPr>
                <w:rFonts w:ascii="Arial" w:eastAsia="Times New Roman" w:hAnsi="Arial" w:cs="Arial"/>
                <w:sz w:val="20"/>
                <w:szCs w:val="20"/>
                <w:lang w:eastAsia="es-EC"/>
              </w:rPr>
            </w:pPr>
            <w:r w:rsidRPr="0074154F">
              <w:rPr>
                <w:rFonts w:ascii="Arial" w:eastAsia="Times New Roman" w:hAnsi="Arial" w:cs="Arial"/>
                <w:sz w:val="20"/>
                <w:szCs w:val="20"/>
                <w:lang w:eastAsia="es-EC"/>
              </w:rPr>
              <w:t xml:space="preserve">  Cable Andino S.A. </w:t>
            </w:r>
            <w:proofErr w:type="spellStart"/>
            <w:r w:rsidRPr="0074154F">
              <w:rPr>
                <w:rFonts w:ascii="Arial" w:eastAsia="Times New Roman" w:hAnsi="Arial" w:cs="Arial"/>
                <w:sz w:val="20"/>
                <w:szCs w:val="20"/>
                <w:lang w:eastAsia="es-EC"/>
              </w:rPr>
              <w:t>Corpandino</w:t>
            </w:r>
            <w:proofErr w:type="spellEnd"/>
            <w:r w:rsidRPr="0074154F">
              <w:rPr>
                <w:rFonts w:ascii="Arial" w:eastAsia="Times New Roman" w:hAnsi="Arial" w:cs="Arial"/>
                <w:sz w:val="20"/>
                <w:szCs w:val="20"/>
                <w:lang w:eastAsia="es-EC"/>
              </w:rPr>
              <w:t xml:space="preserve"> </w:t>
            </w:r>
          </w:p>
        </w:tc>
        <w:tc>
          <w:tcPr>
            <w:tcW w:w="1502" w:type="dxa"/>
            <w:tcBorders>
              <w:left w:val="nil"/>
              <w:right w:val="nil"/>
            </w:tcBorders>
            <w:shd w:val="clear" w:color="auto" w:fill="auto"/>
            <w:noWrap/>
            <w:vAlign w:val="bottom"/>
          </w:tcPr>
          <w:p w14:paraId="46DFF2AD" w14:textId="0C148881"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324,066</w:t>
            </w:r>
          </w:p>
        </w:tc>
        <w:tc>
          <w:tcPr>
            <w:tcW w:w="227" w:type="dxa"/>
            <w:tcBorders>
              <w:left w:val="nil"/>
              <w:right w:val="nil"/>
            </w:tcBorders>
            <w:shd w:val="clear" w:color="auto" w:fill="auto"/>
            <w:noWrap/>
            <w:vAlign w:val="bottom"/>
          </w:tcPr>
          <w:p w14:paraId="186DB110"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432E80F6" w14:textId="7D726CC8"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r>
      <w:tr w:rsidR="008146FA" w:rsidRPr="0074154F" w14:paraId="2D2E4175" w14:textId="77777777" w:rsidTr="00177C07">
        <w:trPr>
          <w:trHeight w:val="283"/>
          <w:jc w:val="right"/>
        </w:trPr>
        <w:tc>
          <w:tcPr>
            <w:tcW w:w="5272" w:type="dxa"/>
            <w:tcBorders>
              <w:left w:val="nil"/>
              <w:right w:val="nil"/>
            </w:tcBorders>
            <w:shd w:val="clear" w:color="auto" w:fill="auto"/>
            <w:noWrap/>
            <w:vAlign w:val="bottom"/>
          </w:tcPr>
          <w:p w14:paraId="5FB5D6F7" w14:textId="7737FAA5" w:rsidR="008146FA" w:rsidRPr="0074154F" w:rsidRDefault="008146FA" w:rsidP="008146FA">
            <w:pPr>
              <w:spacing w:after="0" w:line="240" w:lineRule="auto"/>
              <w:ind w:left="-70"/>
              <w:rPr>
                <w:rFonts w:ascii="Arial" w:eastAsia="Times New Roman" w:hAnsi="Arial" w:cs="Arial"/>
                <w:sz w:val="20"/>
                <w:szCs w:val="20"/>
                <w:lang w:eastAsia="es-EC"/>
              </w:rPr>
            </w:pPr>
            <w:r>
              <w:rPr>
                <w:rFonts w:ascii="Arial" w:eastAsia="Times New Roman" w:hAnsi="Arial" w:cs="Arial"/>
                <w:color w:val="000000"/>
                <w:sz w:val="20"/>
                <w:szCs w:val="20"/>
                <w:lang w:eastAsia="es-EC"/>
              </w:rPr>
              <w:t xml:space="preserve">  </w:t>
            </w:r>
            <w:proofErr w:type="spellStart"/>
            <w:r w:rsidRPr="0074154F">
              <w:rPr>
                <w:rFonts w:ascii="Arial" w:eastAsia="Times New Roman" w:hAnsi="Arial" w:cs="Arial"/>
                <w:color w:val="000000"/>
                <w:sz w:val="20"/>
                <w:szCs w:val="20"/>
                <w:lang w:eastAsia="es-EC"/>
              </w:rPr>
              <w:t>Latamfiberhome</w:t>
            </w:r>
            <w:proofErr w:type="spellEnd"/>
            <w:r w:rsidRPr="0074154F">
              <w:rPr>
                <w:rFonts w:ascii="Arial" w:eastAsia="Times New Roman" w:hAnsi="Arial" w:cs="Arial"/>
                <w:color w:val="000000"/>
                <w:sz w:val="20"/>
                <w:szCs w:val="20"/>
                <w:lang w:eastAsia="es-EC"/>
              </w:rPr>
              <w:t xml:space="preserve"> Cable </w:t>
            </w:r>
            <w:proofErr w:type="spellStart"/>
            <w:proofErr w:type="gramStart"/>
            <w:r w:rsidRPr="0074154F">
              <w:rPr>
                <w:rFonts w:ascii="Arial" w:eastAsia="Times New Roman" w:hAnsi="Arial" w:cs="Arial"/>
                <w:color w:val="000000"/>
                <w:sz w:val="20"/>
                <w:szCs w:val="20"/>
                <w:lang w:eastAsia="es-EC"/>
              </w:rPr>
              <w:t>C.LTda</w:t>
            </w:r>
            <w:proofErr w:type="spellEnd"/>
            <w:proofErr w:type="gramEnd"/>
            <w:r w:rsidRPr="0074154F">
              <w:rPr>
                <w:rFonts w:ascii="Arial" w:eastAsia="Times New Roman" w:hAnsi="Arial" w:cs="Arial"/>
                <w:color w:val="000000"/>
                <w:sz w:val="20"/>
                <w:szCs w:val="20"/>
                <w:lang w:eastAsia="es-EC"/>
              </w:rPr>
              <w:t>.</w:t>
            </w:r>
          </w:p>
        </w:tc>
        <w:tc>
          <w:tcPr>
            <w:tcW w:w="1502" w:type="dxa"/>
            <w:tcBorders>
              <w:left w:val="nil"/>
              <w:right w:val="nil"/>
            </w:tcBorders>
            <w:shd w:val="clear" w:color="auto" w:fill="auto"/>
            <w:noWrap/>
            <w:vAlign w:val="bottom"/>
          </w:tcPr>
          <w:p w14:paraId="5E04BD83" w14:textId="02B38C68" w:rsidR="008146FA"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val="es-MX" w:eastAsia="es-MX"/>
              </w:rPr>
              <w:t>219,845</w:t>
            </w:r>
          </w:p>
        </w:tc>
        <w:tc>
          <w:tcPr>
            <w:tcW w:w="227" w:type="dxa"/>
            <w:tcBorders>
              <w:left w:val="nil"/>
              <w:right w:val="nil"/>
            </w:tcBorders>
            <w:shd w:val="clear" w:color="auto" w:fill="auto"/>
            <w:noWrap/>
            <w:vAlign w:val="bottom"/>
          </w:tcPr>
          <w:p w14:paraId="76E72720"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1CD4DCFB" w14:textId="3D1E1E70" w:rsidR="008146FA"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1,019,647</w:t>
            </w:r>
          </w:p>
        </w:tc>
      </w:tr>
      <w:tr w:rsidR="008146FA" w:rsidRPr="0074154F" w14:paraId="0A42158A" w14:textId="77777777" w:rsidTr="00177C07">
        <w:trPr>
          <w:trHeight w:val="283"/>
          <w:jc w:val="right"/>
        </w:trPr>
        <w:tc>
          <w:tcPr>
            <w:tcW w:w="5272" w:type="dxa"/>
            <w:tcBorders>
              <w:left w:val="nil"/>
              <w:right w:val="nil"/>
            </w:tcBorders>
            <w:shd w:val="clear" w:color="auto" w:fill="auto"/>
            <w:noWrap/>
            <w:vAlign w:val="bottom"/>
          </w:tcPr>
          <w:p w14:paraId="46309C93" w14:textId="77CC43BA" w:rsidR="008146FA" w:rsidRPr="0074154F" w:rsidRDefault="008146FA" w:rsidP="008146FA">
            <w:pPr>
              <w:spacing w:after="0" w:line="240" w:lineRule="auto"/>
              <w:ind w:left="-70"/>
              <w:rPr>
                <w:rFonts w:ascii="Arial" w:eastAsia="Times New Roman" w:hAnsi="Arial" w:cs="Arial"/>
                <w:sz w:val="20"/>
                <w:szCs w:val="20"/>
                <w:lang w:eastAsia="es-EC"/>
              </w:rPr>
            </w:pPr>
            <w:r w:rsidRPr="0074154F">
              <w:rPr>
                <w:rFonts w:ascii="Arial" w:eastAsia="Times New Roman" w:hAnsi="Arial" w:cs="Arial"/>
                <w:color w:val="000000"/>
                <w:sz w:val="20"/>
                <w:szCs w:val="20"/>
                <w:lang w:eastAsia="es-EC"/>
              </w:rPr>
              <w:t xml:space="preserve">  Telcodata S.A.</w:t>
            </w:r>
          </w:p>
        </w:tc>
        <w:tc>
          <w:tcPr>
            <w:tcW w:w="1502" w:type="dxa"/>
            <w:tcBorders>
              <w:left w:val="nil"/>
              <w:right w:val="nil"/>
            </w:tcBorders>
            <w:shd w:val="clear" w:color="auto" w:fill="auto"/>
            <w:noWrap/>
            <w:vAlign w:val="bottom"/>
          </w:tcPr>
          <w:p w14:paraId="51F39602" w14:textId="4F195CF7"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178,186</w:t>
            </w:r>
          </w:p>
        </w:tc>
        <w:tc>
          <w:tcPr>
            <w:tcW w:w="227" w:type="dxa"/>
            <w:tcBorders>
              <w:left w:val="nil"/>
              <w:right w:val="nil"/>
            </w:tcBorders>
            <w:shd w:val="clear" w:color="auto" w:fill="auto"/>
            <w:noWrap/>
            <w:vAlign w:val="bottom"/>
          </w:tcPr>
          <w:p w14:paraId="08CEA611"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7AC59DC2" w14:textId="6B19BD16"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262,354</w:t>
            </w:r>
          </w:p>
        </w:tc>
      </w:tr>
      <w:tr w:rsidR="008146FA" w:rsidRPr="0074154F" w14:paraId="199D357C" w14:textId="77777777" w:rsidTr="00177C07">
        <w:trPr>
          <w:trHeight w:val="283"/>
          <w:jc w:val="right"/>
        </w:trPr>
        <w:tc>
          <w:tcPr>
            <w:tcW w:w="5272" w:type="dxa"/>
            <w:tcBorders>
              <w:left w:val="nil"/>
              <w:right w:val="nil"/>
            </w:tcBorders>
            <w:shd w:val="clear" w:color="auto" w:fill="auto"/>
            <w:noWrap/>
            <w:vAlign w:val="bottom"/>
          </w:tcPr>
          <w:p w14:paraId="042B3D79" w14:textId="5C905DF1" w:rsidR="008146FA" w:rsidRPr="0074154F" w:rsidRDefault="008146FA" w:rsidP="008146FA">
            <w:pPr>
              <w:spacing w:after="0" w:line="240" w:lineRule="auto"/>
              <w:ind w:left="-70"/>
              <w:rPr>
                <w:rFonts w:ascii="Arial" w:eastAsia="Times New Roman" w:hAnsi="Arial" w:cs="Arial"/>
                <w:sz w:val="20"/>
                <w:szCs w:val="20"/>
                <w:lang w:eastAsia="es-EC"/>
              </w:rPr>
            </w:pPr>
            <w:r w:rsidRPr="0074154F">
              <w:rPr>
                <w:rFonts w:ascii="Arial" w:eastAsia="Times New Roman" w:hAnsi="Arial" w:cs="Arial"/>
                <w:color w:val="000000"/>
                <w:sz w:val="20"/>
                <w:szCs w:val="20"/>
                <w:lang w:eastAsia="es-EC"/>
              </w:rPr>
              <w:t xml:space="preserve">  Cajamarca </w:t>
            </w:r>
            <w:proofErr w:type="spellStart"/>
            <w:r w:rsidRPr="0074154F">
              <w:rPr>
                <w:rFonts w:ascii="Arial" w:eastAsia="Times New Roman" w:hAnsi="Arial" w:cs="Arial"/>
                <w:color w:val="000000"/>
                <w:sz w:val="20"/>
                <w:szCs w:val="20"/>
                <w:lang w:eastAsia="es-EC"/>
              </w:rPr>
              <w:t>Protective</w:t>
            </w:r>
            <w:proofErr w:type="spellEnd"/>
            <w:r w:rsidRPr="0074154F">
              <w:rPr>
                <w:rFonts w:ascii="Arial" w:eastAsia="Times New Roman" w:hAnsi="Arial" w:cs="Arial"/>
                <w:color w:val="000000"/>
                <w:sz w:val="20"/>
                <w:szCs w:val="20"/>
                <w:lang w:eastAsia="es-EC"/>
              </w:rPr>
              <w:t xml:space="preserve"> Services </w:t>
            </w:r>
            <w:proofErr w:type="spellStart"/>
            <w:r w:rsidRPr="0074154F">
              <w:rPr>
                <w:rFonts w:ascii="Arial" w:eastAsia="Times New Roman" w:hAnsi="Arial" w:cs="Arial"/>
                <w:color w:val="000000"/>
                <w:sz w:val="20"/>
                <w:szCs w:val="20"/>
                <w:lang w:eastAsia="es-EC"/>
              </w:rPr>
              <w:t>Cia</w:t>
            </w:r>
            <w:proofErr w:type="spellEnd"/>
            <w:r w:rsidRPr="0074154F">
              <w:rPr>
                <w:rFonts w:ascii="Arial" w:eastAsia="Times New Roman" w:hAnsi="Arial" w:cs="Arial"/>
                <w:color w:val="000000"/>
                <w:sz w:val="20"/>
                <w:szCs w:val="20"/>
                <w:lang w:eastAsia="es-EC"/>
              </w:rPr>
              <w:t>. Ltda.</w:t>
            </w:r>
          </w:p>
        </w:tc>
        <w:tc>
          <w:tcPr>
            <w:tcW w:w="1502" w:type="dxa"/>
            <w:tcBorders>
              <w:left w:val="nil"/>
              <w:right w:val="nil"/>
            </w:tcBorders>
            <w:shd w:val="clear" w:color="auto" w:fill="auto"/>
            <w:noWrap/>
            <w:vAlign w:val="bottom"/>
          </w:tcPr>
          <w:p w14:paraId="09E1FC1D" w14:textId="27801B94"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95,711</w:t>
            </w:r>
          </w:p>
        </w:tc>
        <w:tc>
          <w:tcPr>
            <w:tcW w:w="227" w:type="dxa"/>
            <w:tcBorders>
              <w:left w:val="nil"/>
              <w:right w:val="nil"/>
            </w:tcBorders>
            <w:shd w:val="clear" w:color="auto" w:fill="auto"/>
            <w:noWrap/>
            <w:vAlign w:val="bottom"/>
          </w:tcPr>
          <w:p w14:paraId="3D919E01"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1667726B" w14:textId="14DF6590"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79,170</w:t>
            </w:r>
          </w:p>
        </w:tc>
      </w:tr>
      <w:tr w:rsidR="008146FA" w:rsidRPr="0074154F" w14:paraId="177811BC" w14:textId="77777777" w:rsidTr="00177C07">
        <w:trPr>
          <w:trHeight w:val="283"/>
          <w:jc w:val="right"/>
        </w:trPr>
        <w:tc>
          <w:tcPr>
            <w:tcW w:w="5272" w:type="dxa"/>
            <w:tcBorders>
              <w:left w:val="nil"/>
              <w:right w:val="nil"/>
            </w:tcBorders>
            <w:shd w:val="clear" w:color="auto" w:fill="auto"/>
            <w:noWrap/>
            <w:vAlign w:val="bottom"/>
          </w:tcPr>
          <w:p w14:paraId="1164288A" w14:textId="6A573709" w:rsidR="008146FA" w:rsidRPr="0074154F" w:rsidRDefault="008146FA" w:rsidP="008146FA">
            <w:pPr>
              <w:spacing w:after="0" w:line="240" w:lineRule="auto"/>
              <w:ind w:left="-70"/>
              <w:rPr>
                <w:rFonts w:ascii="Arial" w:eastAsia="Times New Roman" w:hAnsi="Arial" w:cs="Arial"/>
                <w:sz w:val="20"/>
                <w:szCs w:val="20"/>
                <w:lang w:eastAsia="es-EC"/>
              </w:rPr>
            </w:pPr>
            <w:r w:rsidRPr="0074154F">
              <w:rPr>
                <w:rFonts w:ascii="Arial" w:eastAsia="Times New Roman" w:hAnsi="Arial" w:cs="Arial"/>
                <w:color w:val="000000"/>
                <w:sz w:val="20"/>
                <w:szCs w:val="20"/>
                <w:lang w:eastAsia="es-EC"/>
              </w:rPr>
              <w:t xml:space="preserve">  Security Data Seguridad en datos y Firma Digital S.A.</w:t>
            </w:r>
          </w:p>
        </w:tc>
        <w:tc>
          <w:tcPr>
            <w:tcW w:w="1502" w:type="dxa"/>
            <w:tcBorders>
              <w:left w:val="nil"/>
              <w:right w:val="nil"/>
            </w:tcBorders>
            <w:shd w:val="clear" w:color="auto" w:fill="auto"/>
            <w:noWrap/>
            <w:vAlign w:val="bottom"/>
          </w:tcPr>
          <w:p w14:paraId="4A73EBDB" w14:textId="2EC2EDD4"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83,932</w:t>
            </w:r>
          </w:p>
        </w:tc>
        <w:tc>
          <w:tcPr>
            <w:tcW w:w="227" w:type="dxa"/>
            <w:tcBorders>
              <w:left w:val="nil"/>
              <w:right w:val="nil"/>
            </w:tcBorders>
            <w:shd w:val="clear" w:color="auto" w:fill="auto"/>
            <w:noWrap/>
            <w:vAlign w:val="bottom"/>
          </w:tcPr>
          <w:p w14:paraId="5C2C1376"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21F38D15" w14:textId="67BB083A"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70,000</w:t>
            </w:r>
          </w:p>
        </w:tc>
      </w:tr>
      <w:tr w:rsidR="008146FA" w:rsidRPr="0074154F" w14:paraId="12B3F15D" w14:textId="77777777" w:rsidTr="00177C07">
        <w:trPr>
          <w:trHeight w:val="283"/>
          <w:jc w:val="right"/>
        </w:trPr>
        <w:tc>
          <w:tcPr>
            <w:tcW w:w="5272" w:type="dxa"/>
            <w:tcBorders>
              <w:left w:val="nil"/>
              <w:right w:val="nil"/>
            </w:tcBorders>
            <w:shd w:val="clear" w:color="auto" w:fill="auto"/>
            <w:noWrap/>
            <w:vAlign w:val="bottom"/>
          </w:tcPr>
          <w:p w14:paraId="3163B169" w14:textId="33C3C322" w:rsidR="008146FA" w:rsidRPr="0074154F" w:rsidRDefault="008146FA" w:rsidP="008146FA">
            <w:pPr>
              <w:spacing w:after="0" w:line="240" w:lineRule="auto"/>
              <w:ind w:left="-7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  Linkotel S.A.</w:t>
            </w:r>
          </w:p>
        </w:tc>
        <w:tc>
          <w:tcPr>
            <w:tcW w:w="1502" w:type="dxa"/>
            <w:tcBorders>
              <w:left w:val="nil"/>
              <w:right w:val="nil"/>
            </w:tcBorders>
            <w:shd w:val="clear" w:color="auto" w:fill="auto"/>
            <w:noWrap/>
            <w:vAlign w:val="bottom"/>
          </w:tcPr>
          <w:p w14:paraId="5899D3C6" w14:textId="6C2B4C3C"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14,494</w:t>
            </w:r>
          </w:p>
        </w:tc>
        <w:tc>
          <w:tcPr>
            <w:tcW w:w="227" w:type="dxa"/>
            <w:tcBorders>
              <w:left w:val="nil"/>
              <w:right w:val="nil"/>
            </w:tcBorders>
            <w:shd w:val="clear" w:color="auto" w:fill="auto"/>
            <w:noWrap/>
            <w:vAlign w:val="bottom"/>
          </w:tcPr>
          <w:p w14:paraId="205E297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5769D8ED" w14:textId="541877FB"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1,672,067</w:t>
            </w:r>
          </w:p>
        </w:tc>
      </w:tr>
      <w:tr w:rsidR="008146FA" w:rsidRPr="0074154F" w14:paraId="2F2F17A4" w14:textId="77777777" w:rsidTr="007246EE">
        <w:trPr>
          <w:trHeight w:val="283"/>
          <w:jc w:val="right"/>
        </w:trPr>
        <w:tc>
          <w:tcPr>
            <w:tcW w:w="5272" w:type="dxa"/>
            <w:tcBorders>
              <w:top w:val="nil"/>
              <w:left w:val="nil"/>
              <w:right w:val="nil"/>
            </w:tcBorders>
            <w:shd w:val="clear" w:color="auto" w:fill="auto"/>
            <w:noWrap/>
            <w:vAlign w:val="bottom"/>
          </w:tcPr>
          <w:p w14:paraId="2D9CD577" w14:textId="62F38F07" w:rsidR="008146FA" w:rsidRPr="0074154F" w:rsidRDefault="008146FA" w:rsidP="008146FA">
            <w:pPr>
              <w:spacing w:after="0" w:line="240" w:lineRule="auto"/>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T</w:t>
            </w:r>
            <w:r w:rsidRPr="0074154F">
              <w:rPr>
                <w:rFonts w:ascii="Arial" w:eastAsia="Times New Roman" w:hAnsi="Arial" w:cs="Arial"/>
                <w:color w:val="000000"/>
                <w:sz w:val="20"/>
                <w:szCs w:val="20"/>
                <w:lang w:eastAsia="es-EC"/>
              </w:rPr>
              <w:t>elsoterra S.A.</w:t>
            </w:r>
          </w:p>
        </w:tc>
        <w:tc>
          <w:tcPr>
            <w:tcW w:w="1502" w:type="dxa"/>
            <w:tcBorders>
              <w:top w:val="nil"/>
              <w:left w:val="nil"/>
              <w:right w:val="nil"/>
            </w:tcBorders>
            <w:shd w:val="clear" w:color="auto" w:fill="auto"/>
            <w:noWrap/>
            <w:vAlign w:val="bottom"/>
          </w:tcPr>
          <w:p w14:paraId="74B60E91" w14:textId="4839BA8D"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w:t>
            </w:r>
          </w:p>
        </w:tc>
        <w:tc>
          <w:tcPr>
            <w:tcW w:w="227" w:type="dxa"/>
            <w:tcBorders>
              <w:top w:val="nil"/>
              <w:left w:val="nil"/>
              <w:right w:val="nil"/>
            </w:tcBorders>
            <w:shd w:val="clear" w:color="auto" w:fill="auto"/>
            <w:noWrap/>
            <w:vAlign w:val="bottom"/>
          </w:tcPr>
          <w:p w14:paraId="0759D6CD"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right w:val="nil"/>
            </w:tcBorders>
            <w:shd w:val="clear" w:color="auto" w:fill="auto"/>
            <w:noWrap/>
            <w:vAlign w:val="bottom"/>
          </w:tcPr>
          <w:p w14:paraId="1C922F59" w14:textId="69B682DF" w:rsidR="008146FA" w:rsidRPr="0074154F" w:rsidRDefault="008146FA" w:rsidP="008146FA">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1,724,063</w:t>
            </w:r>
          </w:p>
        </w:tc>
      </w:tr>
      <w:tr w:rsidR="008146FA" w:rsidRPr="0074154F" w14:paraId="4E59E4F4" w14:textId="77777777" w:rsidTr="00B53AE1">
        <w:trPr>
          <w:trHeight w:val="219"/>
          <w:jc w:val="right"/>
        </w:trPr>
        <w:tc>
          <w:tcPr>
            <w:tcW w:w="5272" w:type="dxa"/>
            <w:tcBorders>
              <w:top w:val="nil"/>
              <w:left w:val="nil"/>
              <w:right w:val="nil"/>
            </w:tcBorders>
            <w:shd w:val="clear" w:color="auto" w:fill="auto"/>
            <w:noWrap/>
            <w:vAlign w:val="bottom"/>
          </w:tcPr>
          <w:p w14:paraId="1B83CADC" w14:textId="2308D972" w:rsidR="008146FA" w:rsidRPr="0074154F" w:rsidRDefault="008146FA" w:rsidP="008146FA">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Otros menores</w:t>
            </w:r>
          </w:p>
        </w:tc>
        <w:tc>
          <w:tcPr>
            <w:tcW w:w="1502" w:type="dxa"/>
            <w:tcBorders>
              <w:left w:val="nil"/>
              <w:right w:val="nil"/>
            </w:tcBorders>
            <w:shd w:val="clear" w:color="auto" w:fill="auto"/>
            <w:noWrap/>
            <w:vAlign w:val="bottom"/>
          </w:tcPr>
          <w:p w14:paraId="2A0A2766" w14:textId="5B5E88E9"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6,000</w:t>
            </w:r>
          </w:p>
        </w:tc>
        <w:tc>
          <w:tcPr>
            <w:tcW w:w="227" w:type="dxa"/>
            <w:tcBorders>
              <w:left w:val="nil"/>
              <w:right w:val="nil"/>
            </w:tcBorders>
            <w:shd w:val="clear" w:color="auto" w:fill="auto"/>
            <w:noWrap/>
            <w:vAlign w:val="bottom"/>
          </w:tcPr>
          <w:p w14:paraId="629646D9"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left w:val="nil"/>
              <w:right w:val="nil"/>
            </w:tcBorders>
            <w:shd w:val="clear" w:color="auto" w:fill="auto"/>
            <w:noWrap/>
            <w:vAlign w:val="bottom"/>
          </w:tcPr>
          <w:p w14:paraId="3A28E805" w14:textId="5735D692"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92,173</w:t>
            </w:r>
          </w:p>
        </w:tc>
      </w:tr>
      <w:tr w:rsidR="008146FA" w:rsidRPr="0074154F" w14:paraId="52812785" w14:textId="77777777" w:rsidTr="007246EE">
        <w:trPr>
          <w:trHeight w:val="283"/>
          <w:jc w:val="right"/>
        </w:trPr>
        <w:tc>
          <w:tcPr>
            <w:tcW w:w="5272" w:type="dxa"/>
            <w:tcBorders>
              <w:top w:val="nil"/>
              <w:left w:val="nil"/>
              <w:right w:val="nil"/>
            </w:tcBorders>
            <w:shd w:val="clear" w:color="auto" w:fill="auto"/>
            <w:noWrap/>
            <w:vAlign w:val="bottom"/>
          </w:tcPr>
          <w:p w14:paraId="218798E2" w14:textId="77777777"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single" w:sz="4" w:space="0" w:color="auto"/>
              <w:left w:val="nil"/>
              <w:right w:val="nil"/>
            </w:tcBorders>
            <w:shd w:val="clear" w:color="auto" w:fill="auto"/>
            <w:noWrap/>
            <w:vAlign w:val="bottom"/>
          </w:tcPr>
          <w:p w14:paraId="6A00C96D"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top w:val="nil"/>
              <w:left w:val="nil"/>
              <w:right w:val="nil"/>
            </w:tcBorders>
            <w:shd w:val="clear" w:color="auto" w:fill="auto"/>
            <w:noWrap/>
            <w:vAlign w:val="bottom"/>
          </w:tcPr>
          <w:p w14:paraId="3B3C5BB3"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single" w:sz="4" w:space="0" w:color="auto"/>
              <w:left w:val="nil"/>
              <w:right w:val="nil"/>
            </w:tcBorders>
            <w:shd w:val="clear" w:color="auto" w:fill="auto"/>
            <w:noWrap/>
            <w:vAlign w:val="bottom"/>
          </w:tcPr>
          <w:p w14:paraId="1596BA98"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r>
      <w:tr w:rsidR="008146FA" w:rsidRPr="0074154F" w14:paraId="243C9CED" w14:textId="77777777" w:rsidTr="007246EE">
        <w:trPr>
          <w:trHeight w:val="283"/>
          <w:jc w:val="right"/>
        </w:trPr>
        <w:tc>
          <w:tcPr>
            <w:tcW w:w="5272" w:type="dxa"/>
            <w:tcBorders>
              <w:top w:val="nil"/>
              <w:left w:val="nil"/>
              <w:right w:val="nil"/>
            </w:tcBorders>
            <w:shd w:val="clear" w:color="auto" w:fill="auto"/>
            <w:noWrap/>
            <w:vAlign w:val="bottom"/>
          </w:tcPr>
          <w:p w14:paraId="0CCD037E" w14:textId="77777777"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r w:rsidRPr="0074154F">
              <w:rPr>
                <w:rFonts w:ascii="Arial" w:eastAsia="Times New Roman" w:hAnsi="Arial" w:cs="Arial"/>
                <w:sz w:val="20"/>
                <w:szCs w:val="20"/>
                <w:lang w:eastAsia="es-EC"/>
              </w:rPr>
              <w:t>Total</w:t>
            </w:r>
          </w:p>
        </w:tc>
        <w:tc>
          <w:tcPr>
            <w:tcW w:w="1502" w:type="dxa"/>
            <w:tcBorders>
              <w:top w:val="nil"/>
              <w:left w:val="nil"/>
              <w:bottom w:val="double" w:sz="4" w:space="0" w:color="auto"/>
              <w:right w:val="nil"/>
            </w:tcBorders>
            <w:shd w:val="clear" w:color="auto" w:fill="auto"/>
            <w:noWrap/>
            <w:vAlign w:val="bottom"/>
          </w:tcPr>
          <w:p w14:paraId="300BB3AB" w14:textId="03F5DF9D"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922,234</w:t>
            </w:r>
          </w:p>
        </w:tc>
        <w:tc>
          <w:tcPr>
            <w:tcW w:w="227" w:type="dxa"/>
            <w:tcBorders>
              <w:top w:val="nil"/>
              <w:left w:val="nil"/>
              <w:right w:val="nil"/>
            </w:tcBorders>
            <w:shd w:val="clear" w:color="auto" w:fill="auto"/>
            <w:noWrap/>
            <w:vAlign w:val="bottom"/>
          </w:tcPr>
          <w:p w14:paraId="4BF8781E"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nil"/>
              <w:left w:val="nil"/>
              <w:bottom w:val="double" w:sz="4" w:space="0" w:color="auto"/>
              <w:right w:val="nil"/>
            </w:tcBorders>
            <w:shd w:val="clear" w:color="auto" w:fill="auto"/>
            <w:noWrap/>
            <w:vAlign w:val="bottom"/>
          </w:tcPr>
          <w:p w14:paraId="1624FE4D" w14:textId="35C954BF"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4,919,474</w:t>
            </w:r>
          </w:p>
        </w:tc>
      </w:tr>
      <w:tr w:rsidR="008146FA" w:rsidRPr="0074154F" w14:paraId="46DA62DD" w14:textId="77777777" w:rsidTr="002077C9">
        <w:trPr>
          <w:trHeight w:val="183"/>
          <w:jc w:val="right"/>
        </w:trPr>
        <w:tc>
          <w:tcPr>
            <w:tcW w:w="5272" w:type="dxa"/>
            <w:tcBorders>
              <w:top w:val="nil"/>
              <w:left w:val="nil"/>
              <w:right w:val="nil"/>
            </w:tcBorders>
            <w:shd w:val="clear" w:color="auto" w:fill="auto"/>
            <w:noWrap/>
            <w:vAlign w:val="bottom"/>
          </w:tcPr>
          <w:p w14:paraId="3DB54BFE" w14:textId="77777777" w:rsidR="008146FA" w:rsidRPr="0074154F" w:rsidRDefault="008146FA" w:rsidP="008146FA">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double" w:sz="4" w:space="0" w:color="auto"/>
              <w:left w:val="nil"/>
              <w:right w:val="nil"/>
            </w:tcBorders>
            <w:shd w:val="clear" w:color="auto" w:fill="auto"/>
            <w:noWrap/>
            <w:vAlign w:val="bottom"/>
          </w:tcPr>
          <w:p w14:paraId="6F3129C9"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c>
          <w:tcPr>
            <w:tcW w:w="227" w:type="dxa"/>
            <w:tcBorders>
              <w:top w:val="nil"/>
              <w:left w:val="nil"/>
              <w:right w:val="nil"/>
            </w:tcBorders>
            <w:shd w:val="clear" w:color="auto" w:fill="auto"/>
            <w:noWrap/>
            <w:vAlign w:val="bottom"/>
          </w:tcPr>
          <w:p w14:paraId="4C1CEE0B" w14:textId="77777777" w:rsidR="008146FA" w:rsidRPr="0074154F" w:rsidRDefault="008146FA" w:rsidP="008146FA">
            <w:pPr>
              <w:spacing w:after="0" w:line="240" w:lineRule="auto"/>
              <w:rPr>
                <w:rFonts w:ascii="Arial" w:eastAsia="Times New Roman" w:hAnsi="Arial" w:cs="Arial"/>
                <w:sz w:val="20"/>
                <w:szCs w:val="20"/>
                <w:lang w:eastAsia="es-EC"/>
              </w:rPr>
            </w:pPr>
          </w:p>
        </w:tc>
        <w:tc>
          <w:tcPr>
            <w:tcW w:w="1502" w:type="dxa"/>
            <w:tcBorders>
              <w:top w:val="double" w:sz="4" w:space="0" w:color="auto"/>
              <w:left w:val="nil"/>
              <w:right w:val="nil"/>
            </w:tcBorders>
            <w:shd w:val="clear" w:color="auto" w:fill="auto"/>
            <w:noWrap/>
            <w:vAlign w:val="bottom"/>
          </w:tcPr>
          <w:p w14:paraId="0CE4F6BD" w14:textId="77777777" w:rsidR="008146FA" w:rsidRPr="0074154F" w:rsidRDefault="008146FA" w:rsidP="008146FA">
            <w:pPr>
              <w:tabs>
                <w:tab w:val="decimal" w:pos="1276"/>
              </w:tabs>
              <w:spacing w:after="0" w:line="240" w:lineRule="auto"/>
              <w:rPr>
                <w:rFonts w:ascii="Arial" w:eastAsia="Times New Roman" w:hAnsi="Arial" w:cs="Arial"/>
                <w:color w:val="000000"/>
                <w:sz w:val="20"/>
                <w:szCs w:val="20"/>
                <w:lang w:val="es-MX" w:eastAsia="es-MX"/>
              </w:rPr>
            </w:pPr>
          </w:p>
        </w:tc>
      </w:tr>
    </w:tbl>
    <w:p w14:paraId="3AF14997" w14:textId="0AF10578" w:rsidR="00EE181F" w:rsidRDefault="00EE181F" w:rsidP="00EE181F">
      <w:pPr>
        <w:pStyle w:val="Heading1"/>
        <w:tabs>
          <w:tab w:val="clear" w:pos="6960"/>
          <w:tab w:val="clear" w:pos="7800"/>
          <w:tab w:val="clear" w:pos="8280"/>
          <w:tab w:val="left" w:pos="7655"/>
        </w:tabs>
        <w:ind w:left="567"/>
        <w:jc w:val="both"/>
        <w:rPr>
          <w:rFonts w:ascii="Arial" w:hAnsi="Arial" w:cs="Arial"/>
          <w:sz w:val="20"/>
          <w:u w:val="single"/>
          <w:lang w:eastAsia="es-EC"/>
        </w:rPr>
      </w:pPr>
      <w:bookmarkStart w:id="17" w:name="_Hlk67475874"/>
    </w:p>
    <w:tbl>
      <w:tblPr>
        <w:tblW w:w="8503" w:type="dxa"/>
        <w:jc w:val="right"/>
        <w:tblCellMar>
          <w:left w:w="70" w:type="dxa"/>
          <w:right w:w="70" w:type="dxa"/>
        </w:tblCellMar>
        <w:tblLook w:val="04A0" w:firstRow="1" w:lastRow="0" w:firstColumn="1" w:lastColumn="0" w:noHBand="0" w:noVBand="1"/>
      </w:tblPr>
      <w:tblGrid>
        <w:gridCol w:w="5247"/>
        <w:gridCol w:w="1798"/>
        <w:gridCol w:w="227"/>
        <w:gridCol w:w="1798"/>
      </w:tblGrid>
      <w:tr w:rsidR="009132BF" w:rsidRPr="0074154F" w14:paraId="6655573A" w14:textId="77777777" w:rsidTr="00A83348">
        <w:trPr>
          <w:trHeight w:val="283"/>
          <w:jc w:val="right"/>
        </w:trPr>
        <w:tc>
          <w:tcPr>
            <w:tcW w:w="5272" w:type="dxa"/>
            <w:tcBorders>
              <w:top w:val="nil"/>
              <w:left w:val="nil"/>
              <w:bottom w:val="nil"/>
              <w:right w:val="nil"/>
            </w:tcBorders>
            <w:shd w:val="clear" w:color="auto" w:fill="auto"/>
            <w:noWrap/>
            <w:vAlign w:val="bottom"/>
            <w:hideMark/>
          </w:tcPr>
          <w:p w14:paraId="486536CC" w14:textId="77777777" w:rsidR="009132BF" w:rsidRPr="0074154F" w:rsidRDefault="009132BF" w:rsidP="00A8334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6DF41C61" w14:textId="77777777" w:rsidR="009132BF" w:rsidRPr="0074154F" w:rsidRDefault="009132BF" w:rsidP="00A83348">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27" w:type="dxa"/>
            <w:tcBorders>
              <w:top w:val="nil"/>
              <w:left w:val="nil"/>
              <w:bottom w:val="nil"/>
              <w:right w:val="nil"/>
            </w:tcBorders>
            <w:shd w:val="clear" w:color="auto" w:fill="auto"/>
            <w:noWrap/>
            <w:vAlign w:val="bottom"/>
            <w:hideMark/>
          </w:tcPr>
          <w:p w14:paraId="48F1A123" w14:textId="77777777" w:rsidR="009132BF" w:rsidRPr="0074154F" w:rsidRDefault="009132BF" w:rsidP="00A83348">
            <w:pPr>
              <w:spacing w:after="0" w:line="240" w:lineRule="auto"/>
              <w:ind w:right="69"/>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78BF84C4" w14:textId="77777777" w:rsidR="009132BF" w:rsidRPr="0074154F" w:rsidRDefault="009132BF" w:rsidP="00A83348">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9132BF" w:rsidRPr="0074154F" w14:paraId="32786309" w14:textId="77777777" w:rsidTr="00A83348">
        <w:tblPrEx>
          <w:tblBorders>
            <w:bottom w:val="double" w:sz="4" w:space="0" w:color="auto"/>
          </w:tblBorders>
        </w:tblPrEx>
        <w:trPr>
          <w:trHeight w:val="89"/>
          <w:jc w:val="right"/>
        </w:trPr>
        <w:tc>
          <w:tcPr>
            <w:tcW w:w="5272" w:type="dxa"/>
            <w:shd w:val="clear" w:color="auto" w:fill="auto"/>
            <w:noWrap/>
            <w:vAlign w:val="bottom"/>
          </w:tcPr>
          <w:p w14:paraId="73002801" w14:textId="77777777" w:rsidR="009132BF" w:rsidRPr="0074154F" w:rsidRDefault="009132BF" w:rsidP="00A83348">
            <w:pPr>
              <w:spacing w:after="0" w:line="240" w:lineRule="auto"/>
              <w:ind w:left="-70"/>
              <w:rPr>
                <w:rFonts w:ascii="Arial" w:eastAsia="Times New Roman" w:hAnsi="Arial" w:cs="Arial"/>
                <w:b/>
                <w:bCs/>
                <w:i/>
                <w:iCs/>
                <w:sz w:val="20"/>
                <w:szCs w:val="20"/>
                <w:u w:val="single"/>
                <w:lang w:eastAsia="es-EC"/>
              </w:rPr>
            </w:pPr>
          </w:p>
        </w:tc>
        <w:tc>
          <w:tcPr>
            <w:tcW w:w="1502" w:type="dxa"/>
            <w:tcBorders>
              <w:top w:val="nil"/>
              <w:bottom w:val="nil"/>
            </w:tcBorders>
            <w:shd w:val="clear" w:color="auto" w:fill="auto"/>
            <w:noWrap/>
            <w:vAlign w:val="bottom"/>
          </w:tcPr>
          <w:p w14:paraId="680BA9B1" w14:textId="77777777" w:rsidR="009132BF" w:rsidRPr="0074154F" w:rsidRDefault="009132BF" w:rsidP="00A83348">
            <w:pPr>
              <w:tabs>
                <w:tab w:val="decimal" w:pos="1276"/>
              </w:tabs>
              <w:spacing w:after="0" w:line="240" w:lineRule="auto"/>
              <w:rPr>
                <w:rFonts w:ascii="Arial" w:eastAsia="Times New Roman" w:hAnsi="Arial" w:cs="Arial"/>
                <w:b/>
                <w:bCs/>
                <w:sz w:val="20"/>
                <w:szCs w:val="20"/>
                <w:lang w:eastAsia="es-EC"/>
              </w:rPr>
            </w:pPr>
          </w:p>
        </w:tc>
        <w:tc>
          <w:tcPr>
            <w:tcW w:w="227" w:type="dxa"/>
            <w:tcBorders>
              <w:top w:val="nil"/>
              <w:bottom w:val="nil"/>
            </w:tcBorders>
            <w:shd w:val="clear" w:color="auto" w:fill="auto"/>
            <w:noWrap/>
            <w:vAlign w:val="bottom"/>
          </w:tcPr>
          <w:p w14:paraId="2279EAE8"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top w:val="nil"/>
              <w:bottom w:val="nil"/>
            </w:tcBorders>
            <w:shd w:val="clear" w:color="auto" w:fill="auto"/>
            <w:noWrap/>
            <w:vAlign w:val="bottom"/>
          </w:tcPr>
          <w:p w14:paraId="3A358692" w14:textId="77777777" w:rsidR="009132BF" w:rsidRPr="0074154F" w:rsidRDefault="009132BF" w:rsidP="00A83348">
            <w:pPr>
              <w:tabs>
                <w:tab w:val="decimal" w:pos="1276"/>
              </w:tabs>
              <w:spacing w:after="0" w:line="240" w:lineRule="auto"/>
              <w:rPr>
                <w:rFonts w:ascii="Arial" w:eastAsia="Times New Roman" w:hAnsi="Arial" w:cs="Arial"/>
                <w:b/>
                <w:bCs/>
                <w:sz w:val="20"/>
                <w:szCs w:val="20"/>
                <w:lang w:eastAsia="es-EC"/>
              </w:rPr>
            </w:pPr>
          </w:p>
        </w:tc>
      </w:tr>
      <w:tr w:rsidR="009132BF" w:rsidRPr="0074154F" w14:paraId="5E9FE69A" w14:textId="77777777" w:rsidTr="00A83348">
        <w:tblPrEx>
          <w:tblBorders>
            <w:bottom w:val="double" w:sz="4" w:space="0" w:color="auto"/>
          </w:tblBorders>
        </w:tblPrEx>
        <w:trPr>
          <w:trHeight w:val="89"/>
          <w:jc w:val="right"/>
        </w:trPr>
        <w:tc>
          <w:tcPr>
            <w:tcW w:w="5272" w:type="dxa"/>
            <w:shd w:val="clear" w:color="auto" w:fill="auto"/>
            <w:noWrap/>
            <w:vAlign w:val="bottom"/>
          </w:tcPr>
          <w:p w14:paraId="4F7C1B7F" w14:textId="77777777" w:rsidR="009132BF" w:rsidRPr="0074154F" w:rsidRDefault="009132BF" w:rsidP="00A83348">
            <w:pPr>
              <w:spacing w:after="0" w:line="240" w:lineRule="auto"/>
              <w:ind w:left="-70"/>
              <w:rPr>
                <w:rFonts w:ascii="Arial" w:eastAsia="Times New Roman" w:hAnsi="Arial" w:cs="Arial"/>
                <w:b/>
                <w:bCs/>
                <w:i/>
                <w:iCs/>
                <w:color w:val="000000"/>
                <w:sz w:val="20"/>
                <w:szCs w:val="20"/>
                <w:u w:val="single"/>
                <w:lang w:eastAsia="es-EC"/>
              </w:rPr>
            </w:pPr>
            <w:r w:rsidRPr="0074154F">
              <w:rPr>
                <w:rFonts w:ascii="Arial" w:eastAsia="Times New Roman" w:hAnsi="Arial" w:cs="Arial"/>
                <w:b/>
                <w:bCs/>
                <w:i/>
                <w:iCs/>
                <w:sz w:val="20"/>
                <w:szCs w:val="20"/>
                <w:u w:val="single"/>
                <w:lang w:eastAsia="es-EC"/>
              </w:rPr>
              <w:t>Ingresos operacionales</w:t>
            </w:r>
            <w:r w:rsidRPr="0074154F">
              <w:rPr>
                <w:rFonts w:ascii="Arial" w:eastAsia="Times New Roman" w:hAnsi="Arial" w:cs="Arial"/>
                <w:b/>
                <w:bCs/>
                <w:i/>
                <w:iCs/>
                <w:sz w:val="20"/>
                <w:szCs w:val="20"/>
                <w:lang w:eastAsia="es-EC"/>
              </w:rPr>
              <w:t>:</w:t>
            </w:r>
          </w:p>
        </w:tc>
        <w:tc>
          <w:tcPr>
            <w:tcW w:w="1502" w:type="dxa"/>
            <w:tcBorders>
              <w:top w:val="nil"/>
              <w:bottom w:val="nil"/>
            </w:tcBorders>
            <w:shd w:val="clear" w:color="auto" w:fill="auto"/>
            <w:noWrap/>
            <w:vAlign w:val="bottom"/>
          </w:tcPr>
          <w:p w14:paraId="6737BF0F" w14:textId="77777777" w:rsidR="009132BF" w:rsidRPr="0074154F" w:rsidRDefault="009132BF" w:rsidP="00A83348">
            <w:pPr>
              <w:tabs>
                <w:tab w:val="decimal" w:pos="1276"/>
              </w:tabs>
              <w:spacing w:after="0" w:line="240" w:lineRule="auto"/>
              <w:rPr>
                <w:rFonts w:ascii="Arial" w:eastAsia="Times New Roman" w:hAnsi="Arial" w:cs="Arial"/>
                <w:b/>
                <w:bCs/>
                <w:sz w:val="20"/>
                <w:szCs w:val="20"/>
                <w:lang w:eastAsia="es-EC"/>
              </w:rPr>
            </w:pPr>
          </w:p>
        </w:tc>
        <w:tc>
          <w:tcPr>
            <w:tcW w:w="227" w:type="dxa"/>
            <w:tcBorders>
              <w:top w:val="nil"/>
              <w:bottom w:val="nil"/>
            </w:tcBorders>
            <w:shd w:val="clear" w:color="auto" w:fill="auto"/>
            <w:noWrap/>
            <w:vAlign w:val="bottom"/>
          </w:tcPr>
          <w:p w14:paraId="60A9A02D"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top w:val="nil"/>
              <w:bottom w:val="nil"/>
            </w:tcBorders>
            <w:shd w:val="clear" w:color="auto" w:fill="auto"/>
            <w:noWrap/>
            <w:vAlign w:val="bottom"/>
          </w:tcPr>
          <w:p w14:paraId="6672D69B" w14:textId="77777777" w:rsidR="009132BF" w:rsidRPr="0074154F" w:rsidRDefault="009132BF" w:rsidP="00A83348">
            <w:pPr>
              <w:tabs>
                <w:tab w:val="decimal" w:pos="1276"/>
              </w:tabs>
              <w:spacing w:after="0" w:line="240" w:lineRule="auto"/>
              <w:rPr>
                <w:rFonts w:ascii="Arial" w:eastAsia="Times New Roman" w:hAnsi="Arial" w:cs="Arial"/>
                <w:b/>
                <w:bCs/>
                <w:sz w:val="20"/>
                <w:szCs w:val="20"/>
                <w:lang w:eastAsia="es-EC"/>
              </w:rPr>
            </w:pPr>
          </w:p>
        </w:tc>
      </w:tr>
      <w:tr w:rsidR="009132BF" w:rsidRPr="0074154F" w14:paraId="0D42E2FE" w14:textId="77777777" w:rsidTr="00A83348">
        <w:tblPrEx>
          <w:tblBorders>
            <w:bottom w:val="double" w:sz="4" w:space="0" w:color="auto"/>
          </w:tblBorders>
        </w:tblPrEx>
        <w:trPr>
          <w:trHeight w:val="283"/>
          <w:jc w:val="right"/>
        </w:trPr>
        <w:tc>
          <w:tcPr>
            <w:tcW w:w="5272" w:type="dxa"/>
            <w:shd w:val="clear" w:color="auto" w:fill="auto"/>
            <w:noWrap/>
            <w:vAlign w:val="bottom"/>
          </w:tcPr>
          <w:p w14:paraId="7B0C581F"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Security Data Seguridad en Datos y Firma Digital S.A.</w:t>
            </w:r>
          </w:p>
        </w:tc>
        <w:tc>
          <w:tcPr>
            <w:tcW w:w="1502" w:type="dxa"/>
            <w:shd w:val="clear" w:color="auto" w:fill="auto"/>
            <w:noWrap/>
            <w:vAlign w:val="bottom"/>
          </w:tcPr>
          <w:p w14:paraId="239D8C88" w14:textId="2A86C27A" w:rsidR="009132BF" w:rsidRPr="0074154F" w:rsidRDefault="00776F5A"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591,954</w:t>
            </w:r>
          </w:p>
        </w:tc>
        <w:tc>
          <w:tcPr>
            <w:tcW w:w="227" w:type="dxa"/>
            <w:shd w:val="clear" w:color="auto" w:fill="auto"/>
            <w:noWrap/>
            <w:vAlign w:val="bottom"/>
          </w:tcPr>
          <w:p w14:paraId="6E250D34"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1E786EE4" w14:textId="7CB773F0" w:rsidR="009132BF" w:rsidRPr="0074154F" w:rsidRDefault="00776F5A" w:rsidP="00A83348">
            <w:pPr>
              <w:tabs>
                <w:tab w:val="decimal" w:pos="1276"/>
              </w:tabs>
              <w:spacing w:after="0" w:line="240" w:lineRule="auto"/>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284,131</w:t>
            </w:r>
          </w:p>
        </w:tc>
      </w:tr>
      <w:tr w:rsidR="009132BF" w:rsidRPr="0074154F" w14:paraId="417302F4" w14:textId="77777777" w:rsidTr="00A83348">
        <w:tblPrEx>
          <w:tblBorders>
            <w:bottom w:val="double" w:sz="4" w:space="0" w:color="auto"/>
          </w:tblBorders>
        </w:tblPrEx>
        <w:trPr>
          <w:trHeight w:val="283"/>
          <w:jc w:val="right"/>
        </w:trPr>
        <w:tc>
          <w:tcPr>
            <w:tcW w:w="5272" w:type="dxa"/>
            <w:shd w:val="clear" w:color="auto" w:fill="auto"/>
            <w:noWrap/>
            <w:vAlign w:val="bottom"/>
          </w:tcPr>
          <w:p w14:paraId="5A0AECA9" w14:textId="77777777" w:rsidR="009132BF" w:rsidRPr="0074154F" w:rsidRDefault="009132BF" w:rsidP="00A83348">
            <w:pPr>
              <w:spacing w:after="0" w:line="240" w:lineRule="auto"/>
              <w:ind w:left="72"/>
              <w:rPr>
                <w:rFonts w:ascii="Arial" w:eastAsia="Times New Roman" w:hAnsi="Arial" w:cs="Arial"/>
                <w:color w:val="000000"/>
                <w:sz w:val="20"/>
                <w:szCs w:val="20"/>
                <w:lang w:val="en-US" w:eastAsia="es-EC"/>
              </w:rPr>
            </w:pPr>
            <w:proofErr w:type="spellStart"/>
            <w:r w:rsidRPr="0074154F">
              <w:rPr>
                <w:rFonts w:ascii="Arial" w:eastAsia="Times New Roman" w:hAnsi="Arial" w:cs="Arial"/>
                <w:color w:val="000000"/>
                <w:sz w:val="20"/>
                <w:szCs w:val="20"/>
                <w:lang w:val="en-US" w:eastAsia="es-EC"/>
              </w:rPr>
              <w:t>Consorcio</w:t>
            </w:r>
            <w:proofErr w:type="spellEnd"/>
            <w:r w:rsidRPr="0074154F">
              <w:rPr>
                <w:rFonts w:ascii="Arial" w:eastAsia="Times New Roman" w:hAnsi="Arial" w:cs="Arial"/>
                <w:color w:val="000000"/>
                <w:sz w:val="20"/>
                <w:szCs w:val="20"/>
                <w:lang w:val="en-US" w:eastAsia="es-EC"/>
              </w:rPr>
              <w:t xml:space="preserve"> </w:t>
            </w:r>
            <w:proofErr w:type="spellStart"/>
            <w:r w:rsidRPr="0074154F">
              <w:rPr>
                <w:rFonts w:ascii="Arial" w:eastAsia="Times New Roman" w:hAnsi="Arial" w:cs="Arial"/>
                <w:color w:val="000000"/>
                <w:sz w:val="20"/>
                <w:szCs w:val="20"/>
                <w:lang w:val="en-US" w:eastAsia="es-EC"/>
              </w:rPr>
              <w:t>Systor</w:t>
            </w:r>
            <w:proofErr w:type="spellEnd"/>
            <w:r w:rsidRPr="0074154F">
              <w:rPr>
                <w:rFonts w:ascii="Arial" w:eastAsia="Times New Roman" w:hAnsi="Arial" w:cs="Arial"/>
                <w:color w:val="000000"/>
                <w:sz w:val="20"/>
                <w:szCs w:val="20"/>
                <w:lang w:val="en-US" w:eastAsia="es-EC"/>
              </w:rPr>
              <w:t xml:space="preserve"> Telconet Jr. Electric Supply</w:t>
            </w:r>
          </w:p>
        </w:tc>
        <w:tc>
          <w:tcPr>
            <w:tcW w:w="1502" w:type="dxa"/>
            <w:shd w:val="clear" w:color="auto" w:fill="auto"/>
            <w:noWrap/>
            <w:vAlign w:val="bottom"/>
          </w:tcPr>
          <w:p w14:paraId="7025E6AF" w14:textId="2E501909" w:rsidR="009132BF" w:rsidRPr="0074154F" w:rsidRDefault="00776F5A"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224,729</w:t>
            </w:r>
          </w:p>
        </w:tc>
        <w:tc>
          <w:tcPr>
            <w:tcW w:w="227" w:type="dxa"/>
            <w:shd w:val="clear" w:color="auto" w:fill="auto"/>
            <w:noWrap/>
            <w:vAlign w:val="bottom"/>
          </w:tcPr>
          <w:p w14:paraId="790FB8DD"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6B33E8B3" w14:textId="3A109AC2" w:rsidR="009132BF" w:rsidRPr="0074154F" w:rsidRDefault="00776F5A"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413,434</w:t>
            </w:r>
          </w:p>
        </w:tc>
      </w:tr>
      <w:tr w:rsidR="009132BF" w:rsidRPr="0074154F" w14:paraId="3BC67C18" w14:textId="77777777" w:rsidTr="00A83348">
        <w:tblPrEx>
          <w:tblBorders>
            <w:bottom w:val="double" w:sz="4" w:space="0" w:color="auto"/>
          </w:tblBorders>
        </w:tblPrEx>
        <w:trPr>
          <w:trHeight w:val="283"/>
          <w:jc w:val="right"/>
        </w:trPr>
        <w:tc>
          <w:tcPr>
            <w:tcW w:w="5272" w:type="dxa"/>
            <w:shd w:val="clear" w:color="auto" w:fill="auto"/>
            <w:noWrap/>
            <w:vAlign w:val="bottom"/>
          </w:tcPr>
          <w:p w14:paraId="74452214"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Cable Andino S.A. </w:t>
            </w:r>
            <w:proofErr w:type="spellStart"/>
            <w:r w:rsidRPr="0074154F">
              <w:rPr>
                <w:rFonts w:ascii="Arial" w:eastAsia="Times New Roman" w:hAnsi="Arial" w:cs="Arial"/>
                <w:color w:val="000000"/>
                <w:sz w:val="20"/>
                <w:szCs w:val="20"/>
                <w:lang w:eastAsia="es-EC"/>
              </w:rPr>
              <w:t>Corpandino</w:t>
            </w:r>
            <w:proofErr w:type="spellEnd"/>
          </w:p>
        </w:tc>
        <w:tc>
          <w:tcPr>
            <w:tcW w:w="1502" w:type="dxa"/>
            <w:shd w:val="clear" w:color="auto" w:fill="auto"/>
            <w:noWrap/>
            <w:vAlign w:val="bottom"/>
          </w:tcPr>
          <w:p w14:paraId="1B39587F" w14:textId="38ED530C" w:rsidR="009132BF" w:rsidRPr="0074154F" w:rsidRDefault="00776F5A" w:rsidP="00A83348">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189,555</w:t>
            </w:r>
          </w:p>
        </w:tc>
        <w:tc>
          <w:tcPr>
            <w:tcW w:w="227" w:type="dxa"/>
            <w:shd w:val="clear" w:color="auto" w:fill="auto"/>
            <w:noWrap/>
            <w:vAlign w:val="bottom"/>
          </w:tcPr>
          <w:p w14:paraId="0204C41A" w14:textId="77777777" w:rsidR="009132BF" w:rsidRPr="0074154F" w:rsidRDefault="009132BF" w:rsidP="00A83348">
            <w:pPr>
              <w:spacing w:after="0" w:line="240" w:lineRule="auto"/>
              <w:rPr>
                <w:rFonts w:ascii="Arial" w:eastAsia="Times New Roman" w:hAnsi="Arial" w:cs="Arial"/>
                <w:sz w:val="20"/>
                <w:szCs w:val="20"/>
                <w:lang w:val="en-US" w:eastAsia="es-EC"/>
              </w:rPr>
            </w:pPr>
          </w:p>
        </w:tc>
        <w:tc>
          <w:tcPr>
            <w:tcW w:w="1502" w:type="dxa"/>
            <w:shd w:val="clear" w:color="auto" w:fill="auto"/>
            <w:noWrap/>
            <w:vAlign w:val="bottom"/>
          </w:tcPr>
          <w:p w14:paraId="0BE3C342" w14:textId="16CC1B4D" w:rsidR="009132BF" w:rsidRPr="0074154F" w:rsidRDefault="00F32C58" w:rsidP="00A83348">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176,523</w:t>
            </w:r>
          </w:p>
        </w:tc>
      </w:tr>
      <w:tr w:rsidR="009132BF" w:rsidRPr="0074154F" w14:paraId="0D8A84A8" w14:textId="77777777" w:rsidTr="00A83348">
        <w:tblPrEx>
          <w:tblBorders>
            <w:bottom w:val="double" w:sz="4" w:space="0" w:color="auto"/>
          </w:tblBorders>
        </w:tblPrEx>
        <w:trPr>
          <w:trHeight w:val="283"/>
          <w:jc w:val="right"/>
        </w:trPr>
        <w:tc>
          <w:tcPr>
            <w:tcW w:w="5272" w:type="dxa"/>
            <w:shd w:val="clear" w:color="auto" w:fill="auto"/>
            <w:noWrap/>
            <w:vAlign w:val="bottom"/>
          </w:tcPr>
          <w:p w14:paraId="48936945"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Cable Andino Inc.</w:t>
            </w:r>
          </w:p>
        </w:tc>
        <w:tc>
          <w:tcPr>
            <w:tcW w:w="1502" w:type="dxa"/>
            <w:shd w:val="clear" w:color="auto" w:fill="auto"/>
            <w:noWrap/>
            <w:vAlign w:val="bottom"/>
          </w:tcPr>
          <w:p w14:paraId="5A3A4E56" w14:textId="4917E8EF"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118,111</w:t>
            </w:r>
          </w:p>
        </w:tc>
        <w:tc>
          <w:tcPr>
            <w:tcW w:w="227" w:type="dxa"/>
            <w:shd w:val="clear" w:color="auto" w:fill="auto"/>
            <w:noWrap/>
            <w:vAlign w:val="bottom"/>
          </w:tcPr>
          <w:p w14:paraId="09DC2405"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5D5E8112" w14:textId="7453513E" w:rsidR="009132BF" w:rsidRPr="0074154F" w:rsidRDefault="00F32C58" w:rsidP="00A83348">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3,685</w:t>
            </w:r>
          </w:p>
        </w:tc>
      </w:tr>
      <w:tr w:rsidR="009132BF" w:rsidRPr="0074154F" w14:paraId="3E37E1C0" w14:textId="77777777" w:rsidTr="00A83348">
        <w:tblPrEx>
          <w:tblBorders>
            <w:bottom w:val="double" w:sz="4" w:space="0" w:color="auto"/>
          </w:tblBorders>
        </w:tblPrEx>
        <w:trPr>
          <w:trHeight w:val="283"/>
          <w:jc w:val="right"/>
        </w:trPr>
        <w:tc>
          <w:tcPr>
            <w:tcW w:w="5272" w:type="dxa"/>
            <w:shd w:val="clear" w:color="auto" w:fill="auto"/>
            <w:noWrap/>
            <w:vAlign w:val="bottom"/>
          </w:tcPr>
          <w:p w14:paraId="160FD0D7"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Telsoterra S.A.</w:t>
            </w:r>
          </w:p>
        </w:tc>
        <w:tc>
          <w:tcPr>
            <w:tcW w:w="1502" w:type="dxa"/>
            <w:shd w:val="clear" w:color="auto" w:fill="auto"/>
            <w:noWrap/>
            <w:vAlign w:val="bottom"/>
          </w:tcPr>
          <w:p w14:paraId="77CB773B" w14:textId="1DCC2A80"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56,674</w:t>
            </w:r>
          </w:p>
        </w:tc>
        <w:tc>
          <w:tcPr>
            <w:tcW w:w="227" w:type="dxa"/>
            <w:shd w:val="clear" w:color="auto" w:fill="auto"/>
            <w:noWrap/>
            <w:vAlign w:val="bottom"/>
          </w:tcPr>
          <w:p w14:paraId="53AA1C4D"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400C9834" w14:textId="3784CF5C"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10,386</w:t>
            </w:r>
          </w:p>
        </w:tc>
      </w:tr>
      <w:tr w:rsidR="009132BF" w:rsidRPr="0074154F" w14:paraId="73C360F7" w14:textId="77777777" w:rsidTr="00A83348">
        <w:tblPrEx>
          <w:tblBorders>
            <w:bottom w:val="double" w:sz="4" w:space="0" w:color="auto"/>
          </w:tblBorders>
        </w:tblPrEx>
        <w:trPr>
          <w:trHeight w:val="283"/>
          <w:jc w:val="right"/>
        </w:trPr>
        <w:tc>
          <w:tcPr>
            <w:tcW w:w="5272" w:type="dxa"/>
            <w:shd w:val="clear" w:color="auto" w:fill="auto"/>
            <w:noWrap/>
            <w:vAlign w:val="bottom"/>
          </w:tcPr>
          <w:p w14:paraId="00DC5AF2"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Linkotel S.A.</w:t>
            </w:r>
          </w:p>
        </w:tc>
        <w:tc>
          <w:tcPr>
            <w:tcW w:w="1502" w:type="dxa"/>
            <w:shd w:val="clear" w:color="auto" w:fill="auto"/>
            <w:noWrap/>
            <w:vAlign w:val="bottom"/>
          </w:tcPr>
          <w:p w14:paraId="2099A160" w14:textId="476700F2"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55,802</w:t>
            </w:r>
          </w:p>
        </w:tc>
        <w:tc>
          <w:tcPr>
            <w:tcW w:w="227" w:type="dxa"/>
            <w:shd w:val="clear" w:color="auto" w:fill="auto"/>
            <w:noWrap/>
            <w:vAlign w:val="bottom"/>
          </w:tcPr>
          <w:p w14:paraId="40D0A0D7"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1EB72998" w14:textId="7296FFEF"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89,818</w:t>
            </w:r>
          </w:p>
        </w:tc>
      </w:tr>
      <w:tr w:rsidR="009132BF" w:rsidRPr="0074154F" w14:paraId="12950669" w14:textId="77777777" w:rsidTr="00A83348">
        <w:tblPrEx>
          <w:tblBorders>
            <w:bottom w:val="double" w:sz="4" w:space="0" w:color="auto"/>
          </w:tblBorders>
        </w:tblPrEx>
        <w:trPr>
          <w:trHeight w:val="283"/>
          <w:jc w:val="right"/>
        </w:trPr>
        <w:tc>
          <w:tcPr>
            <w:tcW w:w="5272" w:type="dxa"/>
            <w:shd w:val="clear" w:color="auto" w:fill="auto"/>
            <w:noWrap/>
            <w:vAlign w:val="bottom"/>
          </w:tcPr>
          <w:p w14:paraId="296BDF24"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Cajamarca </w:t>
            </w:r>
            <w:proofErr w:type="spellStart"/>
            <w:r w:rsidRPr="0074154F">
              <w:rPr>
                <w:rFonts w:ascii="Arial" w:eastAsia="Times New Roman" w:hAnsi="Arial" w:cs="Arial"/>
                <w:color w:val="000000"/>
                <w:sz w:val="20"/>
                <w:szCs w:val="20"/>
                <w:lang w:eastAsia="es-EC"/>
              </w:rPr>
              <w:t>Protective</w:t>
            </w:r>
            <w:proofErr w:type="spellEnd"/>
            <w:r w:rsidRPr="0074154F">
              <w:rPr>
                <w:rFonts w:ascii="Arial" w:eastAsia="Times New Roman" w:hAnsi="Arial" w:cs="Arial"/>
                <w:color w:val="000000"/>
                <w:sz w:val="20"/>
                <w:szCs w:val="20"/>
                <w:lang w:eastAsia="es-EC"/>
              </w:rPr>
              <w:t xml:space="preserve"> Services Cía. Ltda.</w:t>
            </w:r>
          </w:p>
        </w:tc>
        <w:tc>
          <w:tcPr>
            <w:tcW w:w="1502" w:type="dxa"/>
            <w:tcBorders>
              <w:bottom w:val="nil"/>
            </w:tcBorders>
            <w:shd w:val="clear" w:color="auto" w:fill="auto"/>
            <w:noWrap/>
            <w:vAlign w:val="bottom"/>
          </w:tcPr>
          <w:p w14:paraId="2A5C21D9" w14:textId="2E038934"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42,607</w:t>
            </w:r>
          </w:p>
        </w:tc>
        <w:tc>
          <w:tcPr>
            <w:tcW w:w="227" w:type="dxa"/>
            <w:shd w:val="clear" w:color="auto" w:fill="auto"/>
            <w:noWrap/>
            <w:vAlign w:val="bottom"/>
          </w:tcPr>
          <w:p w14:paraId="2B8B5D65"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1C8AC42F" w14:textId="470A5394" w:rsidR="009132BF" w:rsidRPr="0074154F" w:rsidRDefault="00F32C58"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9,205</w:t>
            </w:r>
          </w:p>
        </w:tc>
      </w:tr>
      <w:tr w:rsidR="009132BF" w:rsidRPr="0074154F" w14:paraId="6A9E2387" w14:textId="77777777" w:rsidTr="00A83348">
        <w:tblPrEx>
          <w:tblBorders>
            <w:bottom w:val="double" w:sz="4" w:space="0" w:color="auto"/>
          </w:tblBorders>
        </w:tblPrEx>
        <w:trPr>
          <w:trHeight w:val="283"/>
          <w:jc w:val="right"/>
        </w:trPr>
        <w:tc>
          <w:tcPr>
            <w:tcW w:w="5272" w:type="dxa"/>
            <w:shd w:val="clear" w:color="auto" w:fill="auto"/>
            <w:noWrap/>
            <w:vAlign w:val="bottom"/>
          </w:tcPr>
          <w:p w14:paraId="7A239A9F"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Telconet Panamá S.A.</w:t>
            </w:r>
          </w:p>
        </w:tc>
        <w:tc>
          <w:tcPr>
            <w:tcW w:w="1502" w:type="dxa"/>
            <w:tcBorders>
              <w:bottom w:val="nil"/>
            </w:tcBorders>
            <w:shd w:val="clear" w:color="auto" w:fill="auto"/>
            <w:noWrap/>
            <w:vAlign w:val="bottom"/>
          </w:tcPr>
          <w:p w14:paraId="42EFB39B" w14:textId="0090FF02"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8,468</w:t>
            </w:r>
          </w:p>
        </w:tc>
        <w:tc>
          <w:tcPr>
            <w:tcW w:w="227" w:type="dxa"/>
            <w:shd w:val="clear" w:color="auto" w:fill="auto"/>
            <w:noWrap/>
            <w:vAlign w:val="bottom"/>
          </w:tcPr>
          <w:p w14:paraId="00CA263E"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6629BF56" w14:textId="1970E8A6"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88,729</w:t>
            </w:r>
          </w:p>
        </w:tc>
      </w:tr>
      <w:tr w:rsidR="009132BF" w:rsidRPr="0074154F" w14:paraId="4D18B178" w14:textId="77777777" w:rsidTr="00A83348">
        <w:tblPrEx>
          <w:tblBorders>
            <w:bottom w:val="double" w:sz="4" w:space="0" w:color="auto"/>
          </w:tblBorders>
        </w:tblPrEx>
        <w:trPr>
          <w:trHeight w:val="283"/>
          <w:jc w:val="right"/>
        </w:trPr>
        <w:tc>
          <w:tcPr>
            <w:tcW w:w="5272" w:type="dxa"/>
            <w:shd w:val="clear" w:color="auto" w:fill="auto"/>
            <w:noWrap/>
            <w:vAlign w:val="bottom"/>
          </w:tcPr>
          <w:p w14:paraId="4FC5DCD1" w14:textId="04409777" w:rsidR="009132BF" w:rsidRPr="0074154F" w:rsidRDefault="009132BF" w:rsidP="00A83348">
            <w:pPr>
              <w:spacing w:after="0" w:line="240" w:lineRule="auto"/>
              <w:ind w:left="72"/>
              <w:rPr>
                <w:rFonts w:ascii="Arial" w:eastAsia="Times New Roman" w:hAnsi="Arial" w:cs="Arial"/>
                <w:color w:val="000000"/>
                <w:sz w:val="20"/>
                <w:szCs w:val="20"/>
                <w:lang w:eastAsia="es-EC"/>
              </w:rPr>
            </w:pPr>
            <w:proofErr w:type="spellStart"/>
            <w:r w:rsidRPr="0074154F">
              <w:rPr>
                <w:rFonts w:ascii="Arial" w:eastAsia="Times New Roman" w:hAnsi="Arial" w:cs="Arial"/>
                <w:color w:val="000000"/>
                <w:sz w:val="20"/>
                <w:szCs w:val="20"/>
                <w:lang w:eastAsia="es-EC"/>
              </w:rPr>
              <w:t>Latamfiberhome</w:t>
            </w:r>
            <w:proofErr w:type="spellEnd"/>
            <w:r w:rsidRPr="0074154F">
              <w:rPr>
                <w:rFonts w:ascii="Arial" w:eastAsia="Times New Roman" w:hAnsi="Arial" w:cs="Arial"/>
                <w:color w:val="000000"/>
                <w:sz w:val="20"/>
                <w:szCs w:val="20"/>
                <w:lang w:eastAsia="es-EC"/>
              </w:rPr>
              <w:t xml:space="preserve"> Cable C. Ltda</w:t>
            </w:r>
            <w:r w:rsidR="004F4515">
              <w:rPr>
                <w:rFonts w:ascii="Arial" w:eastAsia="Times New Roman" w:hAnsi="Arial" w:cs="Arial"/>
                <w:color w:val="000000"/>
                <w:sz w:val="20"/>
                <w:szCs w:val="20"/>
                <w:lang w:eastAsia="es-EC"/>
              </w:rPr>
              <w:t>.</w:t>
            </w:r>
          </w:p>
        </w:tc>
        <w:tc>
          <w:tcPr>
            <w:tcW w:w="1502" w:type="dxa"/>
            <w:tcBorders>
              <w:bottom w:val="nil"/>
            </w:tcBorders>
            <w:shd w:val="clear" w:color="auto" w:fill="auto"/>
            <w:noWrap/>
            <w:vAlign w:val="bottom"/>
          </w:tcPr>
          <w:p w14:paraId="74B5118B" w14:textId="4F1A0A1E"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2,999</w:t>
            </w:r>
          </w:p>
        </w:tc>
        <w:tc>
          <w:tcPr>
            <w:tcW w:w="227" w:type="dxa"/>
            <w:shd w:val="clear" w:color="auto" w:fill="auto"/>
            <w:noWrap/>
            <w:vAlign w:val="bottom"/>
          </w:tcPr>
          <w:p w14:paraId="616EF69B"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78F794E9" w14:textId="55B1DEF3"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674,303</w:t>
            </w:r>
          </w:p>
        </w:tc>
      </w:tr>
      <w:tr w:rsidR="009132BF" w:rsidRPr="0074154F" w14:paraId="4158045D" w14:textId="77777777" w:rsidTr="00A83348">
        <w:tblPrEx>
          <w:tblBorders>
            <w:bottom w:val="double" w:sz="4" w:space="0" w:color="auto"/>
          </w:tblBorders>
        </w:tblPrEx>
        <w:trPr>
          <w:trHeight w:val="139"/>
          <w:jc w:val="right"/>
        </w:trPr>
        <w:tc>
          <w:tcPr>
            <w:tcW w:w="5272" w:type="dxa"/>
            <w:shd w:val="clear" w:color="auto" w:fill="auto"/>
            <w:noWrap/>
            <w:vAlign w:val="bottom"/>
          </w:tcPr>
          <w:p w14:paraId="475D2821" w14:textId="2E085CB2"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 xml:space="preserve">Consorcio </w:t>
            </w:r>
            <w:proofErr w:type="spellStart"/>
            <w:r w:rsidRPr="0074154F">
              <w:rPr>
                <w:rFonts w:ascii="Arial" w:eastAsia="Times New Roman" w:hAnsi="Arial" w:cs="Arial"/>
                <w:color w:val="000000"/>
                <w:sz w:val="20"/>
                <w:szCs w:val="20"/>
                <w:lang w:eastAsia="es-EC"/>
              </w:rPr>
              <w:t>Bravco</w:t>
            </w:r>
            <w:proofErr w:type="spellEnd"/>
            <w:r w:rsidRPr="0074154F">
              <w:rPr>
                <w:rFonts w:ascii="Arial" w:eastAsia="Times New Roman" w:hAnsi="Arial" w:cs="Arial"/>
                <w:color w:val="000000"/>
                <w:sz w:val="20"/>
                <w:szCs w:val="20"/>
                <w:lang w:eastAsia="es-EC"/>
              </w:rPr>
              <w:t xml:space="preserve"> </w:t>
            </w:r>
            <w:r w:rsidR="004F4515">
              <w:rPr>
                <w:rFonts w:ascii="Arial" w:eastAsia="Times New Roman" w:hAnsi="Arial" w:cs="Arial"/>
                <w:color w:val="000000"/>
                <w:sz w:val="20"/>
                <w:szCs w:val="20"/>
                <w:lang w:eastAsia="es-EC"/>
              </w:rPr>
              <w:t>Tel</w:t>
            </w:r>
            <w:r w:rsidR="00DD52E4">
              <w:rPr>
                <w:rFonts w:ascii="Arial" w:eastAsia="Times New Roman" w:hAnsi="Arial" w:cs="Arial"/>
                <w:color w:val="000000"/>
                <w:sz w:val="20"/>
                <w:szCs w:val="20"/>
                <w:lang w:eastAsia="es-EC"/>
              </w:rPr>
              <w:t>c</w:t>
            </w:r>
            <w:r w:rsidR="004F4515">
              <w:rPr>
                <w:rFonts w:ascii="Arial" w:eastAsia="Times New Roman" w:hAnsi="Arial" w:cs="Arial"/>
                <w:color w:val="000000"/>
                <w:sz w:val="20"/>
                <w:szCs w:val="20"/>
                <w:lang w:eastAsia="es-EC"/>
              </w:rPr>
              <w:t>one</w:t>
            </w:r>
            <w:r w:rsidR="00DD52E4">
              <w:rPr>
                <w:rFonts w:ascii="Arial" w:eastAsia="Times New Roman" w:hAnsi="Arial" w:cs="Arial"/>
                <w:color w:val="000000"/>
                <w:sz w:val="20"/>
                <w:szCs w:val="20"/>
                <w:lang w:eastAsia="es-EC"/>
              </w:rPr>
              <w:t>t</w:t>
            </w:r>
          </w:p>
        </w:tc>
        <w:tc>
          <w:tcPr>
            <w:tcW w:w="1502" w:type="dxa"/>
            <w:tcBorders>
              <w:bottom w:val="nil"/>
            </w:tcBorders>
            <w:shd w:val="clear" w:color="auto" w:fill="auto"/>
            <w:noWrap/>
            <w:vAlign w:val="bottom"/>
          </w:tcPr>
          <w:p w14:paraId="5BD9442A" w14:textId="6CB6F56F" w:rsidR="009132BF" w:rsidRPr="0074154F" w:rsidRDefault="00EB1D8D"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27" w:type="dxa"/>
            <w:shd w:val="clear" w:color="auto" w:fill="auto"/>
            <w:noWrap/>
            <w:vAlign w:val="bottom"/>
          </w:tcPr>
          <w:p w14:paraId="3918F8B8"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E0A6F2F" w14:textId="6A504669"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113,423</w:t>
            </w:r>
          </w:p>
        </w:tc>
      </w:tr>
      <w:tr w:rsidR="009132BF" w:rsidRPr="0074154F" w14:paraId="7D4FC101" w14:textId="77777777" w:rsidTr="00A83348">
        <w:tblPrEx>
          <w:tblBorders>
            <w:bottom w:val="double" w:sz="4" w:space="0" w:color="auto"/>
          </w:tblBorders>
        </w:tblPrEx>
        <w:trPr>
          <w:trHeight w:val="199"/>
          <w:jc w:val="right"/>
        </w:trPr>
        <w:tc>
          <w:tcPr>
            <w:tcW w:w="5272" w:type="dxa"/>
            <w:shd w:val="clear" w:color="auto" w:fill="auto"/>
            <w:noWrap/>
            <w:vAlign w:val="bottom"/>
          </w:tcPr>
          <w:p w14:paraId="68AC36A7" w14:textId="77777777" w:rsidR="009132BF" w:rsidRPr="0074154F" w:rsidRDefault="009132BF" w:rsidP="00A83348">
            <w:pPr>
              <w:spacing w:after="0" w:line="240" w:lineRule="auto"/>
              <w:ind w:left="72"/>
              <w:rPr>
                <w:rFonts w:ascii="Arial" w:eastAsia="Times New Roman" w:hAnsi="Arial" w:cs="Arial"/>
                <w:color w:val="000000"/>
                <w:sz w:val="20"/>
                <w:szCs w:val="20"/>
                <w:lang w:eastAsia="es-EC"/>
              </w:rPr>
            </w:pPr>
            <w:r w:rsidRPr="0074154F">
              <w:rPr>
                <w:rFonts w:ascii="Arial" w:eastAsia="Times New Roman" w:hAnsi="Arial" w:cs="Arial"/>
                <w:color w:val="000000"/>
                <w:sz w:val="20"/>
                <w:szCs w:val="20"/>
                <w:lang w:eastAsia="es-EC"/>
              </w:rPr>
              <w:t>Servicios Telcodata S.A.</w:t>
            </w:r>
          </w:p>
        </w:tc>
        <w:tc>
          <w:tcPr>
            <w:tcW w:w="1502" w:type="dxa"/>
            <w:tcBorders>
              <w:bottom w:val="nil"/>
            </w:tcBorders>
            <w:shd w:val="clear" w:color="auto" w:fill="auto"/>
            <w:noWrap/>
            <w:vAlign w:val="bottom"/>
          </w:tcPr>
          <w:p w14:paraId="31B9A0D3" w14:textId="41F28F39" w:rsidR="009132BF" w:rsidRPr="0074154F" w:rsidRDefault="00EB1D8D"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27" w:type="dxa"/>
            <w:tcBorders>
              <w:bottom w:val="nil"/>
            </w:tcBorders>
            <w:shd w:val="clear" w:color="auto" w:fill="auto"/>
            <w:noWrap/>
            <w:vAlign w:val="bottom"/>
          </w:tcPr>
          <w:p w14:paraId="395B97AB"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09D64CDF" w14:textId="51F4D920" w:rsidR="009132BF" w:rsidRPr="0074154F" w:rsidRDefault="00EB5A47" w:rsidP="00A83348">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626</w:t>
            </w:r>
          </w:p>
        </w:tc>
      </w:tr>
      <w:tr w:rsidR="009132BF" w:rsidRPr="0074154F" w14:paraId="7768DDAE" w14:textId="77777777" w:rsidTr="00A83348">
        <w:tblPrEx>
          <w:tblBorders>
            <w:bottom w:val="double" w:sz="4" w:space="0" w:color="auto"/>
          </w:tblBorders>
        </w:tblPrEx>
        <w:trPr>
          <w:trHeight w:val="86"/>
          <w:jc w:val="right"/>
        </w:trPr>
        <w:tc>
          <w:tcPr>
            <w:tcW w:w="5272" w:type="dxa"/>
            <w:tcBorders>
              <w:bottom w:val="nil"/>
            </w:tcBorders>
            <w:shd w:val="clear" w:color="auto" w:fill="auto"/>
            <w:noWrap/>
            <w:vAlign w:val="bottom"/>
          </w:tcPr>
          <w:p w14:paraId="77AC33D4" w14:textId="77777777" w:rsidR="009132BF" w:rsidRPr="0074154F" w:rsidRDefault="009132BF" w:rsidP="00A83348">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double" w:sz="6" w:space="0" w:color="auto"/>
              <w:bottom w:val="nil"/>
            </w:tcBorders>
            <w:shd w:val="clear" w:color="auto" w:fill="auto"/>
            <w:noWrap/>
            <w:vAlign w:val="bottom"/>
          </w:tcPr>
          <w:p w14:paraId="244D3E95" w14:textId="77777777" w:rsidR="009132BF" w:rsidRPr="0074154F" w:rsidRDefault="009132BF" w:rsidP="00A83348">
            <w:pPr>
              <w:tabs>
                <w:tab w:val="decimal" w:pos="1276"/>
              </w:tabs>
              <w:spacing w:after="0" w:line="240" w:lineRule="auto"/>
              <w:rPr>
                <w:rFonts w:ascii="Arial" w:eastAsia="Times New Roman" w:hAnsi="Arial" w:cs="Arial"/>
                <w:sz w:val="20"/>
                <w:szCs w:val="20"/>
                <w:lang w:eastAsia="es-EC"/>
              </w:rPr>
            </w:pPr>
          </w:p>
        </w:tc>
        <w:tc>
          <w:tcPr>
            <w:tcW w:w="227" w:type="dxa"/>
            <w:tcBorders>
              <w:top w:val="nil"/>
              <w:bottom w:val="nil"/>
            </w:tcBorders>
            <w:shd w:val="clear" w:color="auto" w:fill="auto"/>
            <w:noWrap/>
            <w:vAlign w:val="bottom"/>
          </w:tcPr>
          <w:p w14:paraId="4266A9A1" w14:textId="77777777" w:rsidR="009132BF" w:rsidRPr="0074154F" w:rsidRDefault="009132BF" w:rsidP="00A83348">
            <w:pPr>
              <w:spacing w:after="0" w:line="240" w:lineRule="auto"/>
              <w:rPr>
                <w:rFonts w:ascii="Arial" w:eastAsia="Times New Roman" w:hAnsi="Arial" w:cs="Arial"/>
                <w:sz w:val="20"/>
                <w:szCs w:val="20"/>
                <w:lang w:eastAsia="es-EC"/>
              </w:rPr>
            </w:pPr>
          </w:p>
        </w:tc>
        <w:tc>
          <w:tcPr>
            <w:tcW w:w="1502" w:type="dxa"/>
            <w:tcBorders>
              <w:top w:val="double" w:sz="6" w:space="0" w:color="auto"/>
              <w:bottom w:val="nil"/>
            </w:tcBorders>
            <w:shd w:val="clear" w:color="auto" w:fill="auto"/>
            <w:noWrap/>
            <w:vAlign w:val="bottom"/>
          </w:tcPr>
          <w:p w14:paraId="7786549C" w14:textId="77777777" w:rsidR="009132BF" w:rsidRPr="0074154F" w:rsidRDefault="009132BF" w:rsidP="00A83348">
            <w:pPr>
              <w:tabs>
                <w:tab w:val="decimal" w:pos="1276"/>
              </w:tabs>
              <w:spacing w:after="0" w:line="240" w:lineRule="auto"/>
              <w:rPr>
                <w:rFonts w:ascii="Arial" w:eastAsia="Times New Roman" w:hAnsi="Arial" w:cs="Arial"/>
                <w:sz w:val="20"/>
                <w:szCs w:val="20"/>
                <w:lang w:eastAsia="es-EC"/>
              </w:rPr>
            </w:pPr>
          </w:p>
        </w:tc>
      </w:tr>
    </w:tbl>
    <w:p w14:paraId="0088F992" w14:textId="3C3ECEB5" w:rsidR="00D9120F" w:rsidRDefault="00D9120F" w:rsidP="00D9120F">
      <w:pPr>
        <w:rPr>
          <w:rFonts w:ascii="Arial" w:hAnsi="Arial" w:cs="Arial"/>
          <w:sz w:val="6"/>
          <w:szCs w:val="6"/>
          <w:lang w:val="es-ES_tradnl" w:eastAsia="es-EC"/>
        </w:rPr>
      </w:pPr>
    </w:p>
    <w:p w14:paraId="508CC720" w14:textId="43BFFA81" w:rsidR="00671ED6" w:rsidRDefault="00671ED6" w:rsidP="00D9120F">
      <w:pPr>
        <w:rPr>
          <w:rFonts w:ascii="Arial" w:hAnsi="Arial" w:cs="Arial"/>
          <w:sz w:val="6"/>
          <w:szCs w:val="6"/>
          <w:lang w:val="es-ES_tradnl" w:eastAsia="es-EC"/>
        </w:rPr>
      </w:pPr>
    </w:p>
    <w:p w14:paraId="36FA0593" w14:textId="30B4A2A8" w:rsidR="00671ED6" w:rsidRDefault="00671ED6" w:rsidP="00D9120F">
      <w:pPr>
        <w:rPr>
          <w:rFonts w:ascii="Arial" w:hAnsi="Arial" w:cs="Arial"/>
          <w:sz w:val="6"/>
          <w:szCs w:val="6"/>
          <w:lang w:val="es-ES_tradnl" w:eastAsia="es-EC"/>
        </w:rPr>
      </w:pPr>
    </w:p>
    <w:p w14:paraId="1CD0E119" w14:textId="77777777" w:rsidR="00671ED6" w:rsidRDefault="00671ED6" w:rsidP="00D9120F">
      <w:pPr>
        <w:rPr>
          <w:rFonts w:ascii="Arial" w:hAnsi="Arial" w:cs="Arial"/>
          <w:sz w:val="6"/>
          <w:szCs w:val="6"/>
          <w:lang w:val="es-ES_tradnl" w:eastAsia="es-EC"/>
        </w:rPr>
      </w:pPr>
    </w:p>
    <w:tbl>
      <w:tblPr>
        <w:tblW w:w="8503" w:type="dxa"/>
        <w:jc w:val="right"/>
        <w:tblCellMar>
          <w:left w:w="70" w:type="dxa"/>
          <w:right w:w="70" w:type="dxa"/>
        </w:tblCellMar>
        <w:tblLook w:val="04A0" w:firstRow="1" w:lastRow="0" w:firstColumn="1" w:lastColumn="0" w:noHBand="0" w:noVBand="1"/>
      </w:tblPr>
      <w:tblGrid>
        <w:gridCol w:w="5247"/>
        <w:gridCol w:w="1798"/>
        <w:gridCol w:w="227"/>
        <w:gridCol w:w="1798"/>
      </w:tblGrid>
      <w:tr w:rsidR="00671ED6" w:rsidRPr="0074154F" w14:paraId="74B8E0CB" w14:textId="77777777" w:rsidTr="003F2703">
        <w:trPr>
          <w:trHeight w:val="283"/>
          <w:jc w:val="right"/>
        </w:trPr>
        <w:tc>
          <w:tcPr>
            <w:tcW w:w="5272" w:type="dxa"/>
            <w:tcBorders>
              <w:top w:val="nil"/>
              <w:left w:val="nil"/>
              <w:bottom w:val="nil"/>
              <w:right w:val="nil"/>
            </w:tcBorders>
            <w:shd w:val="clear" w:color="auto" w:fill="auto"/>
            <w:noWrap/>
            <w:vAlign w:val="bottom"/>
            <w:hideMark/>
          </w:tcPr>
          <w:p w14:paraId="58A18F4E" w14:textId="77777777" w:rsidR="00671ED6" w:rsidRPr="0074154F" w:rsidRDefault="00671ED6" w:rsidP="003F2703">
            <w:pPr>
              <w:spacing w:after="0" w:line="240" w:lineRule="auto"/>
              <w:ind w:left="-70"/>
              <w:rPr>
                <w:rFonts w:ascii="Arial" w:eastAsia="Times New Roman" w:hAnsi="Arial" w:cs="Arial"/>
                <w:b/>
                <w:bCs/>
                <w:color w:val="000000"/>
                <w:sz w:val="20"/>
                <w:szCs w:val="20"/>
                <w:u w:val="single"/>
                <w:lang w:eastAsia="es-EC"/>
              </w:rPr>
            </w:pPr>
          </w:p>
        </w:tc>
        <w:tc>
          <w:tcPr>
            <w:tcW w:w="1502" w:type="dxa"/>
            <w:tcBorders>
              <w:top w:val="nil"/>
              <w:left w:val="nil"/>
              <w:bottom w:val="single" w:sz="8" w:space="0" w:color="auto"/>
              <w:right w:val="nil"/>
            </w:tcBorders>
            <w:shd w:val="clear" w:color="auto" w:fill="auto"/>
            <w:noWrap/>
            <w:vAlign w:val="bottom"/>
            <w:hideMark/>
          </w:tcPr>
          <w:p w14:paraId="49037588" w14:textId="77777777" w:rsidR="00671ED6" w:rsidRPr="0074154F" w:rsidRDefault="00671ED6" w:rsidP="003F2703">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2020</w:t>
            </w:r>
          </w:p>
        </w:tc>
        <w:tc>
          <w:tcPr>
            <w:tcW w:w="227" w:type="dxa"/>
            <w:tcBorders>
              <w:top w:val="nil"/>
              <w:left w:val="nil"/>
              <w:bottom w:val="nil"/>
              <w:right w:val="nil"/>
            </w:tcBorders>
            <w:shd w:val="clear" w:color="auto" w:fill="auto"/>
            <w:noWrap/>
            <w:vAlign w:val="bottom"/>
            <w:hideMark/>
          </w:tcPr>
          <w:p w14:paraId="24C0C636" w14:textId="77777777" w:rsidR="00671ED6" w:rsidRPr="0074154F" w:rsidRDefault="00671ED6" w:rsidP="003F2703">
            <w:pPr>
              <w:spacing w:after="0" w:line="240" w:lineRule="auto"/>
              <w:ind w:right="69"/>
              <w:rPr>
                <w:rFonts w:ascii="Arial" w:eastAsia="Times New Roman" w:hAnsi="Arial" w:cs="Arial"/>
                <w:b/>
                <w:bCs/>
                <w:color w:val="000000"/>
                <w:sz w:val="20"/>
                <w:szCs w:val="20"/>
                <w:lang w:eastAsia="es-EC"/>
              </w:rPr>
            </w:pPr>
          </w:p>
        </w:tc>
        <w:tc>
          <w:tcPr>
            <w:tcW w:w="1502" w:type="dxa"/>
            <w:tcBorders>
              <w:top w:val="nil"/>
              <w:left w:val="nil"/>
              <w:bottom w:val="single" w:sz="8" w:space="0" w:color="auto"/>
              <w:right w:val="nil"/>
            </w:tcBorders>
            <w:shd w:val="clear" w:color="auto" w:fill="auto"/>
            <w:noWrap/>
            <w:vAlign w:val="bottom"/>
            <w:hideMark/>
          </w:tcPr>
          <w:p w14:paraId="1280DD5C" w14:textId="77777777" w:rsidR="00671ED6" w:rsidRPr="0074154F" w:rsidRDefault="00671ED6" w:rsidP="003F2703">
            <w:pPr>
              <w:spacing w:after="0" w:line="240" w:lineRule="auto"/>
              <w:ind w:right="69"/>
              <w:jc w:val="right"/>
              <w:rPr>
                <w:rFonts w:ascii="Arial" w:eastAsia="Times New Roman" w:hAnsi="Arial" w:cs="Arial"/>
                <w:b/>
                <w:bCs/>
                <w:color w:val="000000"/>
                <w:sz w:val="20"/>
                <w:szCs w:val="20"/>
                <w:lang w:eastAsia="es-EC"/>
              </w:rPr>
            </w:pPr>
            <w:r w:rsidRPr="0074154F">
              <w:rPr>
                <w:rFonts w:ascii="Arial" w:eastAsia="Times New Roman" w:hAnsi="Arial" w:cs="Arial"/>
                <w:b/>
                <w:bCs/>
                <w:color w:val="000000"/>
                <w:sz w:val="20"/>
                <w:szCs w:val="20"/>
                <w:lang w:eastAsia="es-EC"/>
              </w:rPr>
              <w:t>2019</w:t>
            </w:r>
          </w:p>
        </w:tc>
      </w:tr>
      <w:tr w:rsidR="00671ED6" w:rsidRPr="0074154F" w14:paraId="7F0EA070" w14:textId="77777777" w:rsidTr="003F2703">
        <w:tblPrEx>
          <w:tblBorders>
            <w:bottom w:val="double" w:sz="4" w:space="0" w:color="auto"/>
          </w:tblBorders>
        </w:tblPrEx>
        <w:trPr>
          <w:trHeight w:val="89"/>
          <w:jc w:val="right"/>
        </w:trPr>
        <w:tc>
          <w:tcPr>
            <w:tcW w:w="5272" w:type="dxa"/>
            <w:shd w:val="clear" w:color="auto" w:fill="auto"/>
            <w:noWrap/>
            <w:vAlign w:val="bottom"/>
          </w:tcPr>
          <w:p w14:paraId="7394CBCC" w14:textId="77777777" w:rsidR="00671ED6" w:rsidRPr="0074154F" w:rsidRDefault="00671ED6" w:rsidP="003F2703">
            <w:pPr>
              <w:spacing w:after="0" w:line="240" w:lineRule="auto"/>
              <w:ind w:left="-70"/>
              <w:rPr>
                <w:rFonts w:ascii="Arial" w:eastAsia="Times New Roman" w:hAnsi="Arial" w:cs="Arial"/>
                <w:b/>
                <w:bCs/>
                <w:i/>
                <w:iCs/>
                <w:sz w:val="20"/>
                <w:szCs w:val="20"/>
                <w:u w:val="single"/>
                <w:lang w:eastAsia="es-EC"/>
              </w:rPr>
            </w:pPr>
          </w:p>
        </w:tc>
        <w:tc>
          <w:tcPr>
            <w:tcW w:w="1502" w:type="dxa"/>
            <w:tcBorders>
              <w:top w:val="nil"/>
              <w:bottom w:val="nil"/>
            </w:tcBorders>
            <w:shd w:val="clear" w:color="auto" w:fill="auto"/>
            <w:noWrap/>
            <w:vAlign w:val="bottom"/>
          </w:tcPr>
          <w:p w14:paraId="2E5B3B49" w14:textId="77777777" w:rsidR="00671ED6" w:rsidRPr="0074154F" w:rsidRDefault="00671ED6" w:rsidP="003F2703">
            <w:pPr>
              <w:tabs>
                <w:tab w:val="decimal" w:pos="1276"/>
              </w:tabs>
              <w:spacing w:after="0" w:line="240" w:lineRule="auto"/>
              <w:rPr>
                <w:rFonts w:ascii="Arial" w:eastAsia="Times New Roman" w:hAnsi="Arial" w:cs="Arial"/>
                <w:b/>
                <w:bCs/>
                <w:sz w:val="20"/>
                <w:szCs w:val="20"/>
                <w:lang w:eastAsia="es-EC"/>
              </w:rPr>
            </w:pPr>
          </w:p>
        </w:tc>
        <w:tc>
          <w:tcPr>
            <w:tcW w:w="227" w:type="dxa"/>
            <w:tcBorders>
              <w:top w:val="nil"/>
              <w:bottom w:val="nil"/>
            </w:tcBorders>
            <w:shd w:val="clear" w:color="auto" w:fill="auto"/>
            <w:noWrap/>
            <w:vAlign w:val="bottom"/>
          </w:tcPr>
          <w:p w14:paraId="7CFE21D4"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tcBorders>
              <w:top w:val="nil"/>
              <w:bottom w:val="nil"/>
            </w:tcBorders>
            <w:shd w:val="clear" w:color="auto" w:fill="auto"/>
            <w:noWrap/>
            <w:vAlign w:val="bottom"/>
          </w:tcPr>
          <w:p w14:paraId="3C64B8B4" w14:textId="77777777" w:rsidR="00671ED6" w:rsidRPr="0074154F" w:rsidRDefault="00671ED6" w:rsidP="003F2703">
            <w:pPr>
              <w:tabs>
                <w:tab w:val="decimal" w:pos="1276"/>
              </w:tabs>
              <w:spacing w:after="0" w:line="240" w:lineRule="auto"/>
              <w:rPr>
                <w:rFonts w:ascii="Arial" w:eastAsia="Times New Roman" w:hAnsi="Arial" w:cs="Arial"/>
                <w:b/>
                <w:bCs/>
                <w:sz w:val="20"/>
                <w:szCs w:val="20"/>
                <w:lang w:eastAsia="es-EC"/>
              </w:rPr>
            </w:pPr>
          </w:p>
        </w:tc>
      </w:tr>
      <w:tr w:rsidR="00671ED6" w:rsidRPr="0074154F" w14:paraId="535B2C24" w14:textId="77777777" w:rsidTr="003F2703">
        <w:tblPrEx>
          <w:tblBorders>
            <w:bottom w:val="double" w:sz="4" w:space="0" w:color="auto"/>
          </w:tblBorders>
        </w:tblPrEx>
        <w:trPr>
          <w:trHeight w:val="283"/>
          <w:jc w:val="right"/>
        </w:trPr>
        <w:tc>
          <w:tcPr>
            <w:tcW w:w="5272" w:type="dxa"/>
            <w:shd w:val="clear" w:color="auto" w:fill="auto"/>
            <w:noWrap/>
            <w:vAlign w:val="bottom"/>
          </w:tcPr>
          <w:p w14:paraId="3B2BCEAC" w14:textId="77777777" w:rsidR="00671ED6" w:rsidRPr="0074154F" w:rsidRDefault="00671ED6" w:rsidP="003F2703">
            <w:pPr>
              <w:spacing w:after="0" w:line="240" w:lineRule="auto"/>
              <w:ind w:left="-70"/>
              <w:rPr>
                <w:rFonts w:ascii="Arial" w:eastAsia="Times New Roman" w:hAnsi="Arial" w:cs="Arial"/>
                <w:b/>
                <w:bCs/>
                <w:i/>
                <w:iCs/>
                <w:color w:val="000000"/>
                <w:sz w:val="20"/>
                <w:szCs w:val="20"/>
                <w:u w:val="single"/>
                <w:lang w:eastAsia="es-EC"/>
              </w:rPr>
            </w:pPr>
            <w:r w:rsidRPr="0074154F">
              <w:rPr>
                <w:rFonts w:ascii="Arial" w:eastAsia="Times New Roman" w:hAnsi="Arial" w:cs="Arial"/>
                <w:b/>
                <w:bCs/>
                <w:i/>
                <w:iCs/>
                <w:sz w:val="20"/>
                <w:szCs w:val="20"/>
                <w:u w:val="single"/>
                <w:lang w:eastAsia="es-EC"/>
              </w:rPr>
              <w:t>Compras</w:t>
            </w:r>
            <w:r w:rsidRPr="0074154F">
              <w:rPr>
                <w:rFonts w:ascii="Arial" w:eastAsia="Times New Roman" w:hAnsi="Arial" w:cs="Arial"/>
                <w:b/>
                <w:bCs/>
                <w:i/>
                <w:iCs/>
                <w:sz w:val="20"/>
                <w:szCs w:val="20"/>
                <w:lang w:eastAsia="es-EC"/>
              </w:rPr>
              <w:t>:</w:t>
            </w:r>
          </w:p>
        </w:tc>
        <w:tc>
          <w:tcPr>
            <w:tcW w:w="1502" w:type="dxa"/>
            <w:shd w:val="clear" w:color="auto" w:fill="auto"/>
            <w:noWrap/>
            <w:vAlign w:val="bottom"/>
          </w:tcPr>
          <w:p w14:paraId="1AA4799F"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p>
        </w:tc>
        <w:tc>
          <w:tcPr>
            <w:tcW w:w="227" w:type="dxa"/>
            <w:shd w:val="clear" w:color="auto" w:fill="auto"/>
            <w:noWrap/>
            <w:vAlign w:val="bottom"/>
          </w:tcPr>
          <w:p w14:paraId="32DA9A23"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0757EE3C"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p>
        </w:tc>
      </w:tr>
      <w:tr w:rsidR="00671ED6" w:rsidRPr="0074154F" w14:paraId="2FAE8983" w14:textId="77777777" w:rsidTr="003F2703">
        <w:tblPrEx>
          <w:tblBorders>
            <w:bottom w:val="double" w:sz="4" w:space="0" w:color="auto"/>
          </w:tblBorders>
        </w:tblPrEx>
        <w:trPr>
          <w:trHeight w:val="283"/>
          <w:jc w:val="right"/>
        </w:trPr>
        <w:tc>
          <w:tcPr>
            <w:tcW w:w="5272" w:type="dxa"/>
            <w:shd w:val="clear" w:color="auto" w:fill="auto"/>
            <w:noWrap/>
            <w:vAlign w:val="bottom"/>
          </w:tcPr>
          <w:p w14:paraId="6BB951B1" w14:textId="77777777" w:rsidR="00671ED6" w:rsidRPr="0074154F" w:rsidRDefault="00671ED6" w:rsidP="003F2703">
            <w:pPr>
              <w:spacing w:after="0" w:line="240" w:lineRule="auto"/>
              <w:ind w:left="-70"/>
              <w:rPr>
                <w:rFonts w:ascii="Arial" w:eastAsia="Times New Roman" w:hAnsi="Arial" w:cs="Arial"/>
                <w:b/>
                <w:bCs/>
                <w:i/>
                <w:iCs/>
                <w:sz w:val="20"/>
                <w:szCs w:val="20"/>
                <w:u w:val="single"/>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Security Data Seguridad en Datos y firma Digital S.A.</w:t>
            </w:r>
          </w:p>
        </w:tc>
        <w:tc>
          <w:tcPr>
            <w:tcW w:w="1502" w:type="dxa"/>
            <w:shd w:val="clear" w:color="auto" w:fill="auto"/>
            <w:noWrap/>
            <w:vAlign w:val="bottom"/>
          </w:tcPr>
          <w:p w14:paraId="3F7FF3BA"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591,954</w:t>
            </w:r>
          </w:p>
        </w:tc>
        <w:tc>
          <w:tcPr>
            <w:tcW w:w="227" w:type="dxa"/>
            <w:shd w:val="clear" w:color="auto" w:fill="auto"/>
            <w:noWrap/>
            <w:vAlign w:val="bottom"/>
          </w:tcPr>
          <w:p w14:paraId="2AB60D4C"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2528F793"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284,131</w:t>
            </w:r>
          </w:p>
        </w:tc>
      </w:tr>
      <w:tr w:rsidR="00671ED6" w:rsidRPr="00EF7398" w14:paraId="7906CBCA" w14:textId="77777777" w:rsidTr="003F2703">
        <w:tblPrEx>
          <w:tblBorders>
            <w:bottom w:val="double" w:sz="4" w:space="0" w:color="auto"/>
          </w:tblBorders>
        </w:tblPrEx>
        <w:trPr>
          <w:trHeight w:val="283"/>
          <w:jc w:val="right"/>
        </w:trPr>
        <w:tc>
          <w:tcPr>
            <w:tcW w:w="5272" w:type="dxa"/>
            <w:shd w:val="clear" w:color="auto" w:fill="auto"/>
            <w:noWrap/>
            <w:vAlign w:val="bottom"/>
          </w:tcPr>
          <w:p w14:paraId="55DE2887" w14:textId="77777777" w:rsidR="00671ED6" w:rsidRPr="00EF7398" w:rsidRDefault="00671ED6" w:rsidP="003F2703">
            <w:pPr>
              <w:spacing w:after="0" w:line="240" w:lineRule="auto"/>
              <w:ind w:left="-70"/>
              <w:rPr>
                <w:rFonts w:ascii="Arial" w:eastAsia="Times New Roman" w:hAnsi="Arial" w:cs="Arial"/>
                <w:sz w:val="20"/>
                <w:szCs w:val="20"/>
                <w:lang w:val="en-US" w:eastAsia="es-EC"/>
              </w:rPr>
            </w:pPr>
            <w:r>
              <w:rPr>
                <w:rFonts w:ascii="Arial" w:eastAsia="Times New Roman" w:hAnsi="Arial" w:cs="Arial"/>
                <w:sz w:val="20"/>
                <w:szCs w:val="20"/>
                <w:lang w:val="en-US" w:eastAsia="es-EC"/>
              </w:rPr>
              <w:t xml:space="preserve">  </w:t>
            </w:r>
            <w:proofErr w:type="spellStart"/>
            <w:r w:rsidRPr="00EF7398">
              <w:rPr>
                <w:rFonts w:ascii="Arial" w:eastAsia="Times New Roman" w:hAnsi="Arial" w:cs="Arial"/>
                <w:sz w:val="20"/>
                <w:szCs w:val="20"/>
                <w:lang w:val="en-US" w:eastAsia="es-EC"/>
              </w:rPr>
              <w:t>Consorcio</w:t>
            </w:r>
            <w:proofErr w:type="spellEnd"/>
            <w:r w:rsidRPr="00EF7398">
              <w:rPr>
                <w:rFonts w:ascii="Arial" w:eastAsia="Times New Roman" w:hAnsi="Arial" w:cs="Arial"/>
                <w:sz w:val="20"/>
                <w:szCs w:val="20"/>
                <w:lang w:val="en-US" w:eastAsia="es-EC"/>
              </w:rPr>
              <w:t xml:space="preserve"> </w:t>
            </w:r>
            <w:proofErr w:type="spellStart"/>
            <w:r w:rsidRPr="00EF7398">
              <w:rPr>
                <w:rFonts w:ascii="Arial" w:eastAsia="Times New Roman" w:hAnsi="Arial" w:cs="Arial"/>
                <w:sz w:val="20"/>
                <w:szCs w:val="20"/>
                <w:lang w:val="en-US" w:eastAsia="es-EC"/>
              </w:rPr>
              <w:t>Systor</w:t>
            </w:r>
            <w:proofErr w:type="spellEnd"/>
            <w:r w:rsidRPr="00EF7398">
              <w:rPr>
                <w:rFonts w:ascii="Arial" w:eastAsia="Times New Roman" w:hAnsi="Arial" w:cs="Arial"/>
                <w:sz w:val="20"/>
                <w:szCs w:val="20"/>
                <w:lang w:val="en-US" w:eastAsia="es-EC"/>
              </w:rPr>
              <w:t xml:space="preserve"> Tel</w:t>
            </w:r>
            <w:r>
              <w:rPr>
                <w:rFonts w:ascii="Arial" w:eastAsia="Times New Roman" w:hAnsi="Arial" w:cs="Arial"/>
                <w:sz w:val="20"/>
                <w:szCs w:val="20"/>
                <w:lang w:val="en-US" w:eastAsia="es-EC"/>
              </w:rPr>
              <w:t>c</w:t>
            </w:r>
            <w:r w:rsidRPr="00EF7398">
              <w:rPr>
                <w:rFonts w:ascii="Arial" w:eastAsia="Times New Roman" w:hAnsi="Arial" w:cs="Arial"/>
                <w:sz w:val="20"/>
                <w:szCs w:val="20"/>
                <w:lang w:val="en-US" w:eastAsia="es-EC"/>
              </w:rPr>
              <w:t>one</w:t>
            </w:r>
            <w:r>
              <w:rPr>
                <w:rFonts w:ascii="Arial" w:eastAsia="Times New Roman" w:hAnsi="Arial" w:cs="Arial"/>
                <w:sz w:val="20"/>
                <w:szCs w:val="20"/>
                <w:lang w:val="en-US" w:eastAsia="es-EC"/>
              </w:rPr>
              <w:t>t</w:t>
            </w:r>
            <w:r w:rsidRPr="00EF7398">
              <w:rPr>
                <w:rFonts w:ascii="Arial" w:eastAsia="Times New Roman" w:hAnsi="Arial" w:cs="Arial"/>
                <w:sz w:val="20"/>
                <w:szCs w:val="20"/>
                <w:lang w:val="en-US" w:eastAsia="es-EC"/>
              </w:rPr>
              <w:t xml:space="preserve"> Jr </w:t>
            </w:r>
            <w:proofErr w:type="spellStart"/>
            <w:r w:rsidRPr="00EF7398">
              <w:rPr>
                <w:rFonts w:ascii="Arial" w:eastAsia="Times New Roman" w:hAnsi="Arial" w:cs="Arial"/>
                <w:sz w:val="20"/>
                <w:szCs w:val="20"/>
                <w:lang w:val="en-US" w:eastAsia="es-EC"/>
              </w:rPr>
              <w:t>Electrick</w:t>
            </w:r>
            <w:proofErr w:type="spellEnd"/>
            <w:r w:rsidRPr="00EF7398">
              <w:rPr>
                <w:rFonts w:ascii="Arial" w:eastAsia="Times New Roman" w:hAnsi="Arial" w:cs="Arial"/>
                <w:sz w:val="20"/>
                <w:szCs w:val="20"/>
                <w:lang w:val="en-US" w:eastAsia="es-EC"/>
              </w:rPr>
              <w:t xml:space="preserve"> Supply</w:t>
            </w:r>
          </w:p>
        </w:tc>
        <w:tc>
          <w:tcPr>
            <w:tcW w:w="1502" w:type="dxa"/>
            <w:shd w:val="clear" w:color="auto" w:fill="auto"/>
            <w:noWrap/>
            <w:vAlign w:val="bottom"/>
          </w:tcPr>
          <w:p w14:paraId="46C596E3" w14:textId="77777777" w:rsidR="00671ED6" w:rsidRPr="00EF7398" w:rsidRDefault="00671ED6" w:rsidP="003F2703">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224,729</w:t>
            </w:r>
          </w:p>
        </w:tc>
        <w:tc>
          <w:tcPr>
            <w:tcW w:w="227" w:type="dxa"/>
            <w:shd w:val="clear" w:color="auto" w:fill="auto"/>
            <w:noWrap/>
            <w:vAlign w:val="bottom"/>
          </w:tcPr>
          <w:p w14:paraId="253A661F" w14:textId="77777777" w:rsidR="00671ED6" w:rsidRPr="00EF7398" w:rsidRDefault="00671ED6" w:rsidP="003F2703">
            <w:pPr>
              <w:spacing w:after="0" w:line="240" w:lineRule="auto"/>
              <w:rPr>
                <w:rFonts w:ascii="Arial" w:eastAsia="Times New Roman" w:hAnsi="Arial" w:cs="Arial"/>
                <w:sz w:val="20"/>
                <w:szCs w:val="20"/>
                <w:lang w:val="en-US" w:eastAsia="es-EC"/>
              </w:rPr>
            </w:pPr>
          </w:p>
        </w:tc>
        <w:tc>
          <w:tcPr>
            <w:tcW w:w="1502" w:type="dxa"/>
            <w:shd w:val="clear" w:color="auto" w:fill="auto"/>
            <w:noWrap/>
            <w:vAlign w:val="bottom"/>
          </w:tcPr>
          <w:p w14:paraId="4C6C7D11" w14:textId="77777777" w:rsidR="00671ED6" w:rsidRPr="00EF7398" w:rsidRDefault="00671ED6" w:rsidP="003F2703">
            <w:pPr>
              <w:tabs>
                <w:tab w:val="decimal" w:pos="1276"/>
              </w:tabs>
              <w:spacing w:after="0" w:line="240" w:lineRule="auto"/>
              <w:rPr>
                <w:rFonts w:ascii="Arial" w:eastAsia="Times New Roman" w:hAnsi="Arial" w:cs="Arial"/>
                <w:sz w:val="20"/>
                <w:szCs w:val="20"/>
                <w:lang w:val="en-US" w:eastAsia="es-EC"/>
              </w:rPr>
            </w:pPr>
            <w:r>
              <w:rPr>
                <w:rFonts w:ascii="Arial" w:eastAsia="Times New Roman" w:hAnsi="Arial" w:cs="Arial"/>
                <w:sz w:val="20"/>
                <w:szCs w:val="20"/>
                <w:lang w:val="en-US" w:eastAsia="es-EC"/>
              </w:rPr>
              <w:t>413,434</w:t>
            </w:r>
          </w:p>
        </w:tc>
      </w:tr>
      <w:tr w:rsidR="00671ED6" w:rsidRPr="0074154F" w14:paraId="7B879EEE" w14:textId="77777777" w:rsidTr="003F2703">
        <w:tblPrEx>
          <w:tblBorders>
            <w:bottom w:val="double" w:sz="4" w:space="0" w:color="auto"/>
          </w:tblBorders>
        </w:tblPrEx>
        <w:trPr>
          <w:trHeight w:val="283"/>
          <w:jc w:val="right"/>
        </w:trPr>
        <w:tc>
          <w:tcPr>
            <w:tcW w:w="5272" w:type="dxa"/>
            <w:shd w:val="clear" w:color="auto" w:fill="auto"/>
            <w:noWrap/>
            <w:vAlign w:val="bottom"/>
          </w:tcPr>
          <w:p w14:paraId="14C503B0" w14:textId="77777777" w:rsidR="00671ED6" w:rsidRPr="00FA67FA"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 xml:space="preserve">Cable Andino S.A. </w:t>
            </w:r>
            <w:proofErr w:type="spellStart"/>
            <w:r w:rsidRPr="0074154F">
              <w:rPr>
                <w:rFonts w:ascii="Arial" w:eastAsia="Times New Roman" w:hAnsi="Arial" w:cs="Arial"/>
                <w:sz w:val="20"/>
                <w:szCs w:val="20"/>
                <w:lang w:eastAsia="es-EC"/>
              </w:rPr>
              <w:t>Corpandino</w:t>
            </w:r>
            <w:proofErr w:type="spellEnd"/>
          </w:p>
        </w:tc>
        <w:tc>
          <w:tcPr>
            <w:tcW w:w="1502" w:type="dxa"/>
            <w:shd w:val="clear" w:color="auto" w:fill="auto"/>
            <w:noWrap/>
            <w:vAlign w:val="bottom"/>
          </w:tcPr>
          <w:p w14:paraId="652B41CA"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189,555</w:t>
            </w:r>
          </w:p>
        </w:tc>
        <w:tc>
          <w:tcPr>
            <w:tcW w:w="227" w:type="dxa"/>
            <w:shd w:val="clear" w:color="auto" w:fill="auto"/>
            <w:noWrap/>
            <w:vAlign w:val="bottom"/>
          </w:tcPr>
          <w:p w14:paraId="4787CDD4"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3FF029FD"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176,523</w:t>
            </w:r>
          </w:p>
        </w:tc>
      </w:tr>
      <w:tr w:rsidR="00671ED6" w:rsidRPr="0074154F" w14:paraId="43584237" w14:textId="77777777" w:rsidTr="003F2703">
        <w:tblPrEx>
          <w:tblBorders>
            <w:bottom w:val="double" w:sz="4" w:space="0" w:color="auto"/>
          </w:tblBorders>
        </w:tblPrEx>
        <w:trPr>
          <w:trHeight w:val="283"/>
          <w:jc w:val="right"/>
        </w:trPr>
        <w:tc>
          <w:tcPr>
            <w:tcW w:w="5272" w:type="dxa"/>
            <w:shd w:val="clear" w:color="auto" w:fill="auto"/>
            <w:noWrap/>
            <w:vAlign w:val="bottom"/>
          </w:tcPr>
          <w:p w14:paraId="1CE9105E" w14:textId="77777777" w:rsidR="00671ED6" w:rsidRPr="00EF7398" w:rsidRDefault="00671ED6" w:rsidP="003F2703">
            <w:pPr>
              <w:tabs>
                <w:tab w:val="left" w:pos="210"/>
              </w:tabs>
              <w:spacing w:after="0" w:line="240" w:lineRule="auto"/>
              <w:ind w:left="-70"/>
              <w:rPr>
                <w:rFonts w:ascii="Arial" w:eastAsia="Times New Roman" w:hAnsi="Arial" w:cs="Arial"/>
                <w:sz w:val="20"/>
                <w:szCs w:val="20"/>
                <w:lang w:val="en-US" w:eastAsia="es-EC"/>
              </w:rPr>
            </w:pPr>
            <w:r>
              <w:rPr>
                <w:rFonts w:ascii="Arial" w:eastAsia="Times New Roman" w:hAnsi="Arial" w:cs="Arial"/>
                <w:sz w:val="20"/>
                <w:szCs w:val="20"/>
                <w:lang w:val="en-US" w:eastAsia="es-EC"/>
              </w:rPr>
              <w:t xml:space="preserve">  Cable </w:t>
            </w:r>
            <w:proofErr w:type="spellStart"/>
            <w:r>
              <w:rPr>
                <w:rFonts w:ascii="Arial" w:eastAsia="Times New Roman" w:hAnsi="Arial" w:cs="Arial"/>
                <w:sz w:val="20"/>
                <w:szCs w:val="20"/>
                <w:lang w:val="en-US" w:eastAsia="es-EC"/>
              </w:rPr>
              <w:t>Andino</w:t>
            </w:r>
            <w:proofErr w:type="spellEnd"/>
            <w:r>
              <w:rPr>
                <w:rFonts w:ascii="Arial" w:eastAsia="Times New Roman" w:hAnsi="Arial" w:cs="Arial"/>
                <w:sz w:val="20"/>
                <w:szCs w:val="20"/>
                <w:lang w:val="en-US" w:eastAsia="es-EC"/>
              </w:rPr>
              <w:t xml:space="preserve"> Inc.</w:t>
            </w:r>
          </w:p>
        </w:tc>
        <w:tc>
          <w:tcPr>
            <w:tcW w:w="1502" w:type="dxa"/>
            <w:shd w:val="clear" w:color="auto" w:fill="auto"/>
            <w:noWrap/>
            <w:vAlign w:val="bottom"/>
          </w:tcPr>
          <w:p w14:paraId="34259C06"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118,111</w:t>
            </w:r>
          </w:p>
        </w:tc>
        <w:tc>
          <w:tcPr>
            <w:tcW w:w="227" w:type="dxa"/>
            <w:shd w:val="clear" w:color="auto" w:fill="auto"/>
            <w:noWrap/>
            <w:vAlign w:val="bottom"/>
          </w:tcPr>
          <w:p w14:paraId="21DF5CA9"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10F28801"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3,685</w:t>
            </w:r>
          </w:p>
        </w:tc>
      </w:tr>
      <w:tr w:rsidR="00671ED6" w:rsidRPr="0074154F" w14:paraId="478C1B95" w14:textId="77777777" w:rsidTr="003F2703">
        <w:tblPrEx>
          <w:tblBorders>
            <w:bottom w:val="double" w:sz="4" w:space="0" w:color="auto"/>
          </w:tblBorders>
        </w:tblPrEx>
        <w:trPr>
          <w:trHeight w:val="283"/>
          <w:jc w:val="right"/>
        </w:trPr>
        <w:tc>
          <w:tcPr>
            <w:tcW w:w="5272" w:type="dxa"/>
            <w:shd w:val="clear" w:color="auto" w:fill="auto"/>
            <w:noWrap/>
            <w:vAlign w:val="bottom"/>
          </w:tcPr>
          <w:p w14:paraId="2BF10622"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Telsoterra S.A.</w:t>
            </w:r>
          </w:p>
        </w:tc>
        <w:tc>
          <w:tcPr>
            <w:tcW w:w="1502" w:type="dxa"/>
            <w:shd w:val="clear" w:color="auto" w:fill="auto"/>
            <w:noWrap/>
            <w:vAlign w:val="bottom"/>
          </w:tcPr>
          <w:p w14:paraId="58850B22"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56,674</w:t>
            </w:r>
          </w:p>
        </w:tc>
        <w:tc>
          <w:tcPr>
            <w:tcW w:w="227" w:type="dxa"/>
            <w:shd w:val="clear" w:color="auto" w:fill="auto"/>
            <w:noWrap/>
            <w:vAlign w:val="bottom"/>
          </w:tcPr>
          <w:p w14:paraId="03090DD1"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0D63C513"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10,386</w:t>
            </w:r>
          </w:p>
        </w:tc>
      </w:tr>
      <w:tr w:rsidR="00671ED6" w:rsidRPr="0074154F" w14:paraId="41E34434" w14:textId="77777777" w:rsidTr="003F2703">
        <w:tblPrEx>
          <w:tblBorders>
            <w:bottom w:val="double" w:sz="4" w:space="0" w:color="auto"/>
          </w:tblBorders>
        </w:tblPrEx>
        <w:trPr>
          <w:trHeight w:val="283"/>
          <w:jc w:val="right"/>
        </w:trPr>
        <w:tc>
          <w:tcPr>
            <w:tcW w:w="5272" w:type="dxa"/>
            <w:shd w:val="clear" w:color="auto" w:fill="auto"/>
            <w:noWrap/>
            <w:vAlign w:val="bottom"/>
          </w:tcPr>
          <w:p w14:paraId="650AFE04"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 xml:space="preserve"> Linkotel S.A.</w:t>
            </w:r>
          </w:p>
        </w:tc>
        <w:tc>
          <w:tcPr>
            <w:tcW w:w="1502" w:type="dxa"/>
            <w:shd w:val="clear" w:color="auto" w:fill="auto"/>
            <w:noWrap/>
            <w:vAlign w:val="bottom"/>
          </w:tcPr>
          <w:p w14:paraId="71BFC5F4"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55,802</w:t>
            </w:r>
          </w:p>
        </w:tc>
        <w:tc>
          <w:tcPr>
            <w:tcW w:w="227" w:type="dxa"/>
            <w:shd w:val="clear" w:color="auto" w:fill="auto"/>
            <w:noWrap/>
            <w:vAlign w:val="bottom"/>
          </w:tcPr>
          <w:p w14:paraId="651A0E0F"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339A4F5C"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89,818</w:t>
            </w:r>
          </w:p>
        </w:tc>
      </w:tr>
      <w:tr w:rsidR="00671ED6" w:rsidRPr="0074154F" w14:paraId="4C710894" w14:textId="77777777" w:rsidTr="003F2703">
        <w:tblPrEx>
          <w:tblBorders>
            <w:bottom w:val="double" w:sz="4" w:space="0" w:color="auto"/>
          </w:tblBorders>
        </w:tblPrEx>
        <w:trPr>
          <w:trHeight w:val="283"/>
          <w:jc w:val="right"/>
        </w:trPr>
        <w:tc>
          <w:tcPr>
            <w:tcW w:w="5272" w:type="dxa"/>
            <w:shd w:val="clear" w:color="auto" w:fill="auto"/>
            <w:noWrap/>
            <w:vAlign w:val="bottom"/>
          </w:tcPr>
          <w:p w14:paraId="46BC592E"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 xml:space="preserve">Cajamarca </w:t>
            </w:r>
            <w:proofErr w:type="spellStart"/>
            <w:r w:rsidRPr="0074154F">
              <w:rPr>
                <w:rFonts w:ascii="Arial" w:eastAsia="Times New Roman" w:hAnsi="Arial" w:cs="Arial"/>
                <w:sz w:val="20"/>
                <w:szCs w:val="20"/>
                <w:lang w:eastAsia="es-EC"/>
              </w:rPr>
              <w:t>Protective</w:t>
            </w:r>
            <w:proofErr w:type="spellEnd"/>
            <w:r w:rsidRPr="0074154F">
              <w:rPr>
                <w:rFonts w:ascii="Arial" w:eastAsia="Times New Roman" w:hAnsi="Arial" w:cs="Arial"/>
                <w:sz w:val="20"/>
                <w:szCs w:val="20"/>
                <w:lang w:eastAsia="es-EC"/>
              </w:rPr>
              <w:t xml:space="preserve"> Services</w:t>
            </w:r>
          </w:p>
        </w:tc>
        <w:tc>
          <w:tcPr>
            <w:tcW w:w="1502" w:type="dxa"/>
            <w:shd w:val="clear" w:color="auto" w:fill="auto"/>
            <w:noWrap/>
            <w:vAlign w:val="bottom"/>
          </w:tcPr>
          <w:p w14:paraId="42B60ED4"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42,607</w:t>
            </w:r>
          </w:p>
        </w:tc>
        <w:tc>
          <w:tcPr>
            <w:tcW w:w="227" w:type="dxa"/>
            <w:shd w:val="clear" w:color="auto" w:fill="auto"/>
            <w:noWrap/>
            <w:vAlign w:val="bottom"/>
          </w:tcPr>
          <w:p w14:paraId="5D63C20A"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5717F078" w14:textId="77777777" w:rsidR="00671ED6" w:rsidRPr="0074154F" w:rsidRDefault="00671ED6" w:rsidP="003F2703">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9,205</w:t>
            </w:r>
          </w:p>
        </w:tc>
      </w:tr>
      <w:tr w:rsidR="00671ED6" w:rsidRPr="0074154F" w14:paraId="63347AD6" w14:textId="77777777" w:rsidTr="003F2703">
        <w:tblPrEx>
          <w:tblBorders>
            <w:bottom w:val="double" w:sz="4" w:space="0" w:color="auto"/>
          </w:tblBorders>
        </w:tblPrEx>
        <w:trPr>
          <w:trHeight w:val="283"/>
          <w:jc w:val="right"/>
        </w:trPr>
        <w:tc>
          <w:tcPr>
            <w:tcW w:w="5272" w:type="dxa"/>
            <w:shd w:val="clear" w:color="auto" w:fill="auto"/>
            <w:noWrap/>
            <w:vAlign w:val="bottom"/>
          </w:tcPr>
          <w:p w14:paraId="2762FF91"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Telconet Panamá S.A.</w:t>
            </w:r>
          </w:p>
        </w:tc>
        <w:tc>
          <w:tcPr>
            <w:tcW w:w="1502" w:type="dxa"/>
            <w:shd w:val="clear" w:color="auto" w:fill="auto"/>
            <w:noWrap/>
            <w:vAlign w:val="bottom"/>
          </w:tcPr>
          <w:p w14:paraId="1BF32370"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8,468</w:t>
            </w:r>
          </w:p>
        </w:tc>
        <w:tc>
          <w:tcPr>
            <w:tcW w:w="227" w:type="dxa"/>
            <w:shd w:val="clear" w:color="auto" w:fill="auto"/>
            <w:noWrap/>
            <w:vAlign w:val="bottom"/>
          </w:tcPr>
          <w:p w14:paraId="59A33748"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658CBCD1"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88,729</w:t>
            </w:r>
          </w:p>
        </w:tc>
      </w:tr>
      <w:tr w:rsidR="00671ED6" w:rsidRPr="0074154F" w14:paraId="5D085067" w14:textId="77777777" w:rsidTr="003F2703">
        <w:tblPrEx>
          <w:tblBorders>
            <w:bottom w:val="double" w:sz="4" w:space="0" w:color="auto"/>
          </w:tblBorders>
        </w:tblPrEx>
        <w:trPr>
          <w:trHeight w:val="283"/>
          <w:jc w:val="right"/>
        </w:trPr>
        <w:tc>
          <w:tcPr>
            <w:tcW w:w="5272" w:type="dxa"/>
            <w:shd w:val="clear" w:color="auto" w:fill="auto"/>
            <w:noWrap/>
            <w:vAlign w:val="bottom"/>
          </w:tcPr>
          <w:p w14:paraId="6F594692"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proofErr w:type="spellStart"/>
            <w:r w:rsidRPr="0074154F">
              <w:rPr>
                <w:rFonts w:ascii="Arial" w:eastAsia="Times New Roman" w:hAnsi="Arial" w:cs="Arial"/>
                <w:sz w:val="20"/>
                <w:szCs w:val="20"/>
                <w:lang w:eastAsia="es-EC"/>
              </w:rPr>
              <w:t>Latamfiberhome</w:t>
            </w:r>
            <w:proofErr w:type="spellEnd"/>
            <w:r w:rsidRPr="0074154F">
              <w:rPr>
                <w:rFonts w:ascii="Arial" w:eastAsia="Times New Roman" w:hAnsi="Arial" w:cs="Arial"/>
                <w:sz w:val="20"/>
                <w:szCs w:val="20"/>
                <w:lang w:eastAsia="es-EC"/>
              </w:rPr>
              <w:t xml:space="preserve"> Cable C. Ltda.</w:t>
            </w:r>
          </w:p>
        </w:tc>
        <w:tc>
          <w:tcPr>
            <w:tcW w:w="1502" w:type="dxa"/>
            <w:shd w:val="clear" w:color="auto" w:fill="auto"/>
            <w:noWrap/>
            <w:vAlign w:val="bottom"/>
          </w:tcPr>
          <w:p w14:paraId="4EF53F48"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2,999</w:t>
            </w:r>
          </w:p>
        </w:tc>
        <w:tc>
          <w:tcPr>
            <w:tcW w:w="227" w:type="dxa"/>
            <w:shd w:val="clear" w:color="auto" w:fill="auto"/>
            <w:noWrap/>
            <w:vAlign w:val="bottom"/>
          </w:tcPr>
          <w:p w14:paraId="31898AE5"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shd w:val="clear" w:color="auto" w:fill="auto"/>
            <w:noWrap/>
            <w:vAlign w:val="bottom"/>
          </w:tcPr>
          <w:p w14:paraId="04A22F96" w14:textId="77777777" w:rsidR="00671ED6" w:rsidRPr="0074154F" w:rsidRDefault="00671ED6" w:rsidP="003F2703">
            <w:pPr>
              <w:tabs>
                <w:tab w:val="decimal" w:pos="1276"/>
              </w:tabs>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674,303</w:t>
            </w:r>
          </w:p>
        </w:tc>
      </w:tr>
      <w:tr w:rsidR="00671ED6" w:rsidRPr="0074154F" w14:paraId="70901166" w14:textId="77777777" w:rsidTr="00671ED6">
        <w:tblPrEx>
          <w:tblBorders>
            <w:bottom w:val="double" w:sz="4" w:space="0" w:color="auto"/>
          </w:tblBorders>
        </w:tblPrEx>
        <w:trPr>
          <w:trHeight w:val="283"/>
          <w:jc w:val="right"/>
        </w:trPr>
        <w:tc>
          <w:tcPr>
            <w:tcW w:w="5272" w:type="dxa"/>
            <w:shd w:val="clear" w:color="auto" w:fill="auto"/>
            <w:noWrap/>
            <w:vAlign w:val="bottom"/>
          </w:tcPr>
          <w:p w14:paraId="23016120"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Consorcio </w:t>
            </w:r>
            <w:proofErr w:type="spellStart"/>
            <w:r>
              <w:rPr>
                <w:rFonts w:ascii="Arial" w:eastAsia="Times New Roman" w:hAnsi="Arial" w:cs="Arial"/>
                <w:sz w:val="20"/>
                <w:szCs w:val="20"/>
                <w:lang w:eastAsia="es-EC"/>
              </w:rPr>
              <w:t>Bravco</w:t>
            </w:r>
            <w:proofErr w:type="spellEnd"/>
            <w:r>
              <w:rPr>
                <w:rFonts w:ascii="Arial" w:eastAsia="Times New Roman" w:hAnsi="Arial" w:cs="Arial"/>
                <w:sz w:val="20"/>
                <w:szCs w:val="20"/>
                <w:lang w:eastAsia="es-EC"/>
              </w:rPr>
              <w:t xml:space="preserve"> Telconet</w:t>
            </w:r>
          </w:p>
        </w:tc>
        <w:tc>
          <w:tcPr>
            <w:tcW w:w="1502" w:type="dxa"/>
            <w:tcBorders>
              <w:bottom w:val="nil"/>
            </w:tcBorders>
            <w:shd w:val="clear" w:color="auto" w:fill="auto"/>
            <w:noWrap/>
            <w:vAlign w:val="bottom"/>
          </w:tcPr>
          <w:p w14:paraId="06F7DD13"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27" w:type="dxa"/>
            <w:tcBorders>
              <w:bottom w:val="nil"/>
            </w:tcBorders>
            <w:shd w:val="clear" w:color="auto" w:fill="auto"/>
            <w:noWrap/>
            <w:vAlign w:val="bottom"/>
          </w:tcPr>
          <w:p w14:paraId="6DE8CA36"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tcBorders>
              <w:bottom w:val="nil"/>
            </w:tcBorders>
            <w:shd w:val="clear" w:color="auto" w:fill="auto"/>
            <w:noWrap/>
            <w:vAlign w:val="bottom"/>
          </w:tcPr>
          <w:p w14:paraId="16A26F2F"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113,423</w:t>
            </w:r>
          </w:p>
        </w:tc>
      </w:tr>
      <w:tr w:rsidR="00671ED6" w:rsidRPr="0074154F" w14:paraId="09A93ABB" w14:textId="77777777" w:rsidTr="006D17CB">
        <w:tblPrEx>
          <w:tblBorders>
            <w:bottom w:val="double" w:sz="4" w:space="0" w:color="auto"/>
          </w:tblBorders>
        </w:tblPrEx>
        <w:trPr>
          <w:trHeight w:val="314"/>
          <w:jc w:val="right"/>
        </w:trPr>
        <w:tc>
          <w:tcPr>
            <w:tcW w:w="5272" w:type="dxa"/>
            <w:tcBorders>
              <w:bottom w:val="nil"/>
            </w:tcBorders>
            <w:shd w:val="clear" w:color="auto" w:fill="auto"/>
            <w:noWrap/>
            <w:vAlign w:val="bottom"/>
          </w:tcPr>
          <w:p w14:paraId="61F86027" w14:textId="77777777" w:rsidR="00671ED6" w:rsidRPr="0074154F" w:rsidRDefault="00671ED6" w:rsidP="003F2703">
            <w:pPr>
              <w:tabs>
                <w:tab w:val="left" w:pos="210"/>
              </w:tabs>
              <w:spacing w:after="0" w:line="240" w:lineRule="auto"/>
              <w:ind w:left="-70"/>
              <w:rPr>
                <w:rFonts w:ascii="Arial" w:eastAsia="Times New Roman" w:hAnsi="Arial" w:cs="Arial"/>
                <w:sz w:val="20"/>
                <w:szCs w:val="20"/>
                <w:lang w:eastAsia="es-EC"/>
              </w:rPr>
            </w:pPr>
            <w:r>
              <w:rPr>
                <w:rFonts w:ascii="Arial" w:eastAsia="Times New Roman" w:hAnsi="Arial" w:cs="Arial"/>
                <w:sz w:val="20"/>
                <w:szCs w:val="20"/>
                <w:lang w:eastAsia="es-EC"/>
              </w:rPr>
              <w:t xml:space="preserve">  </w:t>
            </w:r>
            <w:r w:rsidRPr="0074154F">
              <w:rPr>
                <w:rFonts w:ascii="Arial" w:eastAsia="Times New Roman" w:hAnsi="Arial" w:cs="Arial"/>
                <w:sz w:val="20"/>
                <w:szCs w:val="20"/>
                <w:lang w:eastAsia="es-EC"/>
              </w:rPr>
              <w:t>Servicios Telcodata S.A.</w:t>
            </w:r>
          </w:p>
        </w:tc>
        <w:tc>
          <w:tcPr>
            <w:tcW w:w="1502" w:type="dxa"/>
            <w:tcBorders>
              <w:bottom w:val="double" w:sz="4" w:space="0" w:color="auto"/>
            </w:tcBorders>
            <w:shd w:val="clear" w:color="auto" w:fill="auto"/>
            <w:noWrap/>
            <w:vAlign w:val="bottom"/>
          </w:tcPr>
          <w:p w14:paraId="108D99CE"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w:t>
            </w:r>
          </w:p>
        </w:tc>
        <w:tc>
          <w:tcPr>
            <w:tcW w:w="227" w:type="dxa"/>
            <w:tcBorders>
              <w:bottom w:val="nil"/>
            </w:tcBorders>
            <w:shd w:val="clear" w:color="auto" w:fill="auto"/>
            <w:noWrap/>
            <w:vAlign w:val="bottom"/>
          </w:tcPr>
          <w:p w14:paraId="23521AF3" w14:textId="77777777" w:rsidR="00671ED6" w:rsidRPr="0074154F" w:rsidRDefault="00671ED6" w:rsidP="003F2703">
            <w:pPr>
              <w:spacing w:after="0" w:line="240" w:lineRule="auto"/>
              <w:rPr>
                <w:rFonts w:ascii="Arial" w:eastAsia="Times New Roman" w:hAnsi="Arial" w:cs="Arial"/>
                <w:sz w:val="20"/>
                <w:szCs w:val="20"/>
                <w:lang w:eastAsia="es-EC"/>
              </w:rPr>
            </w:pPr>
          </w:p>
        </w:tc>
        <w:tc>
          <w:tcPr>
            <w:tcW w:w="1502" w:type="dxa"/>
            <w:tcBorders>
              <w:bottom w:val="double" w:sz="4" w:space="0" w:color="auto"/>
            </w:tcBorders>
            <w:shd w:val="clear" w:color="auto" w:fill="auto"/>
            <w:noWrap/>
            <w:vAlign w:val="bottom"/>
          </w:tcPr>
          <w:p w14:paraId="1FE0AF13" w14:textId="77777777" w:rsidR="00671ED6" w:rsidRPr="0074154F" w:rsidRDefault="00671ED6" w:rsidP="003F2703">
            <w:pPr>
              <w:tabs>
                <w:tab w:val="decimal" w:pos="1276"/>
              </w:tabs>
              <w:spacing w:after="0" w:line="240" w:lineRule="auto"/>
              <w:rPr>
                <w:rFonts w:ascii="Arial" w:eastAsia="Times New Roman" w:hAnsi="Arial" w:cs="Arial"/>
                <w:sz w:val="20"/>
                <w:szCs w:val="20"/>
                <w:lang w:eastAsia="es-EC"/>
              </w:rPr>
            </w:pPr>
            <w:r>
              <w:rPr>
                <w:rFonts w:ascii="Arial" w:eastAsia="Times New Roman" w:hAnsi="Arial" w:cs="Arial"/>
                <w:sz w:val="20"/>
                <w:szCs w:val="20"/>
                <w:lang w:eastAsia="es-EC"/>
              </w:rPr>
              <w:t>626</w:t>
            </w:r>
          </w:p>
        </w:tc>
      </w:tr>
    </w:tbl>
    <w:p w14:paraId="58B5FC6C" w14:textId="77777777" w:rsidR="00671ED6" w:rsidRDefault="00671ED6" w:rsidP="00D9120F">
      <w:pPr>
        <w:rPr>
          <w:rFonts w:ascii="Arial" w:hAnsi="Arial" w:cs="Arial"/>
          <w:sz w:val="6"/>
          <w:szCs w:val="6"/>
          <w:lang w:val="es-ES_tradnl" w:eastAsia="es-EC"/>
        </w:rPr>
      </w:pPr>
    </w:p>
    <w:p w14:paraId="7B756EE3" w14:textId="4F20DDFE" w:rsidR="000D61E0" w:rsidRPr="0074154F" w:rsidRDefault="000D61E0" w:rsidP="00413455">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eastAsia="es-EC"/>
        </w:rPr>
      </w:pPr>
      <w:r w:rsidRPr="0074154F">
        <w:rPr>
          <w:rFonts w:ascii="Arial" w:hAnsi="Arial" w:cs="Arial"/>
          <w:sz w:val="20"/>
          <w:u w:val="single"/>
          <w:lang w:eastAsia="es-EC"/>
        </w:rPr>
        <w:t>COMPROMISOS</w:t>
      </w:r>
    </w:p>
    <w:p w14:paraId="78D45E87" w14:textId="7417AC3C" w:rsidR="00AA1EDB" w:rsidRPr="0074154F" w:rsidRDefault="00AA1EDB" w:rsidP="00413455">
      <w:pPr>
        <w:widowControl w:val="0"/>
        <w:spacing w:after="0" w:line="240" w:lineRule="auto"/>
        <w:ind w:left="567"/>
        <w:jc w:val="both"/>
        <w:rPr>
          <w:rFonts w:ascii="Arial" w:hAnsi="Arial" w:cs="Arial"/>
          <w:b/>
          <w:bCs/>
          <w:sz w:val="20"/>
          <w:szCs w:val="20"/>
          <w:u w:val="single"/>
        </w:rPr>
      </w:pPr>
    </w:p>
    <w:p w14:paraId="14406832" w14:textId="77777777"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CONTRATO DE PRESTACIÓN DE SERVICIOS DE HOUSING</w:t>
      </w:r>
      <w:r w:rsidRPr="0074154F">
        <w:rPr>
          <w:rFonts w:ascii="Arial" w:hAnsi="Arial" w:cs="Arial"/>
          <w:b/>
          <w:i/>
          <w:iCs/>
          <w:sz w:val="20"/>
          <w:szCs w:val="20"/>
        </w:rPr>
        <w:t>:</w:t>
      </w:r>
    </w:p>
    <w:p w14:paraId="05EA0149" w14:textId="77777777" w:rsidR="002744A6" w:rsidRPr="0074154F" w:rsidRDefault="002744A6" w:rsidP="002744A6">
      <w:pPr>
        <w:spacing w:after="0" w:line="240" w:lineRule="auto"/>
        <w:ind w:left="567"/>
        <w:jc w:val="both"/>
        <w:rPr>
          <w:rFonts w:ascii="Arial" w:hAnsi="Arial" w:cs="Arial"/>
          <w:b/>
          <w:sz w:val="20"/>
          <w:szCs w:val="20"/>
          <w:u w:val="single"/>
        </w:rPr>
      </w:pPr>
    </w:p>
    <w:p w14:paraId="7D400D0E" w14:textId="77777777" w:rsidR="002744A6" w:rsidRPr="0074154F" w:rsidRDefault="002744A6" w:rsidP="002744A6">
      <w:pPr>
        <w:spacing w:after="0" w:line="240" w:lineRule="auto"/>
        <w:ind w:left="567"/>
        <w:jc w:val="both"/>
        <w:rPr>
          <w:rFonts w:ascii="Arial" w:hAnsi="Arial" w:cs="Arial"/>
          <w:sz w:val="20"/>
          <w:szCs w:val="20"/>
        </w:rPr>
      </w:pPr>
      <w:r w:rsidRPr="0074154F">
        <w:rPr>
          <w:rFonts w:ascii="Arial" w:hAnsi="Arial" w:cs="Arial"/>
          <w:sz w:val="20"/>
          <w:szCs w:val="20"/>
        </w:rPr>
        <w:t xml:space="preserve">Con fecha 26 de julio del 2017. la Compañía firmó contrato con el Banco del Pacífico S.A. para brindar servicios de </w:t>
      </w:r>
      <w:r w:rsidRPr="0074154F">
        <w:rPr>
          <w:rFonts w:ascii="Arial" w:hAnsi="Arial" w:cs="Arial"/>
          <w:w w:val="95"/>
          <w:sz w:val="20"/>
          <w:szCs w:val="20"/>
        </w:rPr>
        <w:t>“Data Center” para el centro Alterno de esa entidad bancaria</w:t>
      </w:r>
      <w:r w:rsidRPr="0074154F">
        <w:rPr>
          <w:rFonts w:ascii="Arial" w:hAnsi="Arial" w:cs="Arial"/>
          <w:sz w:val="20"/>
          <w:szCs w:val="20"/>
        </w:rPr>
        <w:t>,</w:t>
      </w:r>
      <w:r w:rsidRPr="0074154F">
        <w:rPr>
          <w:rFonts w:ascii="Arial" w:hAnsi="Arial" w:cs="Arial"/>
          <w:spacing w:val="34"/>
          <w:sz w:val="20"/>
          <w:szCs w:val="20"/>
        </w:rPr>
        <w:t xml:space="preserve"> </w:t>
      </w:r>
      <w:r w:rsidRPr="0074154F">
        <w:rPr>
          <w:rFonts w:ascii="Arial" w:hAnsi="Arial" w:cs="Arial"/>
          <w:sz w:val="20"/>
          <w:szCs w:val="20"/>
        </w:rPr>
        <w:t>así</w:t>
      </w:r>
      <w:r w:rsidRPr="0074154F">
        <w:rPr>
          <w:rFonts w:ascii="Arial" w:hAnsi="Arial" w:cs="Arial"/>
          <w:spacing w:val="14"/>
          <w:sz w:val="20"/>
          <w:szCs w:val="20"/>
        </w:rPr>
        <w:t xml:space="preserve"> </w:t>
      </w:r>
      <w:r w:rsidRPr="0074154F">
        <w:rPr>
          <w:rFonts w:ascii="Arial" w:hAnsi="Arial" w:cs="Arial"/>
          <w:sz w:val="20"/>
          <w:szCs w:val="20"/>
        </w:rPr>
        <w:t>como</w:t>
      </w:r>
      <w:r w:rsidRPr="0074154F">
        <w:rPr>
          <w:rFonts w:ascii="Arial" w:hAnsi="Arial" w:cs="Arial"/>
          <w:spacing w:val="27"/>
          <w:sz w:val="20"/>
          <w:szCs w:val="20"/>
        </w:rPr>
        <w:t xml:space="preserve"> </w:t>
      </w:r>
      <w:r w:rsidRPr="0074154F">
        <w:rPr>
          <w:rFonts w:ascii="Arial" w:hAnsi="Arial" w:cs="Arial"/>
          <w:sz w:val="20"/>
          <w:szCs w:val="20"/>
        </w:rPr>
        <w:t>el</w:t>
      </w:r>
      <w:r w:rsidRPr="0074154F">
        <w:rPr>
          <w:rFonts w:ascii="Arial" w:hAnsi="Arial" w:cs="Arial"/>
          <w:spacing w:val="16"/>
          <w:sz w:val="20"/>
          <w:szCs w:val="20"/>
        </w:rPr>
        <w:t xml:space="preserve"> </w:t>
      </w:r>
      <w:r w:rsidRPr="0074154F">
        <w:rPr>
          <w:rFonts w:ascii="Arial" w:hAnsi="Arial" w:cs="Arial"/>
          <w:sz w:val="20"/>
          <w:szCs w:val="20"/>
        </w:rPr>
        <w:t>movimiento</w:t>
      </w:r>
      <w:r w:rsidRPr="0074154F">
        <w:rPr>
          <w:rFonts w:ascii="Arial" w:hAnsi="Arial" w:cs="Arial"/>
          <w:spacing w:val="37"/>
          <w:sz w:val="20"/>
          <w:szCs w:val="20"/>
        </w:rPr>
        <w:t xml:space="preserve"> </w:t>
      </w:r>
      <w:r w:rsidRPr="0074154F">
        <w:rPr>
          <w:rFonts w:ascii="Arial" w:hAnsi="Arial" w:cs="Arial"/>
          <w:sz w:val="20"/>
          <w:szCs w:val="20"/>
        </w:rPr>
        <w:t>de</w:t>
      </w:r>
      <w:r w:rsidRPr="0074154F">
        <w:rPr>
          <w:rFonts w:ascii="Arial" w:hAnsi="Arial" w:cs="Arial"/>
          <w:spacing w:val="26"/>
          <w:sz w:val="20"/>
          <w:szCs w:val="20"/>
        </w:rPr>
        <w:t xml:space="preserve"> </w:t>
      </w:r>
      <w:r w:rsidRPr="0074154F">
        <w:rPr>
          <w:rFonts w:ascii="Arial" w:hAnsi="Arial" w:cs="Arial"/>
          <w:sz w:val="20"/>
          <w:szCs w:val="20"/>
        </w:rPr>
        <w:t>sus</w:t>
      </w:r>
      <w:r w:rsidRPr="0074154F">
        <w:rPr>
          <w:rFonts w:ascii="Arial" w:hAnsi="Arial" w:cs="Arial"/>
          <w:spacing w:val="21"/>
          <w:sz w:val="20"/>
          <w:szCs w:val="20"/>
        </w:rPr>
        <w:t xml:space="preserve"> </w:t>
      </w:r>
      <w:r w:rsidRPr="0074154F">
        <w:rPr>
          <w:rFonts w:ascii="Arial" w:hAnsi="Arial" w:cs="Arial"/>
          <w:sz w:val="20"/>
          <w:szCs w:val="20"/>
        </w:rPr>
        <w:t>centros</w:t>
      </w:r>
      <w:r w:rsidRPr="0074154F">
        <w:rPr>
          <w:rFonts w:ascii="Arial" w:hAnsi="Arial" w:cs="Arial"/>
          <w:spacing w:val="32"/>
          <w:sz w:val="20"/>
          <w:szCs w:val="20"/>
        </w:rPr>
        <w:t xml:space="preserve"> </w:t>
      </w:r>
      <w:r w:rsidRPr="0074154F">
        <w:rPr>
          <w:rFonts w:ascii="Arial" w:hAnsi="Arial" w:cs="Arial"/>
          <w:sz w:val="20"/>
          <w:szCs w:val="20"/>
        </w:rPr>
        <w:t>de</w:t>
      </w:r>
      <w:r w:rsidRPr="0074154F">
        <w:rPr>
          <w:rFonts w:ascii="Arial" w:hAnsi="Arial" w:cs="Arial"/>
          <w:spacing w:val="21"/>
          <w:sz w:val="20"/>
          <w:szCs w:val="20"/>
        </w:rPr>
        <w:t xml:space="preserve"> </w:t>
      </w:r>
      <w:r w:rsidRPr="0074154F">
        <w:rPr>
          <w:rFonts w:ascii="Arial" w:hAnsi="Arial" w:cs="Arial"/>
          <w:sz w:val="20"/>
          <w:szCs w:val="20"/>
        </w:rPr>
        <w:t>datos</w:t>
      </w:r>
      <w:r w:rsidRPr="0074154F">
        <w:rPr>
          <w:rFonts w:ascii="Arial" w:hAnsi="Arial" w:cs="Arial"/>
          <w:spacing w:val="26"/>
          <w:sz w:val="20"/>
          <w:szCs w:val="20"/>
        </w:rPr>
        <w:t xml:space="preserve"> </w:t>
      </w:r>
      <w:r w:rsidRPr="0074154F">
        <w:rPr>
          <w:rFonts w:ascii="Arial" w:hAnsi="Arial" w:cs="Arial"/>
          <w:sz w:val="20"/>
          <w:szCs w:val="20"/>
        </w:rPr>
        <w:t>de</w:t>
      </w:r>
      <w:r w:rsidRPr="0074154F">
        <w:rPr>
          <w:rFonts w:ascii="Arial" w:hAnsi="Arial" w:cs="Arial"/>
          <w:spacing w:val="21"/>
          <w:sz w:val="20"/>
          <w:szCs w:val="20"/>
        </w:rPr>
        <w:t xml:space="preserve"> las ciudades de </w:t>
      </w:r>
      <w:r w:rsidRPr="0074154F">
        <w:rPr>
          <w:rFonts w:ascii="Arial" w:hAnsi="Arial" w:cs="Arial"/>
          <w:sz w:val="20"/>
          <w:szCs w:val="20"/>
        </w:rPr>
        <w:t>Milagro</w:t>
      </w:r>
      <w:r w:rsidRPr="0074154F">
        <w:rPr>
          <w:rFonts w:ascii="Arial" w:hAnsi="Arial" w:cs="Arial"/>
          <w:spacing w:val="38"/>
          <w:sz w:val="20"/>
          <w:szCs w:val="20"/>
        </w:rPr>
        <w:t xml:space="preserve"> </w:t>
      </w:r>
      <w:r w:rsidRPr="0074154F">
        <w:rPr>
          <w:rFonts w:ascii="Arial" w:hAnsi="Arial" w:cs="Arial"/>
          <w:sz w:val="20"/>
          <w:szCs w:val="20"/>
        </w:rPr>
        <w:t>y</w:t>
      </w:r>
      <w:r w:rsidRPr="0074154F">
        <w:rPr>
          <w:rFonts w:ascii="Arial" w:hAnsi="Arial" w:cs="Arial"/>
          <w:spacing w:val="24"/>
          <w:sz w:val="20"/>
          <w:szCs w:val="20"/>
        </w:rPr>
        <w:t xml:space="preserve"> </w:t>
      </w:r>
      <w:r w:rsidRPr="0074154F">
        <w:rPr>
          <w:rFonts w:ascii="Arial" w:hAnsi="Arial" w:cs="Arial"/>
          <w:sz w:val="20"/>
          <w:szCs w:val="20"/>
        </w:rPr>
        <w:t>Quito,</w:t>
      </w:r>
      <w:r w:rsidRPr="0074154F">
        <w:rPr>
          <w:rFonts w:ascii="Arial" w:hAnsi="Arial" w:cs="Arial"/>
          <w:spacing w:val="24"/>
          <w:sz w:val="20"/>
          <w:szCs w:val="20"/>
        </w:rPr>
        <w:t xml:space="preserve"> </w:t>
      </w:r>
      <w:r w:rsidRPr="0074154F">
        <w:rPr>
          <w:rFonts w:ascii="Arial" w:hAnsi="Arial" w:cs="Arial"/>
          <w:sz w:val="20"/>
          <w:szCs w:val="20"/>
        </w:rPr>
        <w:t xml:space="preserve">la provisión del cableado estructurado, cableado Inteligente y servicios de comunicaciones de datos, basados en servicios </w:t>
      </w:r>
      <w:proofErr w:type="spellStart"/>
      <w:r w:rsidRPr="0074154F">
        <w:rPr>
          <w:rFonts w:ascii="Arial" w:hAnsi="Arial" w:cs="Arial"/>
          <w:sz w:val="20"/>
          <w:szCs w:val="20"/>
        </w:rPr>
        <w:t>pre-operativos</w:t>
      </w:r>
      <w:proofErr w:type="spellEnd"/>
      <w:r w:rsidRPr="0074154F">
        <w:rPr>
          <w:rFonts w:ascii="Arial" w:hAnsi="Arial" w:cs="Arial"/>
          <w:sz w:val="20"/>
          <w:szCs w:val="20"/>
        </w:rPr>
        <w:t xml:space="preserve">, </w:t>
      </w:r>
      <w:proofErr w:type="spellStart"/>
      <w:r w:rsidRPr="0074154F">
        <w:rPr>
          <w:rFonts w:ascii="Arial" w:hAnsi="Arial" w:cs="Arial"/>
          <w:sz w:val="20"/>
          <w:szCs w:val="20"/>
        </w:rPr>
        <w:t>housing</w:t>
      </w:r>
      <w:proofErr w:type="spellEnd"/>
      <w:r w:rsidRPr="0074154F">
        <w:rPr>
          <w:rFonts w:ascii="Arial" w:hAnsi="Arial" w:cs="Arial"/>
          <w:sz w:val="20"/>
          <w:szCs w:val="20"/>
        </w:rPr>
        <w:t>, jaula, espacio reservado, provisión de energía Eléctrica (</w:t>
      </w:r>
      <w:proofErr w:type="spellStart"/>
      <w:r w:rsidRPr="0074154F">
        <w:rPr>
          <w:rFonts w:ascii="Arial" w:hAnsi="Arial" w:cs="Arial"/>
          <w:sz w:val="20"/>
          <w:szCs w:val="20"/>
        </w:rPr>
        <w:t>KVAs</w:t>
      </w:r>
      <w:proofErr w:type="spellEnd"/>
      <w:r w:rsidRPr="0074154F">
        <w:rPr>
          <w:rFonts w:ascii="Arial" w:hAnsi="Arial" w:cs="Arial"/>
          <w:sz w:val="20"/>
          <w:szCs w:val="20"/>
        </w:rPr>
        <w:t xml:space="preserve">), manos remotas básicas, cintoteca, comunicaciones entre las ciudades de Guayaquil y Quito, incluido el </w:t>
      </w:r>
      <w:proofErr w:type="spellStart"/>
      <w:r w:rsidRPr="0074154F">
        <w:rPr>
          <w:rFonts w:ascii="Arial" w:hAnsi="Arial" w:cs="Arial"/>
          <w:sz w:val="20"/>
          <w:szCs w:val="20"/>
        </w:rPr>
        <w:t>cross</w:t>
      </w:r>
      <w:proofErr w:type="spellEnd"/>
      <w:r w:rsidRPr="0074154F">
        <w:rPr>
          <w:rFonts w:ascii="Arial" w:hAnsi="Arial" w:cs="Arial"/>
          <w:sz w:val="20"/>
          <w:szCs w:val="20"/>
        </w:rPr>
        <w:t xml:space="preserve"> conexión. La duración es de este Contrato es de 36 meses.</w:t>
      </w:r>
    </w:p>
    <w:p w14:paraId="40B84194" w14:textId="77777777" w:rsidR="002744A6" w:rsidRPr="0074154F" w:rsidRDefault="002744A6" w:rsidP="002744A6">
      <w:pPr>
        <w:spacing w:after="0" w:line="240" w:lineRule="auto"/>
        <w:ind w:left="567"/>
        <w:jc w:val="both"/>
        <w:rPr>
          <w:rFonts w:ascii="Arial" w:hAnsi="Arial" w:cs="Arial"/>
          <w:b/>
          <w:sz w:val="16"/>
          <w:szCs w:val="16"/>
          <w:u w:val="single"/>
        </w:rPr>
      </w:pPr>
    </w:p>
    <w:p w14:paraId="015B3091" w14:textId="77777777" w:rsidR="002744A6" w:rsidRPr="0074154F" w:rsidRDefault="002744A6" w:rsidP="002744A6">
      <w:pPr>
        <w:spacing w:after="0" w:line="240" w:lineRule="auto"/>
        <w:ind w:left="567"/>
        <w:jc w:val="both"/>
        <w:rPr>
          <w:rFonts w:ascii="Arial" w:hAnsi="Arial" w:cs="Arial"/>
          <w:b/>
          <w:sz w:val="2"/>
          <w:szCs w:val="2"/>
          <w:u w:val="single"/>
        </w:rPr>
      </w:pPr>
    </w:p>
    <w:p w14:paraId="2262C919" w14:textId="77777777" w:rsidR="002744A6" w:rsidRPr="0074154F" w:rsidRDefault="002744A6" w:rsidP="002744A6">
      <w:pPr>
        <w:spacing w:after="0" w:line="240" w:lineRule="auto"/>
        <w:ind w:left="567"/>
        <w:jc w:val="both"/>
        <w:rPr>
          <w:rFonts w:ascii="Arial" w:hAnsi="Arial" w:cs="Arial"/>
          <w:b/>
          <w:i/>
          <w:iCs/>
          <w:sz w:val="19"/>
          <w:szCs w:val="19"/>
          <w:u w:val="double"/>
        </w:rPr>
      </w:pPr>
      <w:r w:rsidRPr="0074154F">
        <w:rPr>
          <w:rFonts w:ascii="Arial" w:hAnsi="Arial" w:cs="Arial"/>
          <w:b/>
          <w:i/>
          <w:iCs/>
          <w:sz w:val="19"/>
          <w:szCs w:val="19"/>
          <w:u w:val="double"/>
        </w:rPr>
        <w:t>CONTRATO DE PRESTACIÓN DE SERVICIOS PORTADORES DE TELECOMUNICACIONES</w:t>
      </w:r>
      <w:r w:rsidRPr="0074154F">
        <w:rPr>
          <w:rFonts w:ascii="Arial" w:hAnsi="Arial" w:cs="Arial"/>
          <w:b/>
          <w:i/>
          <w:iCs/>
          <w:sz w:val="19"/>
          <w:szCs w:val="19"/>
        </w:rPr>
        <w:t>:</w:t>
      </w:r>
    </w:p>
    <w:p w14:paraId="42C9942F" w14:textId="77777777" w:rsidR="002744A6" w:rsidRPr="0074154F" w:rsidRDefault="002744A6" w:rsidP="002744A6">
      <w:pPr>
        <w:spacing w:after="0" w:line="240" w:lineRule="auto"/>
        <w:ind w:left="567"/>
        <w:jc w:val="both"/>
        <w:rPr>
          <w:rFonts w:ascii="Arial" w:hAnsi="Arial" w:cs="Arial"/>
          <w:b/>
          <w:sz w:val="20"/>
          <w:szCs w:val="20"/>
          <w:u w:val="single"/>
        </w:rPr>
      </w:pPr>
    </w:p>
    <w:p w14:paraId="4A4694B8"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bCs/>
          <w:sz w:val="20"/>
          <w:szCs w:val="20"/>
        </w:rPr>
        <w:t xml:space="preserve">Con fecha 1 de septiembre del 2020, la Compañía firmó contrato con el Banco Pichincha C.A. para la prestación directa de servicios relacionados con “Portadores de Telecomunicaciones”, que se realizará con base en los niveles de servicio constantes, acuerdo de niveles de servicio. Los “Niveles de Servicio” (SLA) establecen los requerimientos mínimos exigidos por la institución financiera, pudiendo ser modificados de mutuo acuerdo entre las partes, para una mejora permanente en la prestación de servicios objeto del presente contrato. Este Contrato vence </w:t>
      </w:r>
      <w:proofErr w:type="gramStart"/>
      <w:r w:rsidRPr="0074154F">
        <w:rPr>
          <w:rFonts w:ascii="Arial" w:hAnsi="Arial" w:cs="Arial"/>
          <w:bCs/>
          <w:sz w:val="20"/>
          <w:szCs w:val="20"/>
        </w:rPr>
        <w:t>el  31</w:t>
      </w:r>
      <w:proofErr w:type="gramEnd"/>
      <w:r w:rsidRPr="0074154F">
        <w:rPr>
          <w:rFonts w:ascii="Arial" w:hAnsi="Arial" w:cs="Arial"/>
          <w:bCs/>
          <w:sz w:val="20"/>
          <w:szCs w:val="20"/>
        </w:rPr>
        <w:t xml:space="preserve"> de agosto del 2021.</w:t>
      </w:r>
    </w:p>
    <w:p w14:paraId="10C43D80" w14:textId="77777777" w:rsidR="002744A6" w:rsidRPr="0074154F" w:rsidRDefault="002744A6" w:rsidP="002744A6">
      <w:pPr>
        <w:spacing w:after="0" w:line="240" w:lineRule="auto"/>
        <w:ind w:left="567"/>
        <w:jc w:val="both"/>
        <w:rPr>
          <w:rFonts w:ascii="Arial" w:hAnsi="Arial" w:cs="Arial"/>
          <w:bCs/>
          <w:sz w:val="20"/>
          <w:szCs w:val="20"/>
        </w:rPr>
      </w:pPr>
    </w:p>
    <w:p w14:paraId="53780521" w14:textId="1E64C4D3"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CONDICIONES GENERALES DEL CONTRATO PARA LA PRESTACIÓN DEL SERVICIO DE TELECOMUNICACIONES (ENLACE DE DATOS E INTERNET) PARA LA SUPERINTENDENCIA DE COMPAÑÍAS, VALORES Y SEGUROS (SCVS)</w:t>
      </w:r>
      <w:r w:rsidRPr="0074154F">
        <w:rPr>
          <w:rFonts w:ascii="Arial" w:hAnsi="Arial" w:cs="Arial"/>
          <w:b/>
          <w:i/>
          <w:iCs/>
          <w:sz w:val="20"/>
          <w:szCs w:val="20"/>
        </w:rPr>
        <w:t>:</w:t>
      </w:r>
    </w:p>
    <w:p w14:paraId="3E69B494" w14:textId="77777777" w:rsidR="002744A6" w:rsidRPr="0074154F" w:rsidRDefault="002744A6" w:rsidP="002744A6">
      <w:pPr>
        <w:spacing w:after="0" w:line="240" w:lineRule="auto"/>
        <w:ind w:left="567"/>
        <w:jc w:val="both"/>
        <w:rPr>
          <w:rFonts w:ascii="Arial" w:hAnsi="Arial" w:cs="Arial"/>
          <w:sz w:val="20"/>
          <w:szCs w:val="20"/>
        </w:rPr>
      </w:pPr>
    </w:p>
    <w:p w14:paraId="784179B0"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sz w:val="20"/>
          <w:szCs w:val="20"/>
        </w:rPr>
        <w:t xml:space="preserve">Con fecha 30 de septiembre del 2020, la Compañía firmó con la Superintendente de Compañías, Valores y Seguros (SCVS) un contrato donde se </w:t>
      </w:r>
      <w:r w:rsidRPr="0074154F">
        <w:rPr>
          <w:rFonts w:ascii="Arial" w:hAnsi="Arial" w:cs="Arial"/>
          <w:bCs/>
          <w:sz w:val="20"/>
          <w:szCs w:val="20"/>
        </w:rPr>
        <w:t>obliga para con el referido organismo de control estatal a proveer, a entera satisfacción de ésta los servicios de “Telecomunicaciones, Enlace de Datos e Internet”. Este Contrato tiene una duración de 330 días calendario.</w:t>
      </w:r>
    </w:p>
    <w:p w14:paraId="02E652AC" w14:textId="77777777" w:rsidR="002744A6" w:rsidRPr="0074154F" w:rsidRDefault="002744A6" w:rsidP="002744A6">
      <w:pPr>
        <w:spacing w:after="0" w:line="240" w:lineRule="auto"/>
        <w:ind w:left="567"/>
        <w:jc w:val="both"/>
        <w:rPr>
          <w:rFonts w:ascii="Arial" w:hAnsi="Arial" w:cs="Arial"/>
          <w:bCs/>
          <w:sz w:val="20"/>
          <w:szCs w:val="20"/>
        </w:rPr>
      </w:pPr>
    </w:p>
    <w:p w14:paraId="58FE3C2B" w14:textId="77777777"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CONTRATO CON LA UNIVERSIDAD DE GUAYAQUIL (UG)</w:t>
      </w:r>
      <w:r w:rsidRPr="0074154F">
        <w:rPr>
          <w:rFonts w:ascii="Arial" w:hAnsi="Arial" w:cs="Arial"/>
          <w:b/>
          <w:i/>
          <w:iCs/>
          <w:sz w:val="20"/>
          <w:szCs w:val="20"/>
        </w:rPr>
        <w:t>:</w:t>
      </w:r>
    </w:p>
    <w:p w14:paraId="2C57137E" w14:textId="77777777" w:rsidR="002744A6" w:rsidRPr="0074154F" w:rsidRDefault="002744A6" w:rsidP="002744A6">
      <w:pPr>
        <w:spacing w:after="0" w:line="240" w:lineRule="auto"/>
        <w:ind w:left="567"/>
        <w:jc w:val="both"/>
        <w:rPr>
          <w:rFonts w:ascii="Arial" w:hAnsi="Arial" w:cs="Arial"/>
          <w:bCs/>
          <w:sz w:val="20"/>
          <w:szCs w:val="20"/>
        </w:rPr>
      </w:pPr>
    </w:p>
    <w:p w14:paraId="23939966"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bCs/>
          <w:sz w:val="20"/>
          <w:szCs w:val="20"/>
        </w:rPr>
        <w:t>Con fecha julio 1 del 2019, la Compañía firmó contrato con la Universidad de Guayaquil para proveerle “Servicio de Internet Alámbrico e Inalámbrico (</w:t>
      </w:r>
      <w:proofErr w:type="spellStart"/>
      <w:r w:rsidRPr="0074154F">
        <w:rPr>
          <w:rFonts w:ascii="Arial" w:hAnsi="Arial" w:cs="Arial"/>
          <w:bCs/>
          <w:sz w:val="20"/>
          <w:szCs w:val="20"/>
        </w:rPr>
        <w:t>Wi</w:t>
      </w:r>
      <w:proofErr w:type="spellEnd"/>
      <w:r w:rsidRPr="0074154F">
        <w:rPr>
          <w:rFonts w:ascii="Arial" w:hAnsi="Arial" w:cs="Arial"/>
          <w:bCs/>
          <w:sz w:val="20"/>
          <w:szCs w:val="20"/>
        </w:rPr>
        <w:t>-fi) y enlace de datos para la referida institución universitaria, otorgando cobertura al Edificio Administrativo, facultades internas y externas”. Este Contrato tiene una duración de 330 días calendario.</w:t>
      </w:r>
    </w:p>
    <w:p w14:paraId="7070A29D" w14:textId="77777777" w:rsidR="002744A6" w:rsidRPr="0074154F" w:rsidRDefault="002744A6" w:rsidP="002744A6">
      <w:pPr>
        <w:spacing w:after="0" w:line="240" w:lineRule="auto"/>
        <w:ind w:left="567"/>
        <w:jc w:val="both"/>
        <w:rPr>
          <w:rFonts w:ascii="Arial" w:hAnsi="Arial" w:cs="Arial"/>
          <w:bCs/>
          <w:sz w:val="20"/>
          <w:szCs w:val="20"/>
        </w:rPr>
      </w:pPr>
    </w:p>
    <w:p w14:paraId="07678B18" w14:textId="77777777" w:rsidR="006D17CB" w:rsidRDefault="006D17CB" w:rsidP="002744A6">
      <w:pPr>
        <w:spacing w:after="0" w:line="240" w:lineRule="auto"/>
        <w:ind w:left="567"/>
        <w:jc w:val="both"/>
        <w:rPr>
          <w:rFonts w:ascii="Arial" w:hAnsi="Arial" w:cs="Arial"/>
          <w:b/>
          <w:i/>
          <w:iCs/>
          <w:sz w:val="20"/>
          <w:szCs w:val="20"/>
          <w:u w:val="double"/>
        </w:rPr>
      </w:pPr>
    </w:p>
    <w:p w14:paraId="53B71D60" w14:textId="77777777" w:rsidR="006D17CB" w:rsidRDefault="006D17CB" w:rsidP="002744A6">
      <w:pPr>
        <w:spacing w:after="0" w:line="240" w:lineRule="auto"/>
        <w:ind w:left="567"/>
        <w:jc w:val="both"/>
        <w:rPr>
          <w:rFonts w:ascii="Arial" w:hAnsi="Arial" w:cs="Arial"/>
          <w:b/>
          <w:i/>
          <w:iCs/>
          <w:sz w:val="20"/>
          <w:szCs w:val="20"/>
          <w:u w:val="double"/>
        </w:rPr>
      </w:pPr>
    </w:p>
    <w:p w14:paraId="744BE354" w14:textId="77777777" w:rsidR="006D17CB" w:rsidRPr="00EB1D8D" w:rsidRDefault="006D17CB" w:rsidP="006D17CB">
      <w:pPr>
        <w:spacing w:after="0" w:line="240" w:lineRule="auto"/>
        <w:ind w:left="567"/>
        <w:jc w:val="center"/>
        <w:rPr>
          <w:rFonts w:ascii="Arial" w:hAnsi="Arial" w:cs="Arial"/>
          <w:b/>
          <w:sz w:val="20"/>
          <w:szCs w:val="20"/>
        </w:rPr>
      </w:pPr>
      <w:r w:rsidRPr="00EB1D8D">
        <w:rPr>
          <w:rFonts w:ascii="Arial" w:hAnsi="Arial" w:cs="Arial"/>
          <w:b/>
          <w:sz w:val="20"/>
          <w:szCs w:val="20"/>
        </w:rPr>
        <w:t>ESPACIO EN BLANCO</w:t>
      </w:r>
    </w:p>
    <w:p w14:paraId="0FEF8EF4" w14:textId="77777777" w:rsidR="006D17CB" w:rsidRDefault="006D17CB" w:rsidP="002744A6">
      <w:pPr>
        <w:spacing w:after="0" w:line="240" w:lineRule="auto"/>
        <w:ind w:left="567"/>
        <w:jc w:val="both"/>
        <w:rPr>
          <w:rFonts w:ascii="Arial" w:hAnsi="Arial" w:cs="Arial"/>
          <w:b/>
          <w:i/>
          <w:iCs/>
          <w:sz w:val="20"/>
          <w:szCs w:val="20"/>
          <w:u w:val="double"/>
        </w:rPr>
      </w:pPr>
    </w:p>
    <w:p w14:paraId="2C1B4298" w14:textId="32EED85F"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CONTRATACIÓN DEL SERVICIO DE INTERNET WI-FI PARA USO GRATUITO EN LA CIUDAD DE GUAYAQUIL CON LA MI MUNICIPALIDAD DE GUAYAQUIL</w:t>
      </w:r>
      <w:r w:rsidRPr="0074154F">
        <w:rPr>
          <w:rFonts w:ascii="Arial" w:hAnsi="Arial" w:cs="Arial"/>
          <w:b/>
          <w:i/>
          <w:iCs/>
          <w:sz w:val="20"/>
          <w:szCs w:val="20"/>
        </w:rPr>
        <w:t>:</w:t>
      </w:r>
    </w:p>
    <w:p w14:paraId="2CD687E1" w14:textId="77777777" w:rsidR="002744A6" w:rsidRPr="0074154F" w:rsidRDefault="002744A6" w:rsidP="002744A6">
      <w:pPr>
        <w:spacing w:after="0" w:line="240" w:lineRule="auto"/>
        <w:ind w:left="567"/>
        <w:jc w:val="both"/>
        <w:rPr>
          <w:rFonts w:ascii="Arial" w:hAnsi="Arial" w:cs="Arial"/>
          <w:bCs/>
          <w:sz w:val="20"/>
          <w:szCs w:val="20"/>
        </w:rPr>
      </w:pPr>
    </w:p>
    <w:p w14:paraId="3D27813B"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bCs/>
          <w:sz w:val="20"/>
          <w:szCs w:val="20"/>
        </w:rPr>
        <w:t>Con fecha julio 2 del 2020, la Compañía firmó con el Gobierno Autónomo Descentralizado Municipal de Guayaquil (M.I. Municipalidad de Guayaquil) un contrato para la prestación de Servicio de Internet (</w:t>
      </w:r>
      <w:proofErr w:type="spellStart"/>
      <w:r w:rsidRPr="0074154F">
        <w:rPr>
          <w:rFonts w:ascii="Arial" w:hAnsi="Arial" w:cs="Arial"/>
          <w:bCs/>
          <w:sz w:val="20"/>
          <w:szCs w:val="20"/>
        </w:rPr>
        <w:t>Wi</w:t>
      </w:r>
      <w:proofErr w:type="spellEnd"/>
      <w:r w:rsidRPr="0074154F">
        <w:rPr>
          <w:rFonts w:ascii="Arial" w:hAnsi="Arial" w:cs="Arial"/>
          <w:bCs/>
          <w:sz w:val="20"/>
          <w:szCs w:val="20"/>
        </w:rPr>
        <w:t>-fi) para uso gratuito en la ciudad de Guayaquil. Este Contrato tiene una duración de 1,825 días calendario.</w:t>
      </w:r>
    </w:p>
    <w:p w14:paraId="2F957AA5" w14:textId="77777777" w:rsidR="002744A6" w:rsidRPr="0074154F" w:rsidRDefault="002744A6" w:rsidP="002744A6">
      <w:pPr>
        <w:spacing w:after="0" w:line="240" w:lineRule="auto"/>
        <w:ind w:left="567"/>
        <w:jc w:val="both"/>
        <w:rPr>
          <w:rFonts w:ascii="Arial" w:hAnsi="Arial" w:cs="Arial"/>
          <w:bCs/>
          <w:sz w:val="20"/>
          <w:szCs w:val="20"/>
        </w:rPr>
      </w:pPr>
    </w:p>
    <w:p w14:paraId="148EC6FD" w14:textId="77777777"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CONTRATACIÓN CON OTECEL</w:t>
      </w:r>
      <w:r w:rsidRPr="0074154F">
        <w:rPr>
          <w:rFonts w:ascii="Arial" w:hAnsi="Arial" w:cs="Arial"/>
          <w:b/>
          <w:i/>
          <w:iCs/>
          <w:sz w:val="20"/>
          <w:szCs w:val="20"/>
        </w:rPr>
        <w:t>:</w:t>
      </w:r>
    </w:p>
    <w:p w14:paraId="4474907B" w14:textId="77777777" w:rsidR="002744A6" w:rsidRPr="0074154F" w:rsidRDefault="002744A6" w:rsidP="002744A6">
      <w:pPr>
        <w:spacing w:after="0" w:line="240" w:lineRule="auto"/>
        <w:ind w:left="567"/>
        <w:jc w:val="both"/>
        <w:rPr>
          <w:rFonts w:ascii="Arial" w:hAnsi="Arial" w:cs="Arial"/>
          <w:bCs/>
          <w:sz w:val="20"/>
          <w:szCs w:val="20"/>
        </w:rPr>
      </w:pPr>
    </w:p>
    <w:p w14:paraId="46D79DD8"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bCs/>
          <w:sz w:val="20"/>
          <w:szCs w:val="20"/>
        </w:rPr>
        <w:t xml:space="preserve">Con fecha octubre 1 del 2020, la Compañía firmó con la </w:t>
      </w:r>
      <w:proofErr w:type="spellStart"/>
      <w:r w:rsidRPr="0074154F">
        <w:rPr>
          <w:rFonts w:ascii="Arial" w:hAnsi="Arial" w:cs="Arial"/>
          <w:bCs/>
          <w:sz w:val="20"/>
          <w:szCs w:val="20"/>
        </w:rPr>
        <w:t>Otecel</w:t>
      </w:r>
      <w:proofErr w:type="spellEnd"/>
      <w:r w:rsidRPr="0074154F">
        <w:rPr>
          <w:rFonts w:ascii="Arial" w:hAnsi="Arial" w:cs="Arial"/>
          <w:bCs/>
          <w:sz w:val="20"/>
          <w:szCs w:val="20"/>
        </w:rPr>
        <w:t xml:space="preserve"> S.A. un contrato que tiene por objeto la prestación de servicios técnicos especializados en fibra obscura a nivel nacional, de conformidad con lo establecido en el documento denominado “Especificaciones Técnicas”.  Este Contrato tiene vigencia hasta septiembre 30 del 2023.</w:t>
      </w:r>
    </w:p>
    <w:p w14:paraId="58CF352B" w14:textId="77777777" w:rsidR="002744A6" w:rsidRPr="0074154F" w:rsidRDefault="002744A6" w:rsidP="002744A6">
      <w:pPr>
        <w:spacing w:after="0" w:line="240" w:lineRule="auto"/>
        <w:ind w:left="567"/>
        <w:jc w:val="both"/>
        <w:rPr>
          <w:rFonts w:ascii="Arial" w:hAnsi="Arial" w:cs="Arial"/>
          <w:bCs/>
          <w:sz w:val="20"/>
          <w:szCs w:val="20"/>
        </w:rPr>
      </w:pPr>
    </w:p>
    <w:p w14:paraId="6B2D185F" w14:textId="77777777" w:rsidR="002744A6" w:rsidRPr="0074154F" w:rsidRDefault="002744A6" w:rsidP="002744A6">
      <w:pPr>
        <w:spacing w:after="0" w:line="240" w:lineRule="auto"/>
        <w:ind w:left="567"/>
        <w:jc w:val="both"/>
        <w:rPr>
          <w:rFonts w:ascii="Arial" w:hAnsi="Arial" w:cs="Arial"/>
          <w:b/>
          <w:i/>
          <w:iCs/>
          <w:sz w:val="20"/>
          <w:szCs w:val="20"/>
          <w:u w:val="double"/>
        </w:rPr>
      </w:pPr>
      <w:r w:rsidRPr="0074154F">
        <w:rPr>
          <w:rFonts w:ascii="Arial" w:hAnsi="Arial" w:cs="Arial"/>
          <w:b/>
          <w:i/>
          <w:iCs/>
          <w:sz w:val="20"/>
          <w:szCs w:val="20"/>
          <w:u w:val="double"/>
        </w:rPr>
        <w:t>CONTRATACIÓN DE PRESTACIÓN DE SERVICIO CON NEDETEL</w:t>
      </w:r>
      <w:r w:rsidRPr="0074154F">
        <w:rPr>
          <w:rFonts w:ascii="Arial" w:hAnsi="Arial" w:cs="Arial"/>
          <w:b/>
          <w:i/>
          <w:iCs/>
          <w:sz w:val="20"/>
          <w:szCs w:val="20"/>
        </w:rPr>
        <w:t>:</w:t>
      </w:r>
    </w:p>
    <w:p w14:paraId="3C0CDFCF" w14:textId="77777777" w:rsidR="002744A6" w:rsidRPr="0074154F" w:rsidRDefault="002744A6" w:rsidP="002744A6">
      <w:pPr>
        <w:spacing w:after="0" w:line="240" w:lineRule="auto"/>
        <w:ind w:left="567"/>
        <w:jc w:val="both"/>
        <w:rPr>
          <w:rFonts w:ascii="Arial" w:hAnsi="Arial" w:cs="Arial"/>
          <w:bCs/>
          <w:sz w:val="20"/>
          <w:szCs w:val="20"/>
        </w:rPr>
      </w:pPr>
    </w:p>
    <w:p w14:paraId="54F2E63C" w14:textId="77777777" w:rsidR="002744A6" w:rsidRPr="0074154F" w:rsidRDefault="002744A6" w:rsidP="002744A6">
      <w:pPr>
        <w:spacing w:after="0" w:line="240" w:lineRule="auto"/>
        <w:ind w:left="567"/>
        <w:jc w:val="both"/>
        <w:rPr>
          <w:rFonts w:ascii="Arial" w:hAnsi="Arial" w:cs="Arial"/>
          <w:bCs/>
          <w:sz w:val="20"/>
          <w:szCs w:val="20"/>
        </w:rPr>
      </w:pPr>
      <w:r w:rsidRPr="0074154F">
        <w:rPr>
          <w:rFonts w:ascii="Arial" w:hAnsi="Arial" w:cs="Arial"/>
          <w:bCs/>
          <w:sz w:val="20"/>
          <w:szCs w:val="20"/>
        </w:rPr>
        <w:t xml:space="preserve">Con fecha julio 14 del 2020, la Compañía firmó con </w:t>
      </w:r>
      <w:proofErr w:type="spellStart"/>
      <w:r w:rsidRPr="0074154F">
        <w:rPr>
          <w:rFonts w:ascii="Arial" w:hAnsi="Arial" w:cs="Arial"/>
          <w:bCs/>
          <w:sz w:val="20"/>
          <w:szCs w:val="20"/>
        </w:rPr>
        <w:t>Nedetel</w:t>
      </w:r>
      <w:proofErr w:type="spellEnd"/>
      <w:r w:rsidRPr="0074154F">
        <w:rPr>
          <w:rFonts w:ascii="Arial" w:hAnsi="Arial" w:cs="Arial"/>
          <w:bCs/>
          <w:sz w:val="20"/>
          <w:szCs w:val="20"/>
        </w:rPr>
        <w:t xml:space="preserve"> S.A. un contrato el cual tiene como objeto proporcionar servicios permanentes los cuales serán solicitados por el cliente a través de una “Orden de Servicios” así como servicios adicionales, cambios en los servicios, y cualquier otra modificación que se implemente. Este Contrato tiene vigencia de un año con renovación automática si ninguna de las partes expresa lo contrario.</w:t>
      </w:r>
    </w:p>
    <w:p w14:paraId="05776411" w14:textId="77777777" w:rsidR="002744A6" w:rsidRPr="0074154F" w:rsidRDefault="002744A6" w:rsidP="002744A6">
      <w:pPr>
        <w:spacing w:after="0" w:line="240" w:lineRule="auto"/>
        <w:ind w:left="567"/>
        <w:jc w:val="both"/>
        <w:rPr>
          <w:rFonts w:ascii="Arial" w:hAnsi="Arial" w:cs="Arial"/>
          <w:bCs/>
          <w:sz w:val="20"/>
          <w:szCs w:val="20"/>
        </w:rPr>
      </w:pPr>
    </w:p>
    <w:p w14:paraId="5046929A" w14:textId="77777777" w:rsidR="002744A6" w:rsidRPr="0074154F" w:rsidRDefault="002744A6" w:rsidP="002744A6">
      <w:pPr>
        <w:widowControl w:val="0"/>
        <w:spacing w:after="0" w:line="240" w:lineRule="auto"/>
        <w:ind w:left="567"/>
        <w:jc w:val="both"/>
        <w:rPr>
          <w:rFonts w:ascii="Arial" w:hAnsi="Arial" w:cs="Arial"/>
          <w:b/>
          <w:bCs/>
          <w:i/>
          <w:iCs/>
          <w:sz w:val="20"/>
          <w:szCs w:val="20"/>
          <w:u w:val="double"/>
        </w:rPr>
      </w:pPr>
      <w:r w:rsidRPr="0074154F">
        <w:rPr>
          <w:rFonts w:ascii="Arial" w:hAnsi="Arial" w:cs="Arial"/>
          <w:b/>
          <w:bCs/>
          <w:i/>
          <w:iCs/>
          <w:sz w:val="20"/>
          <w:szCs w:val="20"/>
          <w:u w:val="double"/>
        </w:rPr>
        <w:t>CONTRATO DE SERVICIOS CON NEDETEL S.A.</w:t>
      </w:r>
      <w:r w:rsidRPr="0074154F">
        <w:rPr>
          <w:rFonts w:ascii="Arial" w:hAnsi="Arial" w:cs="Arial"/>
          <w:b/>
          <w:bCs/>
          <w:i/>
          <w:iCs/>
          <w:sz w:val="20"/>
          <w:szCs w:val="20"/>
        </w:rPr>
        <w:t>:</w:t>
      </w:r>
    </w:p>
    <w:p w14:paraId="3E730127" w14:textId="77777777" w:rsidR="002744A6" w:rsidRPr="0074154F" w:rsidRDefault="002744A6" w:rsidP="002744A6">
      <w:pPr>
        <w:widowControl w:val="0"/>
        <w:spacing w:after="0" w:line="240" w:lineRule="auto"/>
        <w:ind w:left="567"/>
        <w:jc w:val="both"/>
        <w:rPr>
          <w:rFonts w:ascii="Arial" w:hAnsi="Arial" w:cs="Arial"/>
          <w:b/>
          <w:bCs/>
          <w:sz w:val="16"/>
          <w:szCs w:val="16"/>
          <w:u w:val="single"/>
        </w:rPr>
      </w:pPr>
    </w:p>
    <w:p w14:paraId="5CFFFB86" w14:textId="77777777" w:rsidR="002744A6" w:rsidRPr="0074154F" w:rsidRDefault="002744A6" w:rsidP="002744A6">
      <w:pPr>
        <w:pStyle w:val="ListParagraph"/>
        <w:spacing w:after="0" w:line="240" w:lineRule="auto"/>
        <w:ind w:left="567"/>
        <w:jc w:val="both"/>
        <w:rPr>
          <w:rFonts w:ascii="Arial" w:hAnsi="Arial" w:cs="Arial"/>
          <w:b/>
          <w:bCs/>
          <w:sz w:val="20"/>
          <w:szCs w:val="20"/>
          <w:u w:val="single"/>
        </w:rPr>
      </w:pPr>
      <w:r w:rsidRPr="0074154F">
        <w:rPr>
          <w:rFonts w:ascii="Arial" w:hAnsi="Arial" w:cs="Arial"/>
          <w:sz w:val="20"/>
          <w:szCs w:val="20"/>
          <w:lang w:val="es-ES"/>
        </w:rPr>
        <w:t xml:space="preserve">Con fecha febrero 7 del 2018, la Compañía firmó contrato con </w:t>
      </w:r>
      <w:proofErr w:type="spellStart"/>
      <w:r w:rsidRPr="0074154F">
        <w:rPr>
          <w:rFonts w:ascii="Arial" w:hAnsi="Arial" w:cs="Arial"/>
          <w:sz w:val="20"/>
          <w:szCs w:val="20"/>
          <w:lang w:val="es-ES"/>
        </w:rPr>
        <w:t>Nedetel</w:t>
      </w:r>
      <w:proofErr w:type="spellEnd"/>
      <w:r w:rsidRPr="0074154F">
        <w:rPr>
          <w:rFonts w:ascii="Arial" w:hAnsi="Arial" w:cs="Arial"/>
          <w:sz w:val="20"/>
          <w:szCs w:val="20"/>
          <w:lang w:val="es-ES"/>
        </w:rPr>
        <w:t xml:space="preserve"> S.A. para prestarle el derecho irrenunciable para usar y gozar de los servicios del “cable submarino” tales como “SAM1” y “PCCS”. Durante el año 2019, se firma un nuevo contrato por su capacidad IRU el cual tiene un tiempo de vigencia de conformidad y acuerdo entre las partes de 10 años plazo.</w:t>
      </w:r>
    </w:p>
    <w:p w14:paraId="63613305" w14:textId="77777777" w:rsidR="002744A6" w:rsidRPr="0074154F" w:rsidRDefault="002744A6" w:rsidP="002744A6">
      <w:pPr>
        <w:spacing w:after="0" w:line="240" w:lineRule="auto"/>
        <w:ind w:left="567"/>
        <w:jc w:val="both"/>
        <w:rPr>
          <w:rFonts w:ascii="Arial" w:hAnsi="Arial" w:cs="Arial"/>
          <w:bCs/>
          <w:sz w:val="20"/>
          <w:szCs w:val="20"/>
        </w:rPr>
      </w:pPr>
    </w:p>
    <w:p w14:paraId="22EF43E0" w14:textId="3C28B4F9" w:rsidR="002744A6" w:rsidRPr="0074154F" w:rsidRDefault="002744A6" w:rsidP="002744A6">
      <w:pPr>
        <w:spacing w:after="0" w:line="240" w:lineRule="auto"/>
        <w:ind w:left="567"/>
        <w:jc w:val="both"/>
        <w:rPr>
          <w:rFonts w:ascii="Arial" w:hAnsi="Arial" w:cs="Arial"/>
          <w:b/>
          <w:bCs/>
          <w:i/>
          <w:iCs/>
          <w:sz w:val="20"/>
          <w:szCs w:val="20"/>
          <w:u w:val="double"/>
          <w:lang w:val="es-ES"/>
        </w:rPr>
      </w:pPr>
      <w:r w:rsidRPr="0074154F">
        <w:rPr>
          <w:rFonts w:ascii="Arial" w:hAnsi="Arial" w:cs="Arial"/>
          <w:b/>
          <w:bCs/>
          <w:i/>
          <w:iCs/>
          <w:sz w:val="20"/>
          <w:szCs w:val="20"/>
          <w:u w:val="double"/>
          <w:lang w:val="es-ES"/>
        </w:rPr>
        <w:t>CONTRATO CON CONSORCIO ECUATORIANO DE TELECOMUNICACIONES                    CONECEL S.A.</w:t>
      </w:r>
      <w:r w:rsidRPr="0074154F">
        <w:rPr>
          <w:rFonts w:ascii="Arial" w:hAnsi="Arial" w:cs="Arial"/>
          <w:b/>
          <w:bCs/>
          <w:i/>
          <w:iCs/>
          <w:sz w:val="20"/>
          <w:szCs w:val="20"/>
          <w:lang w:val="es-ES"/>
        </w:rPr>
        <w:t>:</w:t>
      </w:r>
    </w:p>
    <w:p w14:paraId="500BA1EB" w14:textId="77777777" w:rsidR="002744A6" w:rsidRPr="0074154F" w:rsidRDefault="002744A6" w:rsidP="002744A6">
      <w:pPr>
        <w:spacing w:after="0" w:line="240" w:lineRule="auto"/>
        <w:ind w:left="567"/>
        <w:jc w:val="both"/>
        <w:rPr>
          <w:rFonts w:ascii="Arial" w:hAnsi="Arial" w:cs="Arial"/>
          <w:sz w:val="18"/>
          <w:szCs w:val="18"/>
          <w:lang w:val="es-ES"/>
        </w:rPr>
      </w:pPr>
    </w:p>
    <w:p w14:paraId="694FA164" w14:textId="77777777" w:rsidR="002744A6" w:rsidRPr="0074154F" w:rsidRDefault="002744A6" w:rsidP="002744A6">
      <w:pPr>
        <w:spacing w:after="0" w:line="240" w:lineRule="auto"/>
        <w:ind w:left="567"/>
        <w:jc w:val="both"/>
        <w:rPr>
          <w:rFonts w:ascii="Arial" w:hAnsi="Arial" w:cs="Arial"/>
          <w:sz w:val="20"/>
          <w:szCs w:val="20"/>
          <w:lang w:val="es-ES"/>
        </w:rPr>
      </w:pPr>
      <w:r w:rsidRPr="0074154F">
        <w:rPr>
          <w:rFonts w:ascii="Arial" w:hAnsi="Arial" w:cs="Arial"/>
          <w:sz w:val="20"/>
          <w:szCs w:val="20"/>
          <w:lang w:val="es-ES"/>
        </w:rPr>
        <w:t xml:space="preserve">Con fecha octubre 11 del 2007, la Compañía celebró un contrato con el Consorcio Ecuatoriano de Telecomunicaciones </w:t>
      </w:r>
      <w:proofErr w:type="spellStart"/>
      <w:r w:rsidRPr="0074154F">
        <w:rPr>
          <w:rFonts w:ascii="Arial" w:hAnsi="Arial" w:cs="Arial"/>
          <w:sz w:val="20"/>
          <w:szCs w:val="20"/>
          <w:lang w:val="es-ES"/>
        </w:rPr>
        <w:t>Conecel</w:t>
      </w:r>
      <w:proofErr w:type="spellEnd"/>
      <w:r w:rsidRPr="0074154F">
        <w:rPr>
          <w:rFonts w:ascii="Arial" w:hAnsi="Arial" w:cs="Arial"/>
          <w:sz w:val="20"/>
          <w:szCs w:val="20"/>
          <w:lang w:val="es-ES"/>
        </w:rPr>
        <w:t xml:space="preserve"> S.A. para entregarle los derechos irrenunciables de capacidad de uso (IRU). Este Contrato tiene una duración de 15 años.</w:t>
      </w:r>
    </w:p>
    <w:p w14:paraId="2EEF5E2F" w14:textId="77777777" w:rsidR="002744A6" w:rsidRPr="0074154F" w:rsidRDefault="002744A6" w:rsidP="002744A6">
      <w:pPr>
        <w:spacing w:after="0" w:line="240" w:lineRule="auto"/>
        <w:ind w:left="567"/>
        <w:jc w:val="both"/>
        <w:rPr>
          <w:rFonts w:ascii="Arial" w:hAnsi="Arial" w:cs="Arial"/>
          <w:sz w:val="20"/>
          <w:szCs w:val="20"/>
          <w:lang w:val="es-ES"/>
        </w:rPr>
      </w:pPr>
    </w:p>
    <w:p w14:paraId="2FFCF749" w14:textId="77777777" w:rsidR="002744A6" w:rsidRPr="0074154F" w:rsidRDefault="002744A6" w:rsidP="002744A6">
      <w:pPr>
        <w:widowControl w:val="0"/>
        <w:spacing w:after="0" w:line="240" w:lineRule="auto"/>
        <w:ind w:left="567"/>
        <w:jc w:val="both"/>
        <w:rPr>
          <w:rFonts w:ascii="Arial" w:hAnsi="Arial" w:cs="Arial"/>
          <w:b/>
          <w:bCs/>
          <w:i/>
          <w:iCs/>
          <w:sz w:val="20"/>
          <w:szCs w:val="20"/>
          <w:u w:val="double"/>
          <w:lang w:val="es-ES"/>
        </w:rPr>
      </w:pPr>
      <w:r w:rsidRPr="0074154F">
        <w:rPr>
          <w:rFonts w:ascii="Arial" w:hAnsi="Arial" w:cs="Arial"/>
          <w:b/>
          <w:bCs/>
          <w:i/>
          <w:iCs/>
          <w:sz w:val="20"/>
          <w:szCs w:val="20"/>
          <w:u w:val="double"/>
          <w:lang w:val="es-ES"/>
        </w:rPr>
        <w:t>CONTRATO CON SURAMERICANA DE TELECOMUNICACIONES SURATEL S.A.</w:t>
      </w:r>
      <w:r w:rsidRPr="0074154F">
        <w:rPr>
          <w:rFonts w:ascii="Arial" w:hAnsi="Arial" w:cs="Arial"/>
          <w:b/>
          <w:bCs/>
          <w:i/>
          <w:iCs/>
          <w:sz w:val="20"/>
          <w:szCs w:val="20"/>
          <w:lang w:val="es-ES"/>
        </w:rPr>
        <w:t>:</w:t>
      </w:r>
    </w:p>
    <w:p w14:paraId="16A76691" w14:textId="77777777" w:rsidR="002744A6" w:rsidRPr="0074154F" w:rsidRDefault="002744A6" w:rsidP="002744A6">
      <w:pPr>
        <w:widowControl w:val="0"/>
        <w:spacing w:after="0" w:line="240" w:lineRule="auto"/>
        <w:ind w:left="567"/>
        <w:jc w:val="both"/>
        <w:rPr>
          <w:rFonts w:ascii="Arial" w:hAnsi="Arial" w:cs="Arial"/>
          <w:b/>
          <w:bCs/>
          <w:sz w:val="18"/>
          <w:szCs w:val="18"/>
          <w:u w:val="single"/>
          <w:lang w:val="es-ES"/>
        </w:rPr>
      </w:pPr>
    </w:p>
    <w:p w14:paraId="2F16813F" w14:textId="77777777" w:rsidR="002744A6" w:rsidRPr="0074154F" w:rsidRDefault="002744A6" w:rsidP="002744A6">
      <w:pPr>
        <w:widowControl w:val="0"/>
        <w:spacing w:after="0" w:line="240" w:lineRule="auto"/>
        <w:ind w:left="567"/>
        <w:jc w:val="both"/>
        <w:rPr>
          <w:rFonts w:ascii="Arial" w:hAnsi="Arial" w:cs="Arial"/>
          <w:sz w:val="20"/>
          <w:szCs w:val="20"/>
          <w:lang w:val="es-ES"/>
        </w:rPr>
      </w:pPr>
      <w:r w:rsidRPr="0074154F">
        <w:rPr>
          <w:rFonts w:ascii="Arial" w:hAnsi="Arial" w:cs="Arial"/>
          <w:sz w:val="20"/>
          <w:szCs w:val="20"/>
          <w:lang w:val="es-ES"/>
        </w:rPr>
        <w:t xml:space="preserve">Con fecha julio 29 del 2011, la Compañía firmó un contrato con Sudamericana de Telecomunicaciones </w:t>
      </w:r>
      <w:proofErr w:type="spellStart"/>
      <w:r w:rsidRPr="0074154F">
        <w:rPr>
          <w:rFonts w:ascii="Arial" w:hAnsi="Arial" w:cs="Arial"/>
          <w:sz w:val="20"/>
          <w:szCs w:val="20"/>
          <w:lang w:val="es-ES"/>
        </w:rPr>
        <w:t>Suratel</w:t>
      </w:r>
      <w:proofErr w:type="spellEnd"/>
      <w:r w:rsidRPr="0074154F">
        <w:rPr>
          <w:rFonts w:ascii="Arial" w:hAnsi="Arial" w:cs="Arial"/>
          <w:sz w:val="20"/>
          <w:szCs w:val="20"/>
          <w:lang w:val="es-ES"/>
        </w:rPr>
        <w:t xml:space="preserve"> S.A. para la entrega de derechos irrevocables de capacidad de uso (IRU). Este Contrato tiene una duración de 15 años.</w:t>
      </w:r>
    </w:p>
    <w:p w14:paraId="0D692D0D" w14:textId="77777777" w:rsidR="002744A6" w:rsidRPr="0074154F" w:rsidRDefault="002744A6" w:rsidP="002744A6">
      <w:pPr>
        <w:widowControl w:val="0"/>
        <w:spacing w:after="0" w:line="240" w:lineRule="auto"/>
        <w:ind w:left="567"/>
        <w:jc w:val="both"/>
        <w:rPr>
          <w:rFonts w:ascii="Arial" w:hAnsi="Arial" w:cs="Arial"/>
          <w:sz w:val="18"/>
          <w:szCs w:val="18"/>
          <w:lang w:val="es-ES"/>
        </w:rPr>
      </w:pPr>
    </w:p>
    <w:p w14:paraId="16F1F310" w14:textId="1A34700B" w:rsidR="002744A6" w:rsidRPr="0074154F" w:rsidRDefault="002744A6" w:rsidP="002744A6">
      <w:pPr>
        <w:widowControl w:val="0"/>
        <w:spacing w:after="0" w:line="240" w:lineRule="auto"/>
        <w:ind w:left="567"/>
        <w:jc w:val="both"/>
        <w:rPr>
          <w:rFonts w:ascii="Arial" w:hAnsi="Arial" w:cs="Arial"/>
          <w:b/>
          <w:bCs/>
          <w:i/>
          <w:iCs/>
          <w:sz w:val="20"/>
          <w:szCs w:val="20"/>
          <w:u w:val="double"/>
          <w:lang w:val="es-ES"/>
        </w:rPr>
      </w:pPr>
      <w:r w:rsidRPr="0074154F">
        <w:rPr>
          <w:rFonts w:ascii="Arial" w:hAnsi="Arial" w:cs="Arial"/>
          <w:b/>
          <w:bCs/>
          <w:i/>
          <w:iCs/>
          <w:sz w:val="20"/>
          <w:szCs w:val="20"/>
          <w:u w:val="double"/>
          <w:lang w:val="es-ES"/>
        </w:rPr>
        <w:t>CONTRATO CON CEDIA S.A.</w:t>
      </w:r>
      <w:r w:rsidRPr="0074154F">
        <w:rPr>
          <w:rFonts w:ascii="Arial" w:hAnsi="Arial" w:cs="Arial"/>
          <w:b/>
          <w:bCs/>
          <w:i/>
          <w:iCs/>
          <w:sz w:val="20"/>
          <w:szCs w:val="20"/>
          <w:lang w:val="es-ES"/>
        </w:rPr>
        <w:t>:</w:t>
      </w:r>
    </w:p>
    <w:p w14:paraId="5B066E26" w14:textId="77777777" w:rsidR="002744A6" w:rsidRPr="0074154F" w:rsidRDefault="002744A6" w:rsidP="002744A6">
      <w:pPr>
        <w:widowControl w:val="0"/>
        <w:spacing w:after="0" w:line="240" w:lineRule="auto"/>
        <w:ind w:left="567"/>
        <w:jc w:val="both"/>
        <w:rPr>
          <w:rFonts w:ascii="Arial" w:hAnsi="Arial" w:cs="Arial"/>
          <w:b/>
          <w:bCs/>
          <w:sz w:val="18"/>
          <w:szCs w:val="18"/>
          <w:u w:val="single"/>
          <w:lang w:val="es-ES"/>
        </w:rPr>
      </w:pPr>
    </w:p>
    <w:p w14:paraId="20BC90A2" w14:textId="77777777" w:rsidR="002744A6" w:rsidRPr="0074154F" w:rsidRDefault="002744A6" w:rsidP="002744A6">
      <w:pPr>
        <w:widowControl w:val="0"/>
        <w:spacing w:after="0" w:line="240" w:lineRule="auto"/>
        <w:ind w:left="567"/>
        <w:jc w:val="both"/>
        <w:rPr>
          <w:rFonts w:ascii="Arial" w:hAnsi="Arial" w:cs="Arial"/>
          <w:sz w:val="20"/>
          <w:szCs w:val="20"/>
          <w:lang w:val="es-ES"/>
        </w:rPr>
      </w:pPr>
      <w:r w:rsidRPr="0074154F">
        <w:rPr>
          <w:rFonts w:ascii="Arial" w:hAnsi="Arial" w:cs="Arial"/>
          <w:sz w:val="20"/>
          <w:szCs w:val="20"/>
          <w:lang w:val="es-ES"/>
        </w:rPr>
        <w:t xml:space="preserve">Con fecha noviembre 8 del 2017, la Compañía firmó un contrato con </w:t>
      </w:r>
      <w:proofErr w:type="spellStart"/>
      <w:r w:rsidRPr="0074154F">
        <w:rPr>
          <w:rFonts w:ascii="Arial" w:hAnsi="Arial" w:cs="Arial"/>
          <w:sz w:val="20"/>
          <w:szCs w:val="20"/>
          <w:lang w:val="es-ES"/>
        </w:rPr>
        <w:t>Cedia</w:t>
      </w:r>
      <w:proofErr w:type="spellEnd"/>
      <w:r w:rsidRPr="0074154F">
        <w:rPr>
          <w:rFonts w:ascii="Arial" w:hAnsi="Arial" w:cs="Arial"/>
          <w:sz w:val="20"/>
          <w:szCs w:val="20"/>
          <w:lang w:val="es-ES"/>
        </w:rPr>
        <w:t xml:space="preserve"> S.A. para la provisión de los derechos irrevocables de uso y gestión de una red de transporte a nivel nacional entre el Consorcio Ecuatoriano para el desarrollo de internet avanzado. Este Contrato tiene una duración de 15 años.</w:t>
      </w:r>
    </w:p>
    <w:p w14:paraId="7D054EBF" w14:textId="77777777" w:rsidR="002744A6" w:rsidRPr="0074154F" w:rsidRDefault="002744A6" w:rsidP="002744A6">
      <w:pPr>
        <w:widowControl w:val="0"/>
        <w:spacing w:after="0" w:line="240" w:lineRule="auto"/>
        <w:ind w:left="567"/>
        <w:jc w:val="both"/>
        <w:rPr>
          <w:rFonts w:ascii="Arial" w:hAnsi="Arial" w:cs="Arial"/>
          <w:sz w:val="16"/>
          <w:szCs w:val="16"/>
          <w:lang w:val="es-ES"/>
        </w:rPr>
      </w:pPr>
    </w:p>
    <w:p w14:paraId="4FAAE28E" w14:textId="77777777" w:rsidR="002744A6" w:rsidRPr="0074154F" w:rsidRDefault="002744A6" w:rsidP="002744A6">
      <w:pPr>
        <w:widowControl w:val="0"/>
        <w:spacing w:after="0" w:line="240" w:lineRule="auto"/>
        <w:ind w:left="567"/>
        <w:jc w:val="both"/>
        <w:rPr>
          <w:rFonts w:ascii="Arial" w:hAnsi="Arial" w:cs="Arial"/>
          <w:b/>
          <w:bCs/>
          <w:i/>
          <w:iCs/>
          <w:sz w:val="20"/>
          <w:szCs w:val="20"/>
          <w:u w:val="double"/>
          <w:lang w:val="es-ES"/>
        </w:rPr>
      </w:pPr>
      <w:r w:rsidRPr="0074154F">
        <w:rPr>
          <w:rFonts w:ascii="Arial" w:hAnsi="Arial" w:cs="Arial"/>
          <w:b/>
          <w:bCs/>
          <w:i/>
          <w:iCs/>
          <w:sz w:val="20"/>
          <w:szCs w:val="20"/>
          <w:u w:val="double"/>
          <w:lang w:val="es-ES"/>
        </w:rPr>
        <w:t>CONTRATO DE SERVICIOS CON TELXIUS CABLE ECUADOR S.A.</w:t>
      </w:r>
      <w:r w:rsidRPr="0074154F">
        <w:rPr>
          <w:rFonts w:ascii="Arial" w:hAnsi="Arial" w:cs="Arial"/>
          <w:b/>
          <w:bCs/>
          <w:i/>
          <w:iCs/>
          <w:sz w:val="20"/>
          <w:szCs w:val="20"/>
          <w:lang w:val="es-ES"/>
        </w:rPr>
        <w:t>:</w:t>
      </w:r>
    </w:p>
    <w:p w14:paraId="69C25473" w14:textId="77777777" w:rsidR="002744A6" w:rsidRPr="0074154F" w:rsidRDefault="002744A6" w:rsidP="002744A6">
      <w:pPr>
        <w:widowControl w:val="0"/>
        <w:spacing w:after="0" w:line="240" w:lineRule="auto"/>
        <w:ind w:left="567"/>
        <w:jc w:val="both"/>
        <w:rPr>
          <w:rFonts w:ascii="Arial" w:hAnsi="Arial" w:cs="Arial"/>
          <w:b/>
          <w:bCs/>
          <w:sz w:val="18"/>
          <w:szCs w:val="18"/>
          <w:u w:val="single"/>
          <w:lang w:val="es-ES"/>
        </w:rPr>
      </w:pPr>
    </w:p>
    <w:p w14:paraId="5F2EAB13" w14:textId="77777777" w:rsidR="002744A6" w:rsidRPr="0074154F" w:rsidRDefault="002744A6" w:rsidP="002744A6">
      <w:pPr>
        <w:widowControl w:val="0"/>
        <w:spacing w:after="0" w:line="240" w:lineRule="auto"/>
        <w:ind w:left="567"/>
        <w:jc w:val="both"/>
        <w:rPr>
          <w:rFonts w:ascii="Arial" w:hAnsi="Arial" w:cs="Arial"/>
          <w:sz w:val="20"/>
          <w:szCs w:val="20"/>
          <w:lang w:val="es-ES"/>
        </w:rPr>
      </w:pPr>
      <w:r w:rsidRPr="0074154F">
        <w:rPr>
          <w:rFonts w:ascii="Arial" w:hAnsi="Arial" w:cs="Arial"/>
          <w:sz w:val="20"/>
          <w:szCs w:val="20"/>
          <w:lang w:val="es-ES"/>
        </w:rPr>
        <w:t xml:space="preserve">Con fecha noviembre 30 del 2017, la Compañía firmó contrato con </w:t>
      </w:r>
      <w:proofErr w:type="spellStart"/>
      <w:r w:rsidRPr="0074154F">
        <w:rPr>
          <w:rFonts w:ascii="Arial" w:hAnsi="Arial" w:cs="Arial"/>
          <w:sz w:val="20"/>
          <w:szCs w:val="20"/>
          <w:lang w:val="es-ES"/>
        </w:rPr>
        <w:t>Telxius</w:t>
      </w:r>
      <w:proofErr w:type="spellEnd"/>
      <w:r w:rsidRPr="0074154F">
        <w:rPr>
          <w:rFonts w:ascii="Arial" w:hAnsi="Arial" w:cs="Arial"/>
          <w:sz w:val="20"/>
          <w:szCs w:val="20"/>
          <w:lang w:val="es-ES"/>
        </w:rPr>
        <w:t xml:space="preserve"> Cable Ecuador S.A. para lograr funcionamiento operativo eficiente de la red y su conformidad con las normas de la industria, y realizará todas las actividades de mantenimiento y todas las actividades necesarias para lograr el referido fin de manera que la interrupción o interferencia en el uso de la “Fibra Óptica” por parte de </w:t>
      </w:r>
      <w:proofErr w:type="spellStart"/>
      <w:r w:rsidRPr="0074154F">
        <w:rPr>
          <w:rFonts w:ascii="Arial" w:hAnsi="Arial" w:cs="Arial"/>
          <w:sz w:val="20"/>
          <w:szCs w:val="20"/>
          <w:lang w:val="es-ES"/>
        </w:rPr>
        <w:t>Telxius</w:t>
      </w:r>
      <w:proofErr w:type="spellEnd"/>
      <w:r w:rsidRPr="0074154F">
        <w:rPr>
          <w:rFonts w:ascii="Arial" w:hAnsi="Arial" w:cs="Arial"/>
          <w:sz w:val="20"/>
          <w:szCs w:val="20"/>
          <w:lang w:val="es-ES"/>
        </w:rPr>
        <w:t xml:space="preserve"> sea mínima. Este Contrato tiene una duración de 10 años.</w:t>
      </w:r>
    </w:p>
    <w:p w14:paraId="4156B017" w14:textId="1D26CE37" w:rsidR="00D437F2" w:rsidRPr="0074154F" w:rsidRDefault="00D437F2" w:rsidP="00FC5A0C">
      <w:pPr>
        <w:spacing w:after="0" w:line="240" w:lineRule="auto"/>
        <w:ind w:left="993"/>
        <w:jc w:val="both"/>
        <w:rPr>
          <w:rFonts w:ascii="Arial" w:hAnsi="Arial" w:cs="Arial"/>
          <w:sz w:val="20"/>
          <w:szCs w:val="20"/>
          <w:lang w:val="es-ES"/>
        </w:rPr>
      </w:pPr>
      <w:r w:rsidRPr="0074154F">
        <w:rPr>
          <w:rFonts w:ascii="Arial" w:hAnsi="Arial" w:cs="Arial"/>
          <w:sz w:val="20"/>
          <w:szCs w:val="20"/>
          <w:lang w:val="es-ES"/>
        </w:rPr>
        <w:t xml:space="preserve">   </w:t>
      </w:r>
      <w:r w:rsidRPr="0074154F">
        <w:rPr>
          <w:rFonts w:ascii="Arial" w:hAnsi="Arial" w:cs="Arial"/>
          <w:b/>
          <w:bCs/>
          <w:color w:val="FF0000"/>
          <w:sz w:val="20"/>
          <w:szCs w:val="20"/>
          <w:lang w:val="es-ES"/>
        </w:rPr>
        <w:t xml:space="preserve"> </w:t>
      </w:r>
    </w:p>
    <w:bookmarkEnd w:id="17"/>
    <w:p w14:paraId="67D5FAFE" w14:textId="32288B86" w:rsidR="005F0010" w:rsidRPr="0074154F" w:rsidRDefault="005F0010" w:rsidP="00AC417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eastAsia="es-EC"/>
        </w:rPr>
      </w:pPr>
      <w:r w:rsidRPr="0074154F">
        <w:rPr>
          <w:rFonts w:ascii="Arial" w:hAnsi="Arial" w:cs="Arial"/>
          <w:sz w:val="20"/>
          <w:u w:val="single"/>
          <w:lang w:eastAsia="es-EC"/>
        </w:rPr>
        <w:lastRenderedPageBreak/>
        <w:t>HECHOS OCURRIDOS DESPUÉS DEL PERÍODO SOBRE EL QUE SE INFORMA</w:t>
      </w:r>
    </w:p>
    <w:p w14:paraId="170ABEF6" w14:textId="77777777" w:rsidR="005F0010" w:rsidRPr="0074154F" w:rsidRDefault="005F0010" w:rsidP="0056590D">
      <w:pPr>
        <w:pStyle w:val="Heading1"/>
        <w:tabs>
          <w:tab w:val="clear" w:pos="6960"/>
          <w:tab w:val="clear" w:pos="7800"/>
          <w:tab w:val="clear" w:pos="8280"/>
          <w:tab w:val="left" w:pos="7655"/>
        </w:tabs>
        <w:jc w:val="both"/>
        <w:rPr>
          <w:rFonts w:ascii="Arial" w:hAnsi="Arial" w:cs="Arial"/>
          <w:sz w:val="20"/>
          <w:u w:val="single"/>
          <w:lang w:eastAsia="es-EC"/>
        </w:rPr>
      </w:pPr>
      <w:bookmarkStart w:id="18" w:name="_Hlk479584561"/>
    </w:p>
    <w:bookmarkEnd w:id="18"/>
    <w:p w14:paraId="0E89AA1D" w14:textId="150854C7" w:rsidR="00605832" w:rsidRPr="0074154F" w:rsidRDefault="0035254C" w:rsidP="00AC4179">
      <w:pPr>
        <w:pStyle w:val="ListParagraph"/>
        <w:spacing w:after="0" w:line="240" w:lineRule="auto"/>
        <w:ind w:left="567"/>
        <w:jc w:val="both"/>
        <w:rPr>
          <w:rFonts w:ascii="Arial" w:hAnsi="Arial" w:cs="Arial"/>
          <w:sz w:val="20"/>
          <w:szCs w:val="20"/>
        </w:rPr>
      </w:pPr>
      <w:r w:rsidRPr="0074154F">
        <w:rPr>
          <w:rFonts w:ascii="Arial" w:hAnsi="Arial" w:cs="Arial"/>
          <w:sz w:val="20"/>
          <w:szCs w:val="20"/>
        </w:rPr>
        <w:t>Entre el 31 de diciembre de</w:t>
      </w:r>
      <w:r w:rsidR="00855F8F" w:rsidRPr="0074154F">
        <w:rPr>
          <w:rFonts w:ascii="Arial" w:hAnsi="Arial" w:cs="Arial"/>
          <w:sz w:val="20"/>
          <w:szCs w:val="20"/>
        </w:rPr>
        <w:t>l</w:t>
      </w:r>
      <w:r w:rsidRPr="0074154F">
        <w:rPr>
          <w:rFonts w:ascii="Arial" w:hAnsi="Arial" w:cs="Arial"/>
          <w:sz w:val="20"/>
          <w:szCs w:val="20"/>
        </w:rPr>
        <w:t xml:space="preserve"> 2020 y la fecha de emisión de los estados financieros </w:t>
      </w:r>
      <w:r w:rsidR="00E36468" w:rsidRPr="0074154F">
        <w:rPr>
          <w:rFonts w:ascii="Arial" w:hAnsi="Arial" w:cs="Arial"/>
          <w:sz w:val="20"/>
          <w:szCs w:val="20"/>
        </w:rPr>
        <w:t>consolidados</w:t>
      </w:r>
      <w:r w:rsidR="00576D84" w:rsidRPr="0074154F">
        <w:rPr>
          <w:rFonts w:ascii="Arial" w:hAnsi="Arial" w:cs="Arial"/>
          <w:sz w:val="20"/>
          <w:szCs w:val="20"/>
        </w:rPr>
        <w:t xml:space="preserve"> </w:t>
      </w:r>
      <w:r w:rsidRPr="0074154F">
        <w:rPr>
          <w:rFonts w:ascii="Arial" w:hAnsi="Arial" w:cs="Arial"/>
          <w:sz w:val="20"/>
          <w:szCs w:val="20"/>
        </w:rPr>
        <w:t>adjuntos (</w:t>
      </w:r>
      <w:r w:rsidR="007B231C" w:rsidRPr="0074154F">
        <w:rPr>
          <w:rFonts w:ascii="Arial" w:hAnsi="Arial" w:cs="Arial"/>
          <w:sz w:val="20"/>
          <w:szCs w:val="20"/>
        </w:rPr>
        <w:t>2</w:t>
      </w:r>
      <w:r w:rsidR="0049265A" w:rsidRPr="0074154F">
        <w:rPr>
          <w:rFonts w:ascii="Arial" w:hAnsi="Arial" w:cs="Arial"/>
          <w:sz w:val="20"/>
          <w:szCs w:val="20"/>
        </w:rPr>
        <w:t>1</w:t>
      </w:r>
      <w:r w:rsidR="001849C9" w:rsidRPr="0074154F">
        <w:rPr>
          <w:rFonts w:ascii="Arial" w:hAnsi="Arial" w:cs="Arial"/>
          <w:sz w:val="20"/>
          <w:szCs w:val="20"/>
        </w:rPr>
        <w:t xml:space="preserve"> de </w:t>
      </w:r>
      <w:r w:rsidR="00A45E17" w:rsidRPr="0074154F">
        <w:rPr>
          <w:rFonts w:ascii="Arial" w:hAnsi="Arial" w:cs="Arial"/>
          <w:sz w:val="20"/>
          <w:szCs w:val="20"/>
        </w:rPr>
        <w:t>junio</w:t>
      </w:r>
      <w:r w:rsidR="001849C9" w:rsidRPr="0074154F">
        <w:rPr>
          <w:rFonts w:ascii="Arial" w:hAnsi="Arial" w:cs="Arial"/>
          <w:sz w:val="20"/>
          <w:szCs w:val="20"/>
        </w:rPr>
        <w:t xml:space="preserve"> del </w:t>
      </w:r>
      <w:r w:rsidRPr="0074154F">
        <w:rPr>
          <w:rFonts w:ascii="Arial" w:hAnsi="Arial" w:cs="Arial"/>
          <w:sz w:val="20"/>
          <w:szCs w:val="20"/>
        </w:rPr>
        <w:t>2021) no se produjeron eventos que en opinión de la Administración pudieran tener un efecto importante sobre los referidos estados financieros</w:t>
      </w:r>
      <w:r w:rsidR="00576D84" w:rsidRPr="0074154F">
        <w:rPr>
          <w:rFonts w:ascii="Arial" w:hAnsi="Arial" w:cs="Arial"/>
          <w:sz w:val="20"/>
          <w:szCs w:val="20"/>
        </w:rPr>
        <w:t xml:space="preserve"> </w:t>
      </w:r>
      <w:r w:rsidR="00E36468" w:rsidRPr="0074154F">
        <w:rPr>
          <w:rFonts w:ascii="Arial" w:hAnsi="Arial" w:cs="Arial"/>
          <w:sz w:val="20"/>
          <w:szCs w:val="20"/>
        </w:rPr>
        <w:t>consolidado</w:t>
      </w:r>
      <w:r w:rsidR="00576D84" w:rsidRPr="0074154F">
        <w:rPr>
          <w:rFonts w:ascii="Arial" w:hAnsi="Arial" w:cs="Arial"/>
          <w:sz w:val="20"/>
          <w:szCs w:val="20"/>
        </w:rPr>
        <w:t>s</w:t>
      </w:r>
      <w:r w:rsidRPr="0074154F">
        <w:rPr>
          <w:rFonts w:ascii="Arial" w:hAnsi="Arial" w:cs="Arial"/>
          <w:sz w:val="20"/>
          <w:szCs w:val="20"/>
        </w:rPr>
        <w:t>.</w:t>
      </w:r>
    </w:p>
    <w:p w14:paraId="06EA4707" w14:textId="64B39C2D" w:rsidR="00C466C3" w:rsidRPr="0074154F" w:rsidRDefault="00C466C3" w:rsidP="00C466C3">
      <w:pPr>
        <w:pStyle w:val="Heading1"/>
        <w:tabs>
          <w:tab w:val="clear" w:pos="6960"/>
          <w:tab w:val="clear" w:pos="7800"/>
          <w:tab w:val="clear" w:pos="8280"/>
          <w:tab w:val="left" w:pos="7655"/>
        </w:tabs>
        <w:jc w:val="both"/>
        <w:rPr>
          <w:rFonts w:ascii="Arial" w:hAnsi="Arial" w:cs="Arial"/>
          <w:sz w:val="20"/>
          <w:u w:val="single"/>
          <w:lang w:eastAsia="es-EC"/>
        </w:rPr>
      </w:pPr>
    </w:p>
    <w:p w14:paraId="119477E0" w14:textId="02F22B56" w:rsidR="005A5DA3" w:rsidRPr="0074154F" w:rsidRDefault="005A5DA3" w:rsidP="00AC4179">
      <w:pPr>
        <w:pStyle w:val="Heading1"/>
        <w:numPr>
          <w:ilvl w:val="0"/>
          <w:numId w:val="1"/>
        </w:numPr>
        <w:tabs>
          <w:tab w:val="clear" w:pos="6960"/>
          <w:tab w:val="clear" w:pos="7800"/>
          <w:tab w:val="clear" w:pos="8280"/>
          <w:tab w:val="left" w:pos="7655"/>
        </w:tabs>
        <w:ind w:left="567" w:hanging="567"/>
        <w:jc w:val="both"/>
        <w:rPr>
          <w:rFonts w:ascii="Arial" w:hAnsi="Arial" w:cs="Arial"/>
          <w:sz w:val="20"/>
          <w:u w:val="single"/>
          <w:lang w:eastAsia="es-EC"/>
        </w:rPr>
      </w:pPr>
      <w:r w:rsidRPr="0074154F">
        <w:rPr>
          <w:rFonts w:ascii="Arial" w:hAnsi="Arial" w:cs="Arial"/>
          <w:sz w:val="20"/>
          <w:u w:val="single"/>
          <w:lang w:eastAsia="es-EC"/>
        </w:rPr>
        <w:t xml:space="preserve">APROBACIÓN DE LOS ESTADOS </w:t>
      </w:r>
      <w:r w:rsidR="00AF44A1" w:rsidRPr="0074154F">
        <w:rPr>
          <w:rFonts w:ascii="Arial" w:hAnsi="Arial" w:cs="Arial"/>
          <w:sz w:val="20"/>
          <w:u w:val="single"/>
          <w:lang w:eastAsia="es-EC"/>
        </w:rPr>
        <w:t>FINANCIEROS</w:t>
      </w:r>
      <w:r w:rsidR="00477714" w:rsidRPr="0074154F">
        <w:rPr>
          <w:rFonts w:ascii="Arial" w:hAnsi="Arial" w:cs="Arial"/>
          <w:sz w:val="20"/>
          <w:u w:val="single"/>
          <w:lang w:eastAsia="es-EC"/>
        </w:rPr>
        <w:t xml:space="preserve"> </w:t>
      </w:r>
      <w:r w:rsidR="00EB1D8D">
        <w:rPr>
          <w:rFonts w:ascii="Arial" w:hAnsi="Arial" w:cs="Arial"/>
          <w:sz w:val="20"/>
          <w:u w:val="single"/>
          <w:lang w:eastAsia="es-EC"/>
        </w:rPr>
        <w:t>Y SU COMPAÑÍA RELACIONADA</w:t>
      </w:r>
    </w:p>
    <w:p w14:paraId="07C78566" w14:textId="77777777" w:rsidR="00D771AD" w:rsidRPr="0074154F" w:rsidRDefault="00D771AD" w:rsidP="00AC4179">
      <w:pPr>
        <w:spacing w:after="0" w:line="240" w:lineRule="auto"/>
        <w:ind w:left="567"/>
        <w:jc w:val="both"/>
        <w:rPr>
          <w:rFonts w:ascii="Arial" w:hAnsi="Arial" w:cs="Arial"/>
          <w:sz w:val="20"/>
          <w:szCs w:val="20"/>
        </w:rPr>
      </w:pPr>
    </w:p>
    <w:p w14:paraId="0C55564D" w14:textId="1E156338" w:rsidR="005A5DA3" w:rsidRPr="0074154F" w:rsidRDefault="00186B55" w:rsidP="00AC4179">
      <w:pPr>
        <w:spacing w:after="0" w:line="240" w:lineRule="auto"/>
        <w:ind w:left="567"/>
        <w:jc w:val="both"/>
        <w:rPr>
          <w:rFonts w:ascii="Arial" w:hAnsi="Arial" w:cs="Arial"/>
          <w:sz w:val="20"/>
          <w:szCs w:val="20"/>
        </w:rPr>
      </w:pPr>
      <w:r w:rsidRPr="0074154F">
        <w:rPr>
          <w:rFonts w:ascii="Arial" w:hAnsi="Arial" w:cs="Arial"/>
          <w:sz w:val="20"/>
          <w:szCs w:val="20"/>
        </w:rPr>
        <w:t xml:space="preserve">Los estados </w:t>
      </w:r>
      <w:r w:rsidR="00AE2759" w:rsidRPr="0074154F">
        <w:rPr>
          <w:rFonts w:ascii="Arial" w:hAnsi="Arial" w:cs="Arial"/>
          <w:sz w:val="20"/>
          <w:szCs w:val="20"/>
        </w:rPr>
        <w:t>financieros</w:t>
      </w:r>
      <w:r w:rsidR="00DF5268" w:rsidRPr="0074154F">
        <w:rPr>
          <w:rFonts w:ascii="Arial" w:hAnsi="Arial" w:cs="Arial"/>
          <w:sz w:val="20"/>
          <w:szCs w:val="20"/>
        </w:rPr>
        <w:t xml:space="preserve"> </w:t>
      </w:r>
      <w:r w:rsidR="00E36468" w:rsidRPr="0074154F">
        <w:rPr>
          <w:rFonts w:ascii="Arial" w:hAnsi="Arial" w:cs="Arial"/>
          <w:sz w:val="20"/>
          <w:szCs w:val="20"/>
        </w:rPr>
        <w:t>consolidado</w:t>
      </w:r>
      <w:r w:rsidR="00576D84" w:rsidRPr="0074154F">
        <w:rPr>
          <w:rFonts w:ascii="Arial" w:hAnsi="Arial" w:cs="Arial"/>
          <w:sz w:val="20"/>
          <w:szCs w:val="20"/>
        </w:rPr>
        <w:t xml:space="preserve">s </w:t>
      </w:r>
      <w:r w:rsidR="009B199C" w:rsidRPr="0074154F">
        <w:rPr>
          <w:rFonts w:ascii="Arial" w:hAnsi="Arial" w:cs="Arial"/>
          <w:sz w:val="20"/>
          <w:szCs w:val="20"/>
        </w:rPr>
        <w:t xml:space="preserve">adjuntos </w:t>
      </w:r>
      <w:r w:rsidR="00DF5268" w:rsidRPr="0074154F">
        <w:rPr>
          <w:rFonts w:ascii="Arial" w:hAnsi="Arial" w:cs="Arial"/>
          <w:sz w:val="20"/>
          <w:szCs w:val="20"/>
        </w:rPr>
        <w:t xml:space="preserve">por el año terminado el 31 de </w:t>
      </w:r>
      <w:r w:rsidR="00822ED2" w:rsidRPr="0074154F">
        <w:rPr>
          <w:rFonts w:ascii="Arial" w:hAnsi="Arial" w:cs="Arial"/>
          <w:sz w:val="20"/>
          <w:szCs w:val="20"/>
        </w:rPr>
        <w:t>diciembre del 20</w:t>
      </w:r>
      <w:r w:rsidR="0035254C" w:rsidRPr="0074154F">
        <w:rPr>
          <w:rFonts w:ascii="Arial" w:hAnsi="Arial" w:cs="Arial"/>
          <w:sz w:val="20"/>
          <w:szCs w:val="20"/>
        </w:rPr>
        <w:t>20</w:t>
      </w:r>
      <w:r w:rsidRPr="0074154F">
        <w:rPr>
          <w:rFonts w:ascii="Arial" w:hAnsi="Arial" w:cs="Arial"/>
          <w:sz w:val="20"/>
          <w:szCs w:val="20"/>
        </w:rPr>
        <w:t xml:space="preserve"> </w:t>
      </w:r>
      <w:r w:rsidR="0056590D" w:rsidRPr="0074154F">
        <w:rPr>
          <w:rFonts w:ascii="Arial" w:hAnsi="Arial" w:cs="Arial"/>
          <w:sz w:val="20"/>
          <w:szCs w:val="20"/>
        </w:rPr>
        <w:t xml:space="preserve">                   </w:t>
      </w:r>
      <w:r w:rsidRPr="0074154F">
        <w:rPr>
          <w:rFonts w:ascii="Arial" w:hAnsi="Arial" w:cs="Arial"/>
          <w:sz w:val="20"/>
          <w:szCs w:val="20"/>
        </w:rPr>
        <w:t xml:space="preserve">fueron aprobados por la Administración de la Compañía el </w:t>
      </w:r>
      <w:r w:rsidR="00540F30" w:rsidRPr="00054034">
        <w:rPr>
          <w:rFonts w:ascii="Arial" w:hAnsi="Arial" w:cs="Arial"/>
          <w:sz w:val="20"/>
          <w:szCs w:val="20"/>
          <w:highlight w:val="yellow"/>
        </w:rPr>
        <w:t>18</w:t>
      </w:r>
      <w:r w:rsidR="00BF2ABD" w:rsidRPr="0074154F">
        <w:rPr>
          <w:rFonts w:ascii="Arial" w:hAnsi="Arial" w:cs="Arial"/>
          <w:sz w:val="20"/>
          <w:szCs w:val="20"/>
        </w:rPr>
        <w:t xml:space="preserve"> de </w:t>
      </w:r>
      <w:r w:rsidR="0049265A" w:rsidRPr="0074154F">
        <w:rPr>
          <w:rFonts w:ascii="Arial" w:hAnsi="Arial" w:cs="Arial"/>
          <w:sz w:val="20"/>
          <w:szCs w:val="20"/>
        </w:rPr>
        <w:t>junio</w:t>
      </w:r>
      <w:r w:rsidR="00BF2ABD" w:rsidRPr="0074154F">
        <w:rPr>
          <w:rFonts w:ascii="Arial" w:hAnsi="Arial" w:cs="Arial"/>
          <w:sz w:val="20"/>
          <w:szCs w:val="20"/>
        </w:rPr>
        <w:t xml:space="preserve"> </w:t>
      </w:r>
      <w:r w:rsidR="004A22D0" w:rsidRPr="0074154F">
        <w:rPr>
          <w:rFonts w:ascii="Arial" w:hAnsi="Arial" w:cs="Arial"/>
          <w:sz w:val="20"/>
          <w:szCs w:val="20"/>
        </w:rPr>
        <w:t>del 202</w:t>
      </w:r>
      <w:r w:rsidR="0035254C" w:rsidRPr="0074154F">
        <w:rPr>
          <w:rFonts w:ascii="Arial" w:hAnsi="Arial" w:cs="Arial"/>
          <w:sz w:val="20"/>
          <w:szCs w:val="20"/>
        </w:rPr>
        <w:t>1</w:t>
      </w:r>
      <w:r w:rsidR="00DF5268" w:rsidRPr="0074154F">
        <w:rPr>
          <w:rFonts w:ascii="Arial" w:hAnsi="Arial" w:cs="Arial"/>
          <w:sz w:val="20"/>
          <w:szCs w:val="20"/>
        </w:rPr>
        <w:t xml:space="preserve"> y serán presentados a los a</w:t>
      </w:r>
      <w:r w:rsidRPr="0074154F">
        <w:rPr>
          <w:rFonts w:ascii="Arial" w:hAnsi="Arial" w:cs="Arial"/>
          <w:sz w:val="20"/>
          <w:szCs w:val="20"/>
        </w:rPr>
        <w:t xml:space="preserve">ccionistas para su aprobación. En opinión de la Administración de </w:t>
      </w:r>
      <w:r w:rsidR="0056590D" w:rsidRPr="0074154F">
        <w:rPr>
          <w:rFonts w:ascii="Arial" w:hAnsi="Arial" w:cs="Arial"/>
          <w:sz w:val="20"/>
          <w:szCs w:val="20"/>
        </w:rPr>
        <w:t xml:space="preserve">                                    </w:t>
      </w:r>
      <w:r w:rsidR="00915EE5" w:rsidRPr="0074154F">
        <w:rPr>
          <w:rFonts w:ascii="Arial" w:hAnsi="Arial" w:cs="Arial"/>
          <w:b/>
          <w:sz w:val="20"/>
          <w:szCs w:val="20"/>
          <w:lang w:val="es-ES"/>
        </w:rPr>
        <w:t>Telconet S.A.</w:t>
      </w:r>
      <w:r w:rsidR="0070026E" w:rsidRPr="0074154F">
        <w:rPr>
          <w:rFonts w:ascii="Arial" w:hAnsi="Arial" w:cs="Arial"/>
          <w:b/>
          <w:sz w:val="20"/>
          <w:szCs w:val="20"/>
          <w:lang w:val="es-ES"/>
        </w:rPr>
        <w:t xml:space="preserve"> y Compañía</w:t>
      </w:r>
      <w:r w:rsidR="00054034">
        <w:rPr>
          <w:rFonts w:ascii="Arial" w:hAnsi="Arial" w:cs="Arial"/>
          <w:b/>
          <w:sz w:val="20"/>
          <w:szCs w:val="20"/>
          <w:lang w:val="es-ES"/>
        </w:rPr>
        <w:t xml:space="preserve"> relacionada</w:t>
      </w:r>
      <w:r w:rsidR="006A2AB6" w:rsidRPr="0074154F">
        <w:rPr>
          <w:rFonts w:ascii="Arial" w:hAnsi="Arial" w:cs="Arial"/>
          <w:sz w:val="20"/>
          <w:szCs w:val="20"/>
        </w:rPr>
        <w:t>,</w:t>
      </w:r>
      <w:r w:rsidRPr="0074154F">
        <w:rPr>
          <w:rFonts w:ascii="Arial" w:hAnsi="Arial" w:cs="Arial"/>
          <w:sz w:val="20"/>
          <w:szCs w:val="20"/>
        </w:rPr>
        <w:t xml:space="preserve"> los estados </w:t>
      </w:r>
      <w:r w:rsidR="00AE2759" w:rsidRPr="0074154F">
        <w:rPr>
          <w:rFonts w:ascii="Arial" w:hAnsi="Arial" w:cs="Arial"/>
          <w:sz w:val="20"/>
          <w:szCs w:val="20"/>
        </w:rPr>
        <w:t xml:space="preserve">financieros </w:t>
      </w:r>
      <w:r w:rsidR="00E36468" w:rsidRPr="0074154F">
        <w:rPr>
          <w:rFonts w:ascii="Arial" w:hAnsi="Arial" w:cs="Arial"/>
          <w:sz w:val="20"/>
          <w:szCs w:val="20"/>
        </w:rPr>
        <w:t>consolidado</w:t>
      </w:r>
      <w:r w:rsidR="00576D84" w:rsidRPr="0074154F">
        <w:rPr>
          <w:rFonts w:ascii="Arial" w:hAnsi="Arial" w:cs="Arial"/>
          <w:sz w:val="20"/>
          <w:szCs w:val="20"/>
        </w:rPr>
        <w:t xml:space="preserve">s </w:t>
      </w:r>
      <w:r w:rsidR="00101A5C" w:rsidRPr="0074154F">
        <w:rPr>
          <w:rFonts w:ascii="Arial" w:hAnsi="Arial" w:cs="Arial"/>
          <w:sz w:val="20"/>
          <w:szCs w:val="20"/>
        </w:rPr>
        <w:t xml:space="preserve">adjuntos </w:t>
      </w:r>
      <w:r w:rsidR="00DF5268" w:rsidRPr="0074154F">
        <w:rPr>
          <w:rFonts w:ascii="Arial" w:hAnsi="Arial" w:cs="Arial"/>
          <w:sz w:val="20"/>
          <w:szCs w:val="20"/>
        </w:rPr>
        <w:t>serán aprobados por los a</w:t>
      </w:r>
      <w:r w:rsidRPr="0074154F">
        <w:rPr>
          <w:rFonts w:ascii="Arial" w:hAnsi="Arial" w:cs="Arial"/>
          <w:sz w:val="20"/>
          <w:szCs w:val="20"/>
        </w:rPr>
        <w:t>ccionistas sin modificaciones</w:t>
      </w:r>
      <w:r w:rsidR="005A5DA3" w:rsidRPr="0074154F">
        <w:rPr>
          <w:rFonts w:ascii="Arial" w:hAnsi="Arial" w:cs="Arial"/>
          <w:sz w:val="20"/>
          <w:szCs w:val="20"/>
        </w:rPr>
        <w:t>.</w:t>
      </w:r>
      <w:r w:rsidR="00AC4179" w:rsidRPr="0074154F">
        <w:rPr>
          <w:rFonts w:ascii="Arial" w:hAnsi="Arial" w:cs="Arial"/>
          <w:sz w:val="20"/>
          <w:szCs w:val="20"/>
        </w:rPr>
        <w:t xml:space="preserve">  </w:t>
      </w:r>
    </w:p>
    <w:p w14:paraId="3568B420" w14:textId="77777777" w:rsidR="005A2FA9" w:rsidRPr="0074154F" w:rsidRDefault="005A2FA9" w:rsidP="00AC4179">
      <w:pPr>
        <w:pBdr>
          <w:bottom w:val="single" w:sz="4" w:space="1" w:color="auto"/>
        </w:pBdr>
        <w:spacing w:after="0" w:line="240" w:lineRule="auto"/>
        <w:ind w:left="567"/>
        <w:jc w:val="both"/>
        <w:rPr>
          <w:rFonts w:ascii="Arial" w:hAnsi="Arial" w:cs="Arial"/>
          <w:sz w:val="20"/>
          <w:szCs w:val="20"/>
        </w:rPr>
      </w:pPr>
    </w:p>
    <w:p w14:paraId="0162A6FC" w14:textId="77777777" w:rsidR="00FB0860" w:rsidRPr="0074154F" w:rsidRDefault="00FB0860" w:rsidP="00AC4179">
      <w:pPr>
        <w:pStyle w:val="BodyText"/>
        <w:ind w:left="567" w:right="-1"/>
        <w:contextualSpacing/>
        <w:jc w:val="right"/>
        <w:rPr>
          <w:rFonts w:ascii="Arial" w:eastAsiaTheme="minorHAnsi" w:hAnsi="Arial" w:cs="Arial"/>
          <w:b/>
          <w:sz w:val="20"/>
          <w:lang w:val="es-EC" w:eastAsia="en-US"/>
        </w:rPr>
      </w:pPr>
    </w:p>
    <w:p w14:paraId="40ACC0E7" w14:textId="77777777" w:rsidR="00D45194" w:rsidRPr="0074154F" w:rsidRDefault="00D45194" w:rsidP="00AC4179">
      <w:pPr>
        <w:pStyle w:val="BodyText"/>
        <w:ind w:right="-1"/>
        <w:contextualSpacing/>
        <w:rPr>
          <w:rFonts w:ascii="Arial" w:eastAsiaTheme="minorHAnsi" w:hAnsi="Arial" w:cs="Arial"/>
          <w:b/>
          <w:sz w:val="20"/>
          <w:lang w:val="es-EC" w:eastAsia="en-US"/>
        </w:rPr>
      </w:pPr>
    </w:p>
    <w:sectPr w:rsidR="00D45194" w:rsidRPr="0074154F" w:rsidSect="00413455">
      <w:headerReference w:type="even" r:id="rId10"/>
      <w:headerReference w:type="default" r:id="rId11"/>
      <w:footerReference w:type="default" r:id="rId12"/>
      <w:headerReference w:type="first" r:id="rId13"/>
      <w:footerReference w:type="first" r:id="rId14"/>
      <w:pgSz w:w="11906" w:h="16838" w:code="9"/>
      <w:pgMar w:top="1418" w:right="1418" w:bottom="1418" w:left="1418" w:header="709"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CC25" w14:textId="77777777" w:rsidR="00E57CE3" w:rsidRDefault="00E57CE3" w:rsidP="00140798">
      <w:pPr>
        <w:spacing w:after="0" w:line="240" w:lineRule="auto"/>
      </w:pPr>
      <w:r>
        <w:separator/>
      </w:r>
    </w:p>
  </w:endnote>
  <w:endnote w:type="continuationSeparator" w:id="0">
    <w:p w14:paraId="1B5BAFAA" w14:textId="77777777" w:rsidR="00E57CE3" w:rsidRDefault="00E57CE3" w:rsidP="0014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Univers (W1)">
    <w:altName w:val="Arial"/>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restige Elite">
    <w:altName w:val="Lucida Console"/>
    <w:panose1 w:val="00000000000000000000"/>
    <w:charset w:val="00"/>
    <w:family w:val="modern"/>
    <w:notTrueType/>
    <w:pitch w:val="fixed"/>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Helvetica LT Std Light">
    <w:altName w:val="Malgun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C315" w14:textId="77777777" w:rsidR="00176704" w:rsidRPr="00236125" w:rsidRDefault="00176704" w:rsidP="008C5927">
    <w:pPr>
      <w:pStyle w:val="Footer"/>
      <w:jc w:val="center"/>
      <w:rPr>
        <w:rFonts w:ascii="Helvetica LT Std Light" w:hAnsi="Helvetica LT Std Light"/>
      </w:rPr>
    </w:pPr>
  </w:p>
  <w:p w14:paraId="2F6FDC77" w14:textId="77777777" w:rsidR="00176704" w:rsidRDefault="00176704" w:rsidP="00E852B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1E55" w14:textId="03F2626A" w:rsidR="00176704" w:rsidRPr="00AF14A6" w:rsidRDefault="00176704" w:rsidP="00AF14A6">
    <w:pPr>
      <w:pStyle w:val="Footer"/>
      <w:jc w:val="right"/>
      <w:rPr>
        <w:rFonts w:ascii="Arial" w:hAnsi="Arial" w:cs="Arial"/>
        <w:caps/>
        <w:sz w:val="20"/>
        <w:szCs w:val="20"/>
      </w:rPr>
    </w:pPr>
    <w:r w:rsidRPr="00AF14A6">
      <w:rPr>
        <w:rFonts w:ascii="Arial" w:hAnsi="Arial" w:cs="Arial"/>
        <w:caps/>
        <w:sz w:val="20"/>
        <w:szCs w:val="20"/>
      </w:rPr>
      <w:fldChar w:fldCharType="begin"/>
    </w:r>
    <w:r w:rsidRPr="00AF14A6">
      <w:rPr>
        <w:rFonts w:ascii="Arial" w:hAnsi="Arial" w:cs="Arial"/>
        <w:caps/>
        <w:sz w:val="20"/>
        <w:szCs w:val="20"/>
      </w:rPr>
      <w:instrText>PAGE   \* MERGEFORMAT</w:instrText>
    </w:r>
    <w:r w:rsidRPr="00AF14A6">
      <w:rPr>
        <w:rFonts w:ascii="Arial" w:hAnsi="Arial" w:cs="Arial"/>
        <w:caps/>
        <w:sz w:val="20"/>
        <w:szCs w:val="20"/>
      </w:rPr>
      <w:fldChar w:fldCharType="separate"/>
    </w:r>
    <w:r w:rsidRPr="003F1B3D">
      <w:rPr>
        <w:rFonts w:ascii="Arial" w:hAnsi="Arial" w:cs="Arial"/>
        <w:caps/>
        <w:noProof/>
        <w:sz w:val="20"/>
        <w:szCs w:val="20"/>
        <w:lang w:val="es-ES"/>
      </w:rPr>
      <w:t>19</w:t>
    </w:r>
    <w:r w:rsidRPr="00AF14A6">
      <w:rPr>
        <w:rFonts w:ascii="Arial" w:hAnsi="Arial" w:cs="Arial"/>
        <w:caps/>
        <w:sz w:val="20"/>
        <w:szCs w:val="20"/>
      </w:rPr>
      <w:fldChar w:fldCharType="end"/>
    </w:r>
  </w:p>
  <w:p w14:paraId="714B616C" w14:textId="77777777" w:rsidR="00176704" w:rsidRDefault="00176704" w:rsidP="00E852B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7F21" w14:textId="77777777" w:rsidR="00176704" w:rsidRPr="001012D0" w:rsidRDefault="00176704" w:rsidP="00C36BFC">
    <w:pPr>
      <w:pStyle w:val="Footer"/>
      <w:rPr>
        <w:rFonts w:ascii="Segoe UI" w:hAnsi="Segoe UI" w:cs="Segoe UI"/>
        <w:lang w:val="en-US"/>
      </w:rPr>
    </w:pPr>
    <w:r w:rsidRPr="002B3495">
      <w:rPr>
        <w:rFonts w:ascii="Segoe UI" w:hAnsi="Segoe UI" w:cs="Segoe UI"/>
        <w:sz w:val="16"/>
        <w:szCs w:val="16"/>
        <w:lang w:val="en-US"/>
      </w:rPr>
      <w:t>Member of Russell Bedford International, with affiliated offices worldwide</w:t>
    </w:r>
    <w:r w:rsidRPr="002B3495">
      <w:rPr>
        <w:rFonts w:ascii="Segoe UI" w:hAnsi="Segoe UI" w:cs="Segoe U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95D3" w14:textId="77777777" w:rsidR="00E57CE3" w:rsidRDefault="00E57CE3" w:rsidP="00140798">
      <w:pPr>
        <w:spacing w:after="0" w:line="240" w:lineRule="auto"/>
      </w:pPr>
      <w:r>
        <w:separator/>
      </w:r>
    </w:p>
  </w:footnote>
  <w:footnote w:type="continuationSeparator" w:id="0">
    <w:p w14:paraId="6CFE50E8" w14:textId="77777777" w:rsidR="00E57CE3" w:rsidRDefault="00E57CE3" w:rsidP="00140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AC83" w14:textId="3241DC7D" w:rsidR="00176704" w:rsidRDefault="00176704">
    <w:pPr>
      <w:pStyle w:val="Header"/>
      <w:jc w:val="right"/>
    </w:pPr>
  </w:p>
  <w:p w14:paraId="0EDE5697" w14:textId="77777777" w:rsidR="00176704" w:rsidRPr="00575521" w:rsidRDefault="00176704" w:rsidP="005755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FA4A" w14:textId="77777777" w:rsidR="00176704" w:rsidRDefault="00176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6A70" w14:textId="36679842" w:rsidR="00176704" w:rsidRPr="007C38A3" w:rsidRDefault="00176704" w:rsidP="007C38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1187E" w14:textId="3765D9EE" w:rsidR="00176704" w:rsidRPr="00413455" w:rsidRDefault="00176704" w:rsidP="00413455">
    <w:pPr>
      <w:pStyle w:val="Header"/>
    </w:pPr>
    <w:r w:rsidRPr="001012D0">
      <w:rPr>
        <w:noProof/>
      </w:rPr>
      <w:drawing>
        <wp:anchor distT="0" distB="0" distL="114300" distR="114300" simplePos="0" relativeHeight="251659264" behindDoc="1" locked="0" layoutInCell="1" allowOverlap="1" wp14:anchorId="596657E0" wp14:editId="0DA50C0F">
          <wp:simplePos x="0" y="0"/>
          <wp:positionH relativeFrom="column">
            <wp:posOffset>-320040</wp:posOffset>
          </wp:positionH>
          <wp:positionV relativeFrom="paragraph">
            <wp:posOffset>-633095</wp:posOffset>
          </wp:positionV>
          <wp:extent cx="6497510" cy="25603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7510" cy="2560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5DF"/>
    <w:multiLevelType w:val="hybridMultilevel"/>
    <w:tmpl w:val="CAAA4F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057CDC"/>
    <w:multiLevelType w:val="multilevel"/>
    <w:tmpl w:val="1C32FE8A"/>
    <w:lvl w:ilvl="0">
      <w:start w:val="2"/>
      <w:numFmt w:val="decimal"/>
      <w:lvlText w:val="%1"/>
      <w:lvlJc w:val="left"/>
      <w:pPr>
        <w:ind w:left="415" w:hanging="360"/>
      </w:pPr>
      <w:rPr>
        <w:rFonts w:hint="default"/>
      </w:rPr>
    </w:lvl>
    <w:lvl w:ilvl="1">
      <w:start w:val="1"/>
      <w:numFmt w:val="decimal"/>
      <w:lvlText w:val="%1.%2"/>
      <w:lvlJc w:val="left"/>
      <w:pPr>
        <w:ind w:left="415" w:hanging="360"/>
      </w:pPr>
      <w:rPr>
        <w:rFonts w:hint="default"/>
      </w:rPr>
    </w:lvl>
    <w:lvl w:ilvl="2">
      <w:start w:val="1"/>
      <w:numFmt w:val="decimal"/>
      <w:lvlText w:val="%1.%2.%3"/>
      <w:lvlJc w:val="left"/>
      <w:pPr>
        <w:ind w:left="775" w:hanging="720"/>
      </w:pPr>
      <w:rPr>
        <w:rFonts w:hint="default"/>
        <w:b/>
        <w:i w:val="0"/>
      </w:rPr>
    </w:lvl>
    <w:lvl w:ilvl="3">
      <w:start w:val="1"/>
      <w:numFmt w:val="decimal"/>
      <w:lvlText w:val="%1.%2.%3.%4"/>
      <w:lvlJc w:val="left"/>
      <w:pPr>
        <w:ind w:left="775" w:hanging="720"/>
      </w:pPr>
      <w:rPr>
        <w:rFonts w:hint="default"/>
        <w:b/>
        <w:i w:val="0"/>
        <w:sz w:val="22"/>
        <w:szCs w:val="22"/>
      </w:rPr>
    </w:lvl>
    <w:lvl w:ilvl="4">
      <w:start w:val="1"/>
      <w:numFmt w:val="decimal"/>
      <w:lvlText w:val="%1.%2.%3.%4.%5"/>
      <w:lvlJc w:val="left"/>
      <w:pPr>
        <w:ind w:left="1135"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495" w:hanging="1440"/>
      </w:pPr>
      <w:rPr>
        <w:rFonts w:hint="default"/>
      </w:rPr>
    </w:lvl>
    <w:lvl w:ilvl="7">
      <w:start w:val="1"/>
      <w:numFmt w:val="decimal"/>
      <w:lvlText w:val="%1.%2.%3.%4.%5.%6.%7.%8"/>
      <w:lvlJc w:val="left"/>
      <w:pPr>
        <w:ind w:left="1855" w:hanging="1800"/>
      </w:pPr>
      <w:rPr>
        <w:rFonts w:hint="default"/>
      </w:rPr>
    </w:lvl>
    <w:lvl w:ilvl="8">
      <w:start w:val="1"/>
      <w:numFmt w:val="decimal"/>
      <w:lvlText w:val="%1.%2.%3.%4.%5.%6.%7.%8.%9"/>
      <w:lvlJc w:val="left"/>
      <w:pPr>
        <w:ind w:left="1855" w:hanging="1800"/>
      </w:pPr>
      <w:rPr>
        <w:rFonts w:hint="default"/>
      </w:rPr>
    </w:lvl>
  </w:abstractNum>
  <w:abstractNum w:abstractNumId="2" w15:restartNumberingAfterBreak="0">
    <w:nsid w:val="061B690B"/>
    <w:multiLevelType w:val="hybridMultilevel"/>
    <w:tmpl w:val="B1FCC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869A1"/>
    <w:multiLevelType w:val="hybridMultilevel"/>
    <w:tmpl w:val="7452D2CA"/>
    <w:lvl w:ilvl="0" w:tplc="A27037A0">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 w15:restartNumberingAfterBreak="0">
    <w:nsid w:val="0B0731D5"/>
    <w:multiLevelType w:val="hybridMultilevel"/>
    <w:tmpl w:val="E652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25852"/>
    <w:multiLevelType w:val="hybridMultilevel"/>
    <w:tmpl w:val="C6C87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12B6190"/>
    <w:multiLevelType w:val="hybridMultilevel"/>
    <w:tmpl w:val="162620CE"/>
    <w:lvl w:ilvl="0" w:tplc="D722BBBE">
      <w:start w:val="1"/>
      <w:numFmt w:val="bullet"/>
      <w:lvlText w:val=""/>
      <w:lvlJc w:val="left"/>
      <w:pPr>
        <w:ind w:left="360" w:hanging="360"/>
      </w:pPr>
      <w:rPr>
        <w:rFonts w:ascii="Symbol" w:hAnsi="Symbol" w:hint="default"/>
        <w:sz w:val="14"/>
        <w:szCs w:val="1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17694DF0"/>
    <w:multiLevelType w:val="hybridMultilevel"/>
    <w:tmpl w:val="67BE54E2"/>
    <w:lvl w:ilvl="0" w:tplc="300A0001">
      <w:start w:val="1"/>
      <w:numFmt w:val="bullet"/>
      <w:lvlText w:val=""/>
      <w:lvlJc w:val="left"/>
      <w:pPr>
        <w:ind w:left="1287" w:hanging="360"/>
      </w:pPr>
      <w:rPr>
        <w:rFonts w:ascii="Symbol" w:hAnsi="Symbol" w:hint="default"/>
      </w:rPr>
    </w:lvl>
    <w:lvl w:ilvl="1" w:tplc="300A0003">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8" w15:restartNumberingAfterBreak="0">
    <w:nsid w:val="1CE357D9"/>
    <w:multiLevelType w:val="multilevel"/>
    <w:tmpl w:val="0BF2A50C"/>
    <w:lvl w:ilvl="0">
      <w:start w:val="2"/>
      <w:numFmt w:val="decimal"/>
      <w:lvlText w:val="%1.11.1"/>
      <w:lvlJc w:val="left"/>
      <w:pPr>
        <w:ind w:left="360" w:hanging="360"/>
      </w:pPr>
      <w:rPr>
        <w:rFonts w:hint="default"/>
      </w:rPr>
    </w:lvl>
    <w:lvl w:ilvl="1">
      <w:start w:val="1"/>
      <w:numFmt w:val="none"/>
      <w:lvlText w:val="2.11.1"/>
      <w:lvlJc w:val="left"/>
      <w:pPr>
        <w:ind w:left="1495"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014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1303D0"/>
    <w:multiLevelType w:val="hybridMultilevel"/>
    <w:tmpl w:val="CA0011F6"/>
    <w:lvl w:ilvl="0" w:tplc="71DEB59A">
      <w:start w:val="1"/>
      <w:numFmt w:val="decimal"/>
      <w:lvlText w:val="(%1)"/>
      <w:lvlJc w:val="left"/>
      <w:pPr>
        <w:ind w:left="1440" w:hanging="360"/>
      </w:pPr>
      <w:rPr>
        <w:rFonts w:hint="default"/>
        <w:b/>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CB2770B"/>
    <w:multiLevelType w:val="hybridMultilevel"/>
    <w:tmpl w:val="F73AF5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DA26C4C"/>
    <w:multiLevelType w:val="hybridMultilevel"/>
    <w:tmpl w:val="443063E0"/>
    <w:lvl w:ilvl="0" w:tplc="01D47BA0">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B2C52"/>
    <w:multiLevelType w:val="hybridMultilevel"/>
    <w:tmpl w:val="E918E1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DEA2DF7"/>
    <w:multiLevelType w:val="hybridMultilevel"/>
    <w:tmpl w:val="D4B844D4"/>
    <w:lvl w:ilvl="0" w:tplc="F87AE5CE">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15" w15:restartNumberingAfterBreak="0">
    <w:nsid w:val="3072450F"/>
    <w:multiLevelType w:val="multilevel"/>
    <w:tmpl w:val="6B2A80E0"/>
    <w:lvl w:ilvl="0">
      <w:start w:val="13"/>
      <w:numFmt w:val="decimal"/>
      <w:lvlText w:val="%1"/>
      <w:lvlJc w:val="left"/>
      <w:pPr>
        <w:ind w:left="465" w:hanging="465"/>
      </w:pPr>
      <w:rPr>
        <w:rFonts w:hint="default"/>
        <w:u w:val="single"/>
      </w:rPr>
    </w:lvl>
    <w:lvl w:ilvl="1">
      <w:start w:val="1"/>
      <w:numFmt w:val="decimal"/>
      <w:lvlText w:val="%1.%2"/>
      <w:lvlJc w:val="left"/>
      <w:pPr>
        <w:ind w:left="1741" w:hanging="465"/>
      </w:pPr>
      <w:rPr>
        <w:rFonts w:hint="default"/>
        <w:b/>
        <w:u w:val="none"/>
      </w:rPr>
    </w:lvl>
    <w:lvl w:ilvl="2">
      <w:start w:val="1"/>
      <w:numFmt w:val="decimal"/>
      <w:lvlText w:val="%1.%2.%3"/>
      <w:lvlJc w:val="left"/>
      <w:pPr>
        <w:ind w:left="3272" w:hanging="720"/>
      </w:pPr>
      <w:rPr>
        <w:rFonts w:hint="default"/>
        <w:b/>
        <w:u w:val="none"/>
      </w:rPr>
    </w:lvl>
    <w:lvl w:ilvl="3">
      <w:start w:val="1"/>
      <w:numFmt w:val="decimal"/>
      <w:lvlText w:val="%1.%2.%3.%4"/>
      <w:lvlJc w:val="left"/>
      <w:pPr>
        <w:ind w:left="4548" w:hanging="720"/>
      </w:pPr>
      <w:rPr>
        <w:rFonts w:hint="default"/>
        <w:u w:val="single"/>
      </w:rPr>
    </w:lvl>
    <w:lvl w:ilvl="4">
      <w:start w:val="1"/>
      <w:numFmt w:val="decimal"/>
      <w:lvlText w:val="%1.%2.%3.%4.%5"/>
      <w:lvlJc w:val="left"/>
      <w:pPr>
        <w:ind w:left="6184" w:hanging="1080"/>
      </w:pPr>
      <w:rPr>
        <w:rFonts w:hint="default"/>
        <w:u w:val="single"/>
      </w:rPr>
    </w:lvl>
    <w:lvl w:ilvl="5">
      <w:start w:val="1"/>
      <w:numFmt w:val="decimal"/>
      <w:lvlText w:val="%1.%2.%3.%4.%5.%6"/>
      <w:lvlJc w:val="left"/>
      <w:pPr>
        <w:ind w:left="7820" w:hanging="1440"/>
      </w:pPr>
      <w:rPr>
        <w:rFonts w:hint="default"/>
        <w:u w:val="single"/>
      </w:rPr>
    </w:lvl>
    <w:lvl w:ilvl="6">
      <w:start w:val="1"/>
      <w:numFmt w:val="decimal"/>
      <w:lvlText w:val="%1.%2.%3.%4.%5.%6.%7"/>
      <w:lvlJc w:val="left"/>
      <w:pPr>
        <w:ind w:left="9096" w:hanging="1440"/>
      </w:pPr>
      <w:rPr>
        <w:rFonts w:hint="default"/>
        <w:u w:val="single"/>
      </w:rPr>
    </w:lvl>
    <w:lvl w:ilvl="7">
      <w:start w:val="1"/>
      <w:numFmt w:val="decimal"/>
      <w:lvlText w:val="%1.%2.%3.%4.%5.%6.%7.%8"/>
      <w:lvlJc w:val="left"/>
      <w:pPr>
        <w:ind w:left="10732" w:hanging="1800"/>
      </w:pPr>
      <w:rPr>
        <w:rFonts w:hint="default"/>
        <w:u w:val="single"/>
      </w:rPr>
    </w:lvl>
    <w:lvl w:ilvl="8">
      <w:start w:val="1"/>
      <w:numFmt w:val="decimal"/>
      <w:lvlText w:val="%1.%2.%3.%4.%5.%6.%7.%8.%9"/>
      <w:lvlJc w:val="left"/>
      <w:pPr>
        <w:ind w:left="12008" w:hanging="1800"/>
      </w:pPr>
      <w:rPr>
        <w:rFonts w:hint="default"/>
        <w:u w:val="single"/>
      </w:rPr>
    </w:lvl>
  </w:abstractNum>
  <w:abstractNum w:abstractNumId="16" w15:restartNumberingAfterBreak="0">
    <w:nsid w:val="317340F4"/>
    <w:multiLevelType w:val="multilevel"/>
    <w:tmpl w:val="DB2240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A357B4"/>
    <w:multiLevelType w:val="hybridMultilevel"/>
    <w:tmpl w:val="C2C6B294"/>
    <w:lvl w:ilvl="0" w:tplc="080A0001">
      <w:start w:val="1"/>
      <w:numFmt w:val="bullet"/>
      <w:lvlText w:val=""/>
      <w:lvlJc w:val="left"/>
      <w:pPr>
        <w:ind w:left="927" w:hanging="360"/>
      </w:pPr>
      <w:rPr>
        <w:rFonts w:ascii="Symbol" w:hAnsi="Symbol"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15:restartNumberingAfterBreak="0">
    <w:nsid w:val="36A75C9D"/>
    <w:multiLevelType w:val="multilevel"/>
    <w:tmpl w:val="56B6F26A"/>
    <w:lvl w:ilvl="0">
      <w:start w:val="2"/>
      <w:numFmt w:val="decimal"/>
      <w:lvlText w:val="%1.11.1"/>
      <w:lvlJc w:val="left"/>
      <w:pPr>
        <w:ind w:left="360" w:hanging="360"/>
      </w:pPr>
      <w:rPr>
        <w:rFonts w:hint="default"/>
      </w:rPr>
    </w:lvl>
    <w:lvl w:ilvl="1">
      <w:start w:val="1"/>
      <w:numFmt w:val="none"/>
      <w:lvlText w:val="2.11.3"/>
      <w:lvlJc w:val="left"/>
      <w:pPr>
        <w:ind w:left="360" w:hanging="360"/>
      </w:pPr>
      <w:rPr>
        <w:rFonts w:hint="default"/>
        <w:b/>
      </w:rPr>
    </w:lvl>
    <w:lvl w:ilvl="2">
      <w:start w:val="1"/>
      <w:numFmt w:val="decimal"/>
      <w:lvlText w:val="%1%2.%31.2"/>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FA61A7"/>
    <w:multiLevelType w:val="hybridMultilevel"/>
    <w:tmpl w:val="201A0CCA"/>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0" w15:restartNumberingAfterBreak="0">
    <w:nsid w:val="3E29717A"/>
    <w:multiLevelType w:val="hybridMultilevel"/>
    <w:tmpl w:val="729C4604"/>
    <w:lvl w:ilvl="0" w:tplc="CD2A75F4">
      <w:start w:val="1"/>
      <w:numFmt w:val="decimal"/>
      <w:lvlText w:val="(%1)"/>
      <w:lvlJc w:val="left"/>
      <w:pPr>
        <w:ind w:left="1797" w:hanging="360"/>
      </w:pPr>
      <w:rPr>
        <w:rFonts w:hint="default"/>
      </w:rPr>
    </w:lvl>
    <w:lvl w:ilvl="1" w:tplc="300A0019" w:tentative="1">
      <w:start w:val="1"/>
      <w:numFmt w:val="lowerLetter"/>
      <w:lvlText w:val="%2."/>
      <w:lvlJc w:val="left"/>
      <w:pPr>
        <w:ind w:left="2517" w:hanging="360"/>
      </w:pPr>
    </w:lvl>
    <w:lvl w:ilvl="2" w:tplc="300A001B" w:tentative="1">
      <w:start w:val="1"/>
      <w:numFmt w:val="lowerRoman"/>
      <w:lvlText w:val="%3."/>
      <w:lvlJc w:val="right"/>
      <w:pPr>
        <w:ind w:left="3237" w:hanging="180"/>
      </w:pPr>
    </w:lvl>
    <w:lvl w:ilvl="3" w:tplc="300A000F" w:tentative="1">
      <w:start w:val="1"/>
      <w:numFmt w:val="decimal"/>
      <w:lvlText w:val="%4."/>
      <w:lvlJc w:val="left"/>
      <w:pPr>
        <w:ind w:left="3957" w:hanging="360"/>
      </w:pPr>
    </w:lvl>
    <w:lvl w:ilvl="4" w:tplc="300A0019" w:tentative="1">
      <w:start w:val="1"/>
      <w:numFmt w:val="lowerLetter"/>
      <w:lvlText w:val="%5."/>
      <w:lvlJc w:val="left"/>
      <w:pPr>
        <w:ind w:left="4677" w:hanging="360"/>
      </w:pPr>
    </w:lvl>
    <w:lvl w:ilvl="5" w:tplc="300A001B" w:tentative="1">
      <w:start w:val="1"/>
      <w:numFmt w:val="lowerRoman"/>
      <w:lvlText w:val="%6."/>
      <w:lvlJc w:val="right"/>
      <w:pPr>
        <w:ind w:left="5397" w:hanging="180"/>
      </w:pPr>
    </w:lvl>
    <w:lvl w:ilvl="6" w:tplc="300A000F" w:tentative="1">
      <w:start w:val="1"/>
      <w:numFmt w:val="decimal"/>
      <w:lvlText w:val="%7."/>
      <w:lvlJc w:val="left"/>
      <w:pPr>
        <w:ind w:left="6117" w:hanging="360"/>
      </w:pPr>
    </w:lvl>
    <w:lvl w:ilvl="7" w:tplc="300A0019" w:tentative="1">
      <w:start w:val="1"/>
      <w:numFmt w:val="lowerLetter"/>
      <w:lvlText w:val="%8."/>
      <w:lvlJc w:val="left"/>
      <w:pPr>
        <w:ind w:left="6837" w:hanging="360"/>
      </w:pPr>
    </w:lvl>
    <w:lvl w:ilvl="8" w:tplc="300A001B" w:tentative="1">
      <w:start w:val="1"/>
      <w:numFmt w:val="lowerRoman"/>
      <w:lvlText w:val="%9."/>
      <w:lvlJc w:val="right"/>
      <w:pPr>
        <w:ind w:left="7557" w:hanging="180"/>
      </w:pPr>
    </w:lvl>
  </w:abstractNum>
  <w:abstractNum w:abstractNumId="21" w15:restartNumberingAfterBreak="0">
    <w:nsid w:val="41257118"/>
    <w:multiLevelType w:val="hybridMultilevel"/>
    <w:tmpl w:val="1914812A"/>
    <w:lvl w:ilvl="0" w:tplc="AE1E1FBE">
      <w:start w:val="1"/>
      <w:numFmt w:val="decimal"/>
      <w:lvlText w:val="(%1)"/>
      <w:lvlJc w:val="left"/>
      <w:pPr>
        <w:ind w:left="1440" w:hanging="360"/>
      </w:pPr>
      <w:rPr>
        <w:rFonts w:hint="default"/>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3914243"/>
    <w:multiLevelType w:val="hybridMultilevel"/>
    <w:tmpl w:val="7AC08268"/>
    <w:lvl w:ilvl="0" w:tplc="71B4778A">
      <w:start w:val="9"/>
      <w:numFmt w:val="bullet"/>
      <w:lvlText w:val=""/>
      <w:lvlJc w:val="left"/>
      <w:pPr>
        <w:ind w:left="720" w:hanging="360"/>
      </w:pPr>
      <w:rPr>
        <w:rFonts w:ascii="Symbol" w:eastAsiaTheme="minorHAnsi" w:hAnsi="Symbol" w:cs="Arial" w:hint="default"/>
        <w:sz w:val="2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47175BD"/>
    <w:multiLevelType w:val="multilevel"/>
    <w:tmpl w:val="E75691B6"/>
    <w:lvl w:ilvl="0">
      <w:start w:val="2"/>
      <w:numFmt w:val="decimal"/>
      <w:lvlText w:val="%1.11.1"/>
      <w:lvlJc w:val="left"/>
      <w:pPr>
        <w:ind w:left="360" w:hanging="360"/>
      </w:pPr>
      <w:rPr>
        <w:rFonts w:hint="default"/>
      </w:rPr>
    </w:lvl>
    <w:lvl w:ilvl="1">
      <w:start w:val="1"/>
      <w:numFmt w:val="none"/>
      <w:lvlText w:val="2.11.3"/>
      <w:lvlJc w:val="left"/>
      <w:pPr>
        <w:ind w:left="360" w:hanging="360"/>
      </w:pPr>
      <w:rPr>
        <w:rFonts w:hint="default"/>
        <w:b/>
      </w:rPr>
    </w:lvl>
    <w:lvl w:ilvl="2">
      <w:start w:val="1"/>
      <w:numFmt w:val="decimal"/>
      <w:lvlText w:val="%1%2.%31.2"/>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5272D1B"/>
    <w:multiLevelType w:val="hybridMultilevel"/>
    <w:tmpl w:val="28627D70"/>
    <w:lvl w:ilvl="0" w:tplc="E98401D4">
      <w:start w:val="1"/>
      <w:numFmt w:val="decimal"/>
      <w:lvlText w:val="(%1)"/>
      <w:lvlJc w:val="left"/>
      <w:pPr>
        <w:ind w:left="1854" w:hanging="360"/>
      </w:pPr>
      <w:rPr>
        <w:rFonts w:hint="default"/>
        <w:b/>
        <w:bCs/>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46060559"/>
    <w:multiLevelType w:val="hybridMultilevel"/>
    <w:tmpl w:val="ADD2D27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46D77B81"/>
    <w:multiLevelType w:val="multilevel"/>
    <w:tmpl w:val="248A348C"/>
    <w:lvl w:ilvl="0">
      <w:start w:val="2"/>
      <w:numFmt w:val="decimal"/>
      <w:lvlText w:val="%1.11.1"/>
      <w:lvlJc w:val="left"/>
      <w:pPr>
        <w:ind w:left="360" w:hanging="360"/>
      </w:pPr>
      <w:rPr>
        <w:rFonts w:hint="default"/>
      </w:rPr>
    </w:lvl>
    <w:lvl w:ilvl="1">
      <w:start w:val="1"/>
      <w:numFmt w:val="none"/>
      <w:lvlText w:val="2.11.2"/>
      <w:lvlJc w:val="left"/>
      <w:pPr>
        <w:ind w:left="360" w:hanging="360"/>
      </w:pPr>
      <w:rPr>
        <w:rFonts w:hint="default"/>
        <w:b/>
      </w:rPr>
    </w:lvl>
    <w:lvl w:ilvl="2">
      <w:start w:val="1"/>
      <w:numFmt w:val="decimal"/>
      <w:lvlText w:val="%1%2.%31.2"/>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E5972BE"/>
    <w:multiLevelType w:val="hybridMultilevel"/>
    <w:tmpl w:val="358802F4"/>
    <w:lvl w:ilvl="0" w:tplc="9AA07E20">
      <w:start w:val="1"/>
      <w:numFmt w:val="decimal"/>
      <w:lvlText w:val="%1."/>
      <w:lvlJc w:val="left"/>
      <w:pPr>
        <w:ind w:left="720" w:hanging="360"/>
      </w:pPr>
      <w:rPr>
        <w:b w:val="0"/>
        <w:bCs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16129FF"/>
    <w:multiLevelType w:val="multilevel"/>
    <w:tmpl w:val="98BE454A"/>
    <w:lvl w:ilvl="0">
      <w:start w:val="2"/>
      <w:numFmt w:val="decimal"/>
      <w:lvlText w:val="%1.11.1"/>
      <w:lvlJc w:val="left"/>
      <w:pPr>
        <w:ind w:left="360" w:hanging="360"/>
      </w:pPr>
      <w:rPr>
        <w:rFonts w:hint="default"/>
      </w:rPr>
    </w:lvl>
    <w:lvl w:ilvl="1">
      <w:start w:val="1"/>
      <w:numFmt w:val="decimal"/>
      <w:lvlText w:val="%1.11.1"/>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A94506"/>
    <w:multiLevelType w:val="multilevel"/>
    <w:tmpl w:val="D9D6875E"/>
    <w:lvl w:ilvl="0">
      <w:start w:val="2"/>
      <w:numFmt w:val="decimal"/>
      <w:lvlText w:val="%1.11.1"/>
      <w:lvlJc w:val="left"/>
      <w:pPr>
        <w:ind w:left="360" w:hanging="360"/>
      </w:pPr>
      <w:rPr>
        <w:rFonts w:hint="default"/>
      </w:rPr>
    </w:lvl>
    <w:lvl w:ilvl="1">
      <w:start w:val="1"/>
      <w:numFmt w:val="none"/>
      <w:lvlText w:val="2.11.4"/>
      <w:lvlJc w:val="left"/>
      <w:pPr>
        <w:ind w:left="360" w:hanging="360"/>
      </w:pPr>
      <w:rPr>
        <w:rFonts w:hint="default"/>
        <w:b/>
      </w:rPr>
    </w:lvl>
    <w:lvl w:ilvl="2">
      <w:start w:val="1"/>
      <w:numFmt w:val="decimal"/>
      <w:lvlText w:val="%1%2.%31.2"/>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BC407A"/>
    <w:multiLevelType w:val="hybridMultilevel"/>
    <w:tmpl w:val="C518C650"/>
    <w:lvl w:ilvl="0" w:tplc="B85889A4">
      <w:start w:val="1"/>
      <w:numFmt w:val="lowerLetter"/>
      <w:lvlText w:val="%1)"/>
      <w:lvlJc w:val="left"/>
      <w:pPr>
        <w:ind w:left="2487" w:hanging="360"/>
      </w:pPr>
      <w:rPr>
        <w:rFonts w:hint="default"/>
      </w:rPr>
    </w:lvl>
    <w:lvl w:ilvl="1" w:tplc="080A0019" w:tentative="1">
      <w:start w:val="1"/>
      <w:numFmt w:val="lowerLetter"/>
      <w:lvlText w:val="%2."/>
      <w:lvlJc w:val="left"/>
      <w:pPr>
        <w:ind w:left="3207" w:hanging="360"/>
      </w:pPr>
    </w:lvl>
    <w:lvl w:ilvl="2" w:tplc="080A001B" w:tentative="1">
      <w:start w:val="1"/>
      <w:numFmt w:val="lowerRoman"/>
      <w:lvlText w:val="%3."/>
      <w:lvlJc w:val="right"/>
      <w:pPr>
        <w:ind w:left="3927" w:hanging="180"/>
      </w:pPr>
    </w:lvl>
    <w:lvl w:ilvl="3" w:tplc="080A000F" w:tentative="1">
      <w:start w:val="1"/>
      <w:numFmt w:val="decimal"/>
      <w:lvlText w:val="%4."/>
      <w:lvlJc w:val="left"/>
      <w:pPr>
        <w:ind w:left="4647" w:hanging="360"/>
      </w:pPr>
    </w:lvl>
    <w:lvl w:ilvl="4" w:tplc="080A0019" w:tentative="1">
      <w:start w:val="1"/>
      <w:numFmt w:val="lowerLetter"/>
      <w:lvlText w:val="%5."/>
      <w:lvlJc w:val="left"/>
      <w:pPr>
        <w:ind w:left="5367" w:hanging="360"/>
      </w:pPr>
    </w:lvl>
    <w:lvl w:ilvl="5" w:tplc="080A001B" w:tentative="1">
      <w:start w:val="1"/>
      <w:numFmt w:val="lowerRoman"/>
      <w:lvlText w:val="%6."/>
      <w:lvlJc w:val="right"/>
      <w:pPr>
        <w:ind w:left="6087" w:hanging="180"/>
      </w:pPr>
    </w:lvl>
    <w:lvl w:ilvl="6" w:tplc="080A000F" w:tentative="1">
      <w:start w:val="1"/>
      <w:numFmt w:val="decimal"/>
      <w:lvlText w:val="%7."/>
      <w:lvlJc w:val="left"/>
      <w:pPr>
        <w:ind w:left="6807" w:hanging="360"/>
      </w:pPr>
    </w:lvl>
    <w:lvl w:ilvl="7" w:tplc="080A0019" w:tentative="1">
      <w:start w:val="1"/>
      <w:numFmt w:val="lowerLetter"/>
      <w:lvlText w:val="%8."/>
      <w:lvlJc w:val="left"/>
      <w:pPr>
        <w:ind w:left="7527" w:hanging="360"/>
      </w:pPr>
    </w:lvl>
    <w:lvl w:ilvl="8" w:tplc="080A001B" w:tentative="1">
      <w:start w:val="1"/>
      <w:numFmt w:val="lowerRoman"/>
      <w:lvlText w:val="%9."/>
      <w:lvlJc w:val="right"/>
      <w:pPr>
        <w:ind w:left="8247" w:hanging="180"/>
      </w:pPr>
    </w:lvl>
  </w:abstractNum>
  <w:abstractNum w:abstractNumId="31" w15:restartNumberingAfterBreak="0">
    <w:nsid w:val="5A035D31"/>
    <w:multiLevelType w:val="hybridMultilevel"/>
    <w:tmpl w:val="E3FA9328"/>
    <w:lvl w:ilvl="0" w:tplc="C1F6B594">
      <w:start w:val="1"/>
      <w:numFmt w:val="bullet"/>
      <w:lvlText w:val=""/>
      <w:lvlJc w:val="left"/>
      <w:pPr>
        <w:ind w:left="1825" w:hanging="360"/>
      </w:pPr>
      <w:rPr>
        <w:rFonts w:ascii="Symbol" w:hAnsi="Symbol" w:hint="default"/>
        <w:sz w:val="13"/>
        <w:szCs w:val="13"/>
      </w:rPr>
    </w:lvl>
    <w:lvl w:ilvl="1" w:tplc="300A0003">
      <w:start w:val="1"/>
      <w:numFmt w:val="bullet"/>
      <w:lvlText w:val="o"/>
      <w:lvlJc w:val="left"/>
      <w:pPr>
        <w:ind w:left="2545" w:hanging="360"/>
      </w:pPr>
      <w:rPr>
        <w:rFonts w:ascii="Courier New" w:hAnsi="Courier New" w:cs="Courier New" w:hint="default"/>
      </w:rPr>
    </w:lvl>
    <w:lvl w:ilvl="2" w:tplc="300A0005">
      <w:start w:val="1"/>
      <w:numFmt w:val="bullet"/>
      <w:lvlText w:val=""/>
      <w:lvlJc w:val="left"/>
      <w:pPr>
        <w:ind w:left="3265" w:hanging="360"/>
      </w:pPr>
      <w:rPr>
        <w:rFonts w:ascii="Wingdings" w:hAnsi="Wingdings" w:hint="default"/>
      </w:rPr>
    </w:lvl>
    <w:lvl w:ilvl="3" w:tplc="300A0001">
      <w:start w:val="1"/>
      <w:numFmt w:val="bullet"/>
      <w:lvlText w:val=""/>
      <w:lvlJc w:val="left"/>
      <w:pPr>
        <w:ind w:left="3985" w:hanging="360"/>
      </w:pPr>
      <w:rPr>
        <w:rFonts w:ascii="Symbol" w:hAnsi="Symbol" w:hint="default"/>
      </w:rPr>
    </w:lvl>
    <w:lvl w:ilvl="4" w:tplc="300A0003">
      <w:start w:val="1"/>
      <w:numFmt w:val="bullet"/>
      <w:lvlText w:val="o"/>
      <w:lvlJc w:val="left"/>
      <w:pPr>
        <w:ind w:left="4705" w:hanging="360"/>
      </w:pPr>
      <w:rPr>
        <w:rFonts w:ascii="Courier New" w:hAnsi="Courier New" w:cs="Courier New" w:hint="default"/>
      </w:rPr>
    </w:lvl>
    <w:lvl w:ilvl="5" w:tplc="300A0005">
      <w:start w:val="1"/>
      <w:numFmt w:val="bullet"/>
      <w:lvlText w:val=""/>
      <w:lvlJc w:val="left"/>
      <w:pPr>
        <w:ind w:left="5425" w:hanging="360"/>
      </w:pPr>
      <w:rPr>
        <w:rFonts w:ascii="Wingdings" w:hAnsi="Wingdings" w:hint="default"/>
      </w:rPr>
    </w:lvl>
    <w:lvl w:ilvl="6" w:tplc="300A0001">
      <w:start w:val="1"/>
      <w:numFmt w:val="bullet"/>
      <w:lvlText w:val=""/>
      <w:lvlJc w:val="left"/>
      <w:pPr>
        <w:ind w:left="6145" w:hanging="360"/>
      </w:pPr>
      <w:rPr>
        <w:rFonts w:ascii="Symbol" w:hAnsi="Symbol" w:hint="default"/>
      </w:rPr>
    </w:lvl>
    <w:lvl w:ilvl="7" w:tplc="300A0003">
      <w:start w:val="1"/>
      <w:numFmt w:val="bullet"/>
      <w:lvlText w:val="o"/>
      <w:lvlJc w:val="left"/>
      <w:pPr>
        <w:ind w:left="6865" w:hanging="360"/>
      </w:pPr>
      <w:rPr>
        <w:rFonts w:ascii="Courier New" w:hAnsi="Courier New" w:cs="Courier New" w:hint="default"/>
      </w:rPr>
    </w:lvl>
    <w:lvl w:ilvl="8" w:tplc="300A0005">
      <w:start w:val="1"/>
      <w:numFmt w:val="bullet"/>
      <w:lvlText w:val=""/>
      <w:lvlJc w:val="left"/>
      <w:pPr>
        <w:ind w:left="7585" w:hanging="360"/>
      </w:pPr>
      <w:rPr>
        <w:rFonts w:ascii="Wingdings" w:hAnsi="Wingdings" w:hint="default"/>
      </w:rPr>
    </w:lvl>
  </w:abstractNum>
  <w:abstractNum w:abstractNumId="32" w15:restartNumberingAfterBreak="0">
    <w:nsid w:val="5DF704CF"/>
    <w:multiLevelType w:val="multilevel"/>
    <w:tmpl w:val="E29E6FB8"/>
    <w:lvl w:ilvl="0">
      <w:start w:val="1"/>
      <w:numFmt w:val="decimal"/>
      <w:lvlText w:val="%1."/>
      <w:lvlJc w:val="left"/>
      <w:pPr>
        <w:ind w:left="360" w:hanging="360"/>
      </w:pPr>
      <w:rPr>
        <w:rFonts w:ascii="Arial" w:hAnsi="Arial" w:hint="default"/>
        <w:b/>
        <w:i w:val="0"/>
        <w:color w:val="auto"/>
        <w:sz w:val="20"/>
      </w:rPr>
    </w:lvl>
    <w:lvl w:ilvl="1">
      <w:start w:val="1"/>
      <w:numFmt w:val="decimal"/>
      <w:lvlText w:val="%1.%2"/>
      <w:lvlJc w:val="left"/>
      <w:pPr>
        <w:ind w:left="432" w:hanging="432"/>
      </w:pPr>
      <w:rPr>
        <w:rFonts w:ascii="Arial" w:hAnsi="Arial" w:cs="Arial" w:hint="default"/>
        <w:b/>
        <w:i w:val="0"/>
        <w:sz w:val="20"/>
        <w:szCs w:val="20"/>
      </w:rPr>
    </w:lvl>
    <w:lvl w:ilvl="2">
      <w:start w:val="1"/>
      <w:numFmt w:val="decimal"/>
      <w:lvlText w:val="%1.%2.%3"/>
      <w:lvlJc w:val="left"/>
      <w:pPr>
        <w:ind w:left="1214" w:hanging="504"/>
      </w:pPr>
      <w:rPr>
        <w:rFonts w:hint="default"/>
        <w:b/>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460C60"/>
    <w:multiLevelType w:val="hybridMultilevel"/>
    <w:tmpl w:val="8084B65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64F43E45"/>
    <w:multiLevelType w:val="multilevel"/>
    <w:tmpl w:val="DE6691BE"/>
    <w:lvl w:ilvl="0">
      <w:start w:val="1"/>
      <w:numFmt w:val="decimal"/>
      <w:lvlText w:val="3.%1"/>
      <w:lvlJc w:val="left"/>
      <w:pPr>
        <w:ind w:left="720" w:hanging="360"/>
      </w:pPr>
      <w:rPr>
        <w:rFonts w:ascii="Verdana" w:hAnsi="Verdana" w:hint="default"/>
        <w:b/>
        <w:i/>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C2B0361"/>
    <w:multiLevelType w:val="multilevel"/>
    <w:tmpl w:val="DB2240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7762C4"/>
    <w:multiLevelType w:val="hybridMultilevel"/>
    <w:tmpl w:val="99D27D64"/>
    <w:lvl w:ilvl="0" w:tplc="300A0001">
      <w:start w:val="1"/>
      <w:numFmt w:val="bullet"/>
      <w:lvlText w:val=""/>
      <w:lvlJc w:val="left"/>
      <w:pPr>
        <w:ind w:left="1287" w:hanging="360"/>
      </w:pPr>
      <w:rPr>
        <w:rFonts w:ascii="Symbol" w:hAnsi="Symbol" w:hint="default"/>
      </w:rPr>
    </w:lvl>
    <w:lvl w:ilvl="1" w:tplc="300A0003">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7" w15:restartNumberingAfterBreak="0">
    <w:nsid w:val="6D911132"/>
    <w:multiLevelType w:val="hybridMultilevel"/>
    <w:tmpl w:val="C1289458"/>
    <w:lvl w:ilvl="0" w:tplc="D53864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3E6711"/>
    <w:multiLevelType w:val="hybridMultilevel"/>
    <w:tmpl w:val="5C628990"/>
    <w:lvl w:ilvl="0" w:tplc="7F8ECD6C">
      <w:numFmt w:val="bullet"/>
      <w:lvlText w:val="﷐"/>
      <w:lvlJc w:val="left"/>
      <w:pPr>
        <w:ind w:left="720" w:hanging="360"/>
      </w:pPr>
      <w:rPr>
        <w:rFonts w:ascii="Arial" w:eastAsia="Arial Unicode MS"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AFB32E9"/>
    <w:multiLevelType w:val="hybridMultilevel"/>
    <w:tmpl w:val="B82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56033"/>
    <w:multiLevelType w:val="multilevel"/>
    <w:tmpl w:val="70E0B0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765937"/>
    <w:multiLevelType w:val="hybridMultilevel"/>
    <w:tmpl w:val="A68A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
  </w:num>
  <w:num w:numId="3">
    <w:abstractNumId w:val="16"/>
  </w:num>
  <w:num w:numId="4">
    <w:abstractNumId w:val="12"/>
  </w:num>
  <w:num w:numId="5">
    <w:abstractNumId w:val="36"/>
  </w:num>
  <w:num w:numId="6">
    <w:abstractNumId w:val="15"/>
  </w:num>
  <w:num w:numId="7">
    <w:abstractNumId w:val="21"/>
  </w:num>
  <w:num w:numId="8">
    <w:abstractNumId w:val="10"/>
  </w:num>
  <w:num w:numId="9">
    <w:abstractNumId w:val="1"/>
  </w:num>
  <w:num w:numId="10">
    <w:abstractNumId w:val="38"/>
  </w:num>
  <w:num w:numId="11">
    <w:abstractNumId w:val="14"/>
  </w:num>
  <w:num w:numId="12">
    <w:abstractNumId w:val="19"/>
  </w:num>
  <w:num w:numId="13">
    <w:abstractNumId w:val="7"/>
  </w:num>
  <w:num w:numId="14">
    <w:abstractNumId w:val="35"/>
  </w:num>
  <w:num w:numId="15">
    <w:abstractNumId w:val="5"/>
  </w:num>
  <w:num w:numId="16">
    <w:abstractNumId w:val="30"/>
  </w:num>
  <w:num w:numId="17">
    <w:abstractNumId w:val="24"/>
  </w:num>
  <w:num w:numId="18">
    <w:abstractNumId w:val="31"/>
  </w:num>
  <w:num w:numId="19">
    <w:abstractNumId w:val="17"/>
  </w:num>
  <w:num w:numId="20">
    <w:abstractNumId w:val="20"/>
  </w:num>
  <w:num w:numId="21">
    <w:abstractNumId w:val="40"/>
  </w:num>
  <w:num w:numId="22">
    <w:abstractNumId w:val="39"/>
  </w:num>
  <w:num w:numId="23">
    <w:abstractNumId w:val="34"/>
  </w:num>
  <w:num w:numId="24">
    <w:abstractNumId w:val="41"/>
  </w:num>
  <w:num w:numId="25">
    <w:abstractNumId w:val="28"/>
  </w:num>
  <w:num w:numId="26">
    <w:abstractNumId w:val="8"/>
  </w:num>
  <w:num w:numId="27">
    <w:abstractNumId w:val="26"/>
  </w:num>
  <w:num w:numId="28">
    <w:abstractNumId w:val="9"/>
  </w:num>
  <w:num w:numId="29">
    <w:abstractNumId w:val="18"/>
  </w:num>
  <w:num w:numId="30">
    <w:abstractNumId w:val="23"/>
  </w:num>
  <w:num w:numId="31">
    <w:abstractNumId w:val="29"/>
  </w:num>
  <w:num w:numId="32">
    <w:abstractNumId w:val="0"/>
  </w:num>
  <w:num w:numId="33">
    <w:abstractNumId w:val="25"/>
  </w:num>
  <w:num w:numId="34">
    <w:abstractNumId w:val="11"/>
  </w:num>
  <w:num w:numId="35">
    <w:abstractNumId w:val="33"/>
  </w:num>
  <w:num w:numId="36">
    <w:abstractNumId w:val="27"/>
  </w:num>
  <w:num w:numId="37">
    <w:abstractNumId w:val="22"/>
  </w:num>
  <w:num w:numId="38">
    <w:abstractNumId w:val="37"/>
  </w:num>
  <w:num w:numId="39">
    <w:abstractNumId w:val="13"/>
  </w:num>
  <w:num w:numId="40">
    <w:abstractNumId w:val="6"/>
  </w:num>
  <w:num w:numId="41">
    <w:abstractNumId w:val="2"/>
  </w:num>
  <w:num w:numId="4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C" w:vendorID="64" w:dllVersion="6" w:nlCheck="1" w:checkStyle="0"/>
  <w:activeWritingStyle w:appName="MSWord" w:lang="es-MX"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VE" w:vendorID="64" w:dllVersion="6" w:nlCheck="1" w:checkStyle="0"/>
  <w:activeWritingStyle w:appName="MSWord" w:lang="es-EC"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VE" w:vendorID="64" w:dllVersion="4096" w:nlCheck="1" w:checkStyle="0"/>
  <w:activeWritingStyle w:appName="MSWord" w:lang="es-AR" w:vendorID="64" w:dllVersion="4096" w:nlCheck="1" w:checkStyle="0"/>
  <w:activeWritingStyle w:appName="MSWord" w:lang="es-AR" w:vendorID="64" w:dllVersion="6" w:nlCheck="1" w:checkStyle="0"/>
  <w:activeWritingStyle w:appName="MSWord" w:lang="es-EC"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MX"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activeWritingStyle w:appName="MSWord" w:lang="es-419" w:vendorID="64" w:dllVersion="0" w:nlCheck="1" w:checkStyle="0"/>
  <w:activeWritingStyle w:appName="MSWord" w:lang="es-419"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A3"/>
    <w:rsid w:val="000004EE"/>
    <w:rsid w:val="00000ED8"/>
    <w:rsid w:val="000024ED"/>
    <w:rsid w:val="000028B0"/>
    <w:rsid w:val="00002D77"/>
    <w:rsid w:val="00002EC8"/>
    <w:rsid w:val="00003372"/>
    <w:rsid w:val="00003659"/>
    <w:rsid w:val="00003934"/>
    <w:rsid w:val="000040B2"/>
    <w:rsid w:val="00006510"/>
    <w:rsid w:val="0000715D"/>
    <w:rsid w:val="0000752A"/>
    <w:rsid w:val="000079AD"/>
    <w:rsid w:val="00010174"/>
    <w:rsid w:val="00010858"/>
    <w:rsid w:val="00010E49"/>
    <w:rsid w:val="0001171A"/>
    <w:rsid w:val="00011BB5"/>
    <w:rsid w:val="00011E45"/>
    <w:rsid w:val="00011EB6"/>
    <w:rsid w:val="00011EEE"/>
    <w:rsid w:val="00011F5E"/>
    <w:rsid w:val="00012090"/>
    <w:rsid w:val="00012122"/>
    <w:rsid w:val="00012F11"/>
    <w:rsid w:val="000138D3"/>
    <w:rsid w:val="00013D51"/>
    <w:rsid w:val="00013F74"/>
    <w:rsid w:val="0001455C"/>
    <w:rsid w:val="000147A6"/>
    <w:rsid w:val="00015474"/>
    <w:rsid w:val="0001574C"/>
    <w:rsid w:val="00016051"/>
    <w:rsid w:val="0001606B"/>
    <w:rsid w:val="00017054"/>
    <w:rsid w:val="0001721A"/>
    <w:rsid w:val="0001734D"/>
    <w:rsid w:val="000177FC"/>
    <w:rsid w:val="000204B0"/>
    <w:rsid w:val="0002119C"/>
    <w:rsid w:val="00021208"/>
    <w:rsid w:val="0002188D"/>
    <w:rsid w:val="00021910"/>
    <w:rsid w:val="00022527"/>
    <w:rsid w:val="00022579"/>
    <w:rsid w:val="000227F9"/>
    <w:rsid w:val="00022EA3"/>
    <w:rsid w:val="00022F20"/>
    <w:rsid w:val="00023087"/>
    <w:rsid w:val="00023594"/>
    <w:rsid w:val="00023988"/>
    <w:rsid w:val="00023A95"/>
    <w:rsid w:val="00023B71"/>
    <w:rsid w:val="000242AA"/>
    <w:rsid w:val="00024463"/>
    <w:rsid w:val="00024B72"/>
    <w:rsid w:val="0002543C"/>
    <w:rsid w:val="000255F6"/>
    <w:rsid w:val="00025A1A"/>
    <w:rsid w:val="00025C45"/>
    <w:rsid w:val="0002640C"/>
    <w:rsid w:val="000264F6"/>
    <w:rsid w:val="00026606"/>
    <w:rsid w:val="00026EC3"/>
    <w:rsid w:val="000276F1"/>
    <w:rsid w:val="0003040F"/>
    <w:rsid w:val="000304AF"/>
    <w:rsid w:val="00030C27"/>
    <w:rsid w:val="00031199"/>
    <w:rsid w:val="0003154B"/>
    <w:rsid w:val="0003162E"/>
    <w:rsid w:val="00031908"/>
    <w:rsid w:val="0003196D"/>
    <w:rsid w:val="00031DCF"/>
    <w:rsid w:val="00032117"/>
    <w:rsid w:val="0003261F"/>
    <w:rsid w:val="00032AF9"/>
    <w:rsid w:val="00032BA1"/>
    <w:rsid w:val="00033856"/>
    <w:rsid w:val="00033DAE"/>
    <w:rsid w:val="0003423B"/>
    <w:rsid w:val="000347FD"/>
    <w:rsid w:val="000349A2"/>
    <w:rsid w:val="000352EC"/>
    <w:rsid w:val="000355CF"/>
    <w:rsid w:val="000359BC"/>
    <w:rsid w:val="00035D6C"/>
    <w:rsid w:val="0003710B"/>
    <w:rsid w:val="000373AB"/>
    <w:rsid w:val="0003754C"/>
    <w:rsid w:val="00037C27"/>
    <w:rsid w:val="000400E2"/>
    <w:rsid w:val="00040738"/>
    <w:rsid w:val="000409F2"/>
    <w:rsid w:val="00040EBD"/>
    <w:rsid w:val="00040F2B"/>
    <w:rsid w:val="00041231"/>
    <w:rsid w:val="000422B8"/>
    <w:rsid w:val="00042CF7"/>
    <w:rsid w:val="00042D35"/>
    <w:rsid w:val="00042E95"/>
    <w:rsid w:val="00043415"/>
    <w:rsid w:val="000437C1"/>
    <w:rsid w:val="000448EF"/>
    <w:rsid w:val="0004555E"/>
    <w:rsid w:val="00045690"/>
    <w:rsid w:val="0004574D"/>
    <w:rsid w:val="00045961"/>
    <w:rsid w:val="0004635C"/>
    <w:rsid w:val="00046523"/>
    <w:rsid w:val="00046AD0"/>
    <w:rsid w:val="00046FCA"/>
    <w:rsid w:val="00047355"/>
    <w:rsid w:val="00047599"/>
    <w:rsid w:val="00047B00"/>
    <w:rsid w:val="000501A0"/>
    <w:rsid w:val="00050520"/>
    <w:rsid w:val="0005191A"/>
    <w:rsid w:val="00051B87"/>
    <w:rsid w:val="0005271E"/>
    <w:rsid w:val="00052C9D"/>
    <w:rsid w:val="00052E2B"/>
    <w:rsid w:val="00052F33"/>
    <w:rsid w:val="00052F7B"/>
    <w:rsid w:val="00052F85"/>
    <w:rsid w:val="000536B6"/>
    <w:rsid w:val="0005378D"/>
    <w:rsid w:val="00053BA9"/>
    <w:rsid w:val="00054034"/>
    <w:rsid w:val="00054729"/>
    <w:rsid w:val="00054AC1"/>
    <w:rsid w:val="0005523E"/>
    <w:rsid w:val="00055A2D"/>
    <w:rsid w:val="00055E68"/>
    <w:rsid w:val="000563F4"/>
    <w:rsid w:val="00056551"/>
    <w:rsid w:val="00056638"/>
    <w:rsid w:val="0005680E"/>
    <w:rsid w:val="0005730C"/>
    <w:rsid w:val="0005736D"/>
    <w:rsid w:val="0005775D"/>
    <w:rsid w:val="0005797C"/>
    <w:rsid w:val="00057C28"/>
    <w:rsid w:val="00060532"/>
    <w:rsid w:val="0006062A"/>
    <w:rsid w:val="00060CF2"/>
    <w:rsid w:val="00060EAA"/>
    <w:rsid w:val="00061062"/>
    <w:rsid w:val="00061443"/>
    <w:rsid w:val="00061D1C"/>
    <w:rsid w:val="00061F09"/>
    <w:rsid w:val="00062140"/>
    <w:rsid w:val="00062915"/>
    <w:rsid w:val="00062A14"/>
    <w:rsid w:val="00063380"/>
    <w:rsid w:val="000637E1"/>
    <w:rsid w:val="00064C65"/>
    <w:rsid w:val="00065D69"/>
    <w:rsid w:val="00065F4B"/>
    <w:rsid w:val="0006630D"/>
    <w:rsid w:val="000663CD"/>
    <w:rsid w:val="00067110"/>
    <w:rsid w:val="0006711B"/>
    <w:rsid w:val="000673C8"/>
    <w:rsid w:val="00067489"/>
    <w:rsid w:val="000707EC"/>
    <w:rsid w:val="00070E24"/>
    <w:rsid w:val="0007106F"/>
    <w:rsid w:val="000711C3"/>
    <w:rsid w:val="000714C5"/>
    <w:rsid w:val="00071740"/>
    <w:rsid w:val="000719A4"/>
    <w:rsid w:val="00071ADC"/>
    <w:rsid w:val="00071ADF"/>
    <w:rsid w:val="00072189"/>
    <w:rsid w:val="000721D3"/>
    <w:rsid w:val="00072A44"/>
    <w:rsid w:val="000733EB"/>
    <w:rsid w:val="000741F6"/>
    <w:rsid w:val="0007429A"/>
    <w:rsid w:val="00074885"/>
    <w:rsid w:val="0007492F"/>
    <w:rsid w:val="00074B94"/>
    <w:rsid w:val="00074C9A"/>
    <w:rsid w:val="00074D7D"/>
    <w:rsid w:val="0007536B"/>
    <w:rsid w:val="00075805"/>
    <w:rsid w:val="00075AEA"/>
    <w:rsid w:val="00075C68"/>
    <w:rsid w:val="00075E1B"/>
    <w:rsid w:val="00075EF8"/>
    <w:rsid w:val="00075F87"/>
    <w:rsid w:val="000769A7"/>
    <w:rsid w:val="00076C15"/>
    <w:rsid w:val="00076D3F"/>
    <w:rsid w:val="0007717D"/>
    <w:rsid w:val="000773A9"/>
    <w:rsid w:val="00077782"/>
    <w:rsid w:val="00077A8E"/>
    <w:rsid w:val="0008047E"/>
    <w:rsid w:val="0008058B"/>
    <w:rsid w:val="000808E5"/>
    <w:rsid w:val="00081B76"/>
    <w:rsid w:val="00081D02"/>
    <w:rsid w:val="00082286"/>
    <w:rsid w:val="000825BD"/>
    <w:rsid w:val="00082AD0"/>
    <w:rsid w:val="00082CFB"/>
    <w:rsid w:val="000832AE"/>
    <w:rsid w:val="00084030"/>
    <w:rsid w:val="00084A00"/>
    <w:rsid w:val="00084E64"/>
    <w:rsid w:val="00085025"/>
    <w:rsid w:val="0008547E"/>
    <w:rsid w:val="00085580"/>
    <w:rsid w:val="0008575E"/>
    <w:rsid w:val="00085DFA"/>
    <w:rsid w:val="00086464"/>
    <w:rsid w:val="00086ED9"/>
    <w:rsid w:val="00086F94"/>
    <w:rsid w:val="00087E1D"/>
    <w:rsid w:val="0009052F"/>
    <w:rsid w:val="000910D2"/>
    <w:rsid w:val="00091C63"/>
    <w:rsid w:val="00091D55"/>
    <w:rsid w:val="00092026"/>
    <w:rsid w:val="000921F4"/>
    <w:rsid w:val="000925C5"/>
    <w:rsid w:val="000928B8"/>
    <w:rsid w:val="000929F7"/>
    <w:rsid w:val="00092ADF"/>
    <w:rsid w:val="00092B16"/>
    <w:rsid w:val="000937E1"/>
    <w:rsid w:val="00093AF7"/>
    <w:rsid w:val="0009419B"/>
    <w:rsid w:val="00094F88"/>
    <w:rsid w:val="00095194"/>
    <w:rsid w:val="000952F0"/>
    <w:rsid w:val="000957A2"/>
    <w:rsid w:val="000967FC"/>
    <w:rsid w:val="00096E9D"/>
    <w:rsid w:val="00096F0D"/>
    <w:rsid w:val="0009783F"/>
    <w:rsid w:val="00097B71"/>
    <w:rsid w:val="00097CE4"/>
    <w:rsid w:val="000A1145"/>
    <w:rsid w:val="000A1471"/>
    <w:rsid w:val="000A19FE"/>
    <w:rsid w:val="000A1DB4"/>
    <w:rsid w:val="000A1FF4"/>
    <w:rsid w:val="000A2172"/>
    <w:rsid w:val="000A23C6"/>
    <w:rsid w:val="000A2568"/>
    <w:rsid w:val="000A2624"/>
    <w:rsid w:val="000A2678"/>
    <w:rsid w:val="000A2BFF"/>
    <w:rsid w:val="000A3766"/>
    <w:rsid w:val="000A376E"/>
    <w:rsid w:val="000A37DE"/>
    <w:rsid w:val="000A412A"/>
    <w:rsid w:val="000A44FF"/>
    <w:rsid w:val="000A46C6"/>
    <w:rsid w:val="000A476D"/>
    <w:rsid w:val="000A4C48"/>
    <w:rsid w:val="000A5C9E"/>
    <w:rsid w:val="000A6880"/>
    <w:rsid w:val="000A688C"/>
    <w:rsid w:val="000A6E4A"/>
    <w:rsid w:val="000A7178"/>
    <w:rsid w:val="000B04DB"/>
    <w:rsid w:val="000B0758"/>
    <w:rsid w:val="000B21B5"/>
    <w:rsid w:val="000B22DF"/>
    <w:rsid w:val="000B22FB"/>
    <w:rsid w:val="000B2A43"/>
    <w:rsid w:val="000B3C0E"/>
    <w:rsid w:val="000B56AA"/>
    <w:rsid w:val="000B6205"/>
    <w:rsid w:val="000B6E46"/>
    <w:rsid w:val="000B7125"/>
    <w:rsid w:val="000B784D"/>
    <w:rsid w:val="000B7D73"/>
    <w:rsid w:val="000B7F52"/>
    <w:rsid w:val="000C0019"/>
    <w:rsid w:val="000C036F"/>
    <w:rsid w:val="000C0B4C"/>
    <w:rsid w:val="000C0B91"/>
    <w:rsid w:val="000C18E5"/>
    <w:rsid w:val="000C27A9"/>
    <w:rsid w:val="000C29DA"/>
    <w:rsid w:val="000C3326"/>
    <w:rsid w:val="000C398F"/>
    <w:rsid w:val="000C3E1A"/>
    <w:rsid w:val="000C3F59"/>
    <w:rsid w:val="000C4726"/>
    <w:rsid w:val="000C4824"/>
    <w:rsid w:val="000C49CF"/>
    <w:rsid w:val="000C4F0C"/>
    <w:rsid w:val="000C5D85"/>
    <w:rsid w:val="000C6036"/>
    <w:rsid w:val="000C6452"/>
    <w:rsid w:val="000C679D"/>
    <w:rsid w:val="000C691C"/>
    <w:rsid w:val="000C73AA"/>
    <w:rsid w:val="000C7415"/>
    <w:rsid w:val="000C7981"/>
    <w:rsid w:val="000D033A"/>
    <w:rsid w:val="000D05E9"/>
    <w:rsid w:val="000D08D9"/>
    <w:rsid w:val="000D1002"/>
    <w:rsid w:val="000D108D"/>
    <w:rsid w:val="000D111B"/>
    <w:rsid w:val="000D12E2"/>
    <w:rsid w:val="000D1F39"/>
    <w:rsid w:val="000D20ED"/>
    <w:rsid w:val="000D26AD"/>
    <w:rsid w:val="000D2A7A"/>
    <w:rsid w:val="000D3255"/>
    <w:rsid w:val="000D37EA"/>
    <w:rsid w:val="000D3938"/>
    <w:rsid w:val="000D3947"/>
    <w:rsid w:val="000D3B0D"/>
    <w:rsid w:val="000D3F6C"/>
    <w:rsid w:val="000D439A"/>
    <w:rsid w:val="000D4686"/>
    <w:rsid w:val="000D4883"/>
    <w:rsid w:val="000D4AAA"/>
    <w:rsid w:val="000D4C95"/>
    <w:rsid w:val="000D4CA7"/>
    <w:rsid w:val="000D61E0"/>
    <w:rsid w:val="000D6515"/>
    <w:rsid w:val="000D67E2"/>
    <w:rsid w:val="000D6B84"/>
    <w:rsid w:val="000D7336"/>
    <w:rsid w:val="000D7665"/>
    <w:rsid w:val="000E000A"/>
    <w:rsid w:val="000E0706"/>
    <w:rsid w:val="000E0716"/>
    <w:rsid w:val="000E075F"/>
    <w:rsid w:val="000E0D3E"/>
    <w:rsid w:val="000E1388"/>
    <w:rsid w:val="000E14D9"/>
    <w:rsid w:val="000E18B5"/>
    <w:rsid w:val="000E1EE1"/>
    <w:rsid w:val="000E2149"/>
    <w:rsid w:val="000E269D"/>
    <w:rsid w:val="000E2AE6"/>
    <w:rsid w:val="000E2B6A"/>
    <w:rsid w:val="000E3230"/>
    <w:rsid w:val="000E3487"/>
    <w:rsid w:val="000E3FA6"/>
    <w:rsid w:val="000E4961"/>
    <w:rsid w:val="000E4D6D"/>
    <w:rsid w:val="000E5A8C"/>
    <w:rsid w:val="000E6350"/>
    <w:rsid w:val="000E6E1D"/>
    <w:rsid w:val="000E7E15"/>
    <w:rsid w:val="000F0711"/>
    <w:rsid w:val="000F078A"/>
    <w:rsid w:val="000F0FE3"/>
    <w:rsid w:val="000F15B0"/>
    <w:rsid w:val="000F199D"/>
    <w:rsid w:val="000F1D70"/>
    <w:rsid w:val="000F24D2"/>
    <w:rsid w:val="000F24E2"/>
    <w:rsid w:val="000F2EBE"/>
    <w:rsid w:val="000F31A0"/>
    <w:rsid w:val="000F3906"/>
    <w:rsid w:val="000F3C2B"/>
    <w:rsid w:val="000F4234"/>
    <w:rsid w:val="000F4CFF"/>
    <w:rsid w:val="000F4D07"/>
    <w:rsid w:val="000F4F75"/>
    <w:rsid w:val="000F5329"/>
    <w:rsid w:val="000F5586"/>
    <w:rsid w:val="000F6107"/>
    <w:rsid w:val="000F68D1"/>
    <w:rsid w:val="000F6A8B"/>
    <w:rsid w:val="000F6DFA"/>
    <w:rsid w:val="000F7084"/>
    <w:rsid w:val="000F7A2D"/>
    <w:rsid w:val="000F7C2F"/>
    <w:rsid w:val="00100602"/>
    <w:rsid w:val="00100720"/>
    <w:rsid w:val="001009DB"/>
    <w:rsid w:val="00100E4E"/>
    <w:rsid w:val="00101A5C"/>
    <w:rsid w:val="00101C6E"/>
    <w:rsid w:val="00101F38"/>
    <w:rsid w:val="00102A11"/>
    <w:rsid w:val="00102AB3"/>
    <w:rsid w:val="00102C92"/>
    <w:rsid w:val="001035C3"/>
    <w:rsid w:val="00103751"/>
    <w:rsid w:val="00104117"/>
    <w:rsid w:val="0010445D"/>
    <w:rsid w:val="001044C6"/>
    <w:rsid w:val="00104533"/>
    <w:rsid w:val="0010466F"/>
    <w:rsid w:val="00104B8E"/>
    <w:rsid w:val="00104BB6"/>
    <w:rsid w:val="00105C65"/>
    <w:rsid w:val="00106056"/>
    <w:rsid w:val="00106442"/>
    <w:rsid w:val="00106789"/>
    <w:rsid w:val="0010678C"/>
    <w:rsid w:val="001067FB"/>
    <w:rsid w:val="00106E29"/>
    <w:rsid w:val="0010708A"/>
    <w:rsid w:val="001078D5"/>
    <w:rsid w:val="00107EC6"/>
    <w:rsid w:val="00110579"/>
    <w:rsid w:val="00110958"/>
    <w:rsid w:val="0011235E"/>
    <w:rsid w:val="0011267D"/>
    <w:rsid w:val="00112704"/>
    <w:rsid w:val="00112AC3"/>
    <w:rsid w:val="00112C4B"/>
    <w:rsid w:val="001131B5"/>
    <w:rsid w:val="001135C1"/>
    <w:rsid w:val="00113BE5"/>
    <w:rsid w:val="001148B1"/>
    <w:rsid w:val="00114ED4"/>
    <w:rsid w:val="001152A5"/>
    <w:rsid w:val="001152E6"/>
    <w:rsid w:val="0011575B"/>
    <w:rsid w:val="00116251"/>
    <w:rsid w:val="00116717"/>
    <w:rsid w:val="00116905"/>
    <w:rsid w:val="00116C71"/>
    <w:rsid w:val="00117409"/>
    <w:rsid w:val="00117E39"/>
    <w:rsid w:val="00120947"/>
    <w:rsid w:val="00120B8E"/>
    <w:rsid w:val="001218DE"/>
    <w:rsid w:val="00121C7F"/>
    <w:rsid w:val="0012230F"/>
    <w:rsid w:val="00122394"/>
    <w:rsid w:val="00122499"/>
    <w:rsid w:val="001224E8"/>
    <w:rsid w:val="001225C5"/>
    <w:rsid w:val="00122A3E"/>
    <w:rsid w:val="00122CA0"/>
    <w:rsid w:val="00123DFF"/>
    <w:rsid w:val="00124628"/>
    <w:rsid w:val="00124837"/>
    <w:rsid w:val="00124A71"/>
    <w:rsid w:val="00124E02"/>
    <w:rsid w:val="001260D1"/>
    <w:rsid w:val="00126934"/>
    <w:rsid w:val="00126C6C"/>
    <w:rsid w:val="00127117"/>
    <w:rsid w:val="00127973"/>
    <w:rsid w:val="00127C9E"/>
    <w:rsid w:val="00127E08"/>
    <w:rsid w:val="00130158"/>
    <w:rsid w:val="00130797"/>
    <w:rsid w:val="00130A2D"/>
    <w:rsid w:val="00130EF4"/>
    <w:rsid w:val="001314D6"/>
    <w:rsid w:val="00131551"/>
    <w:rsid w:val="00132FE7"/>
    <w:rsid w:val="0013319E"/>
    <w:rsid w:val="001334E0"/>
    <w:rsid w:val="001335E6"/>
    <w:rsid w:val="00133753"/>
    <w:rsid w:val="0013389E"/>
    <w:rsid w:val="00133C7A"/>
    <w:rsid w:val="00134763"/>
    <w:rsid w:val="0013484E"/>
    <w:rsid w:val="00134857"/>
    <w:rsid w:val="001348A3"/>
    <w:rsid w:val="00134C69"/>
    <w:rsid w:val="00135254"/>
    <w:rsid w:val="001360A2"/>
    <w:rsid w:val="00136B25"/>
    <w:rsid w:val="00136B48"/>
    <w:rsid w:val="00136D66"/>
    <w:rsid w:val="00137750"/>
    <w:rsid w:val="00137E3E"/>
    <w:rsid w:val="00137ECC"/>
    <w:rsid w:val="00140798"/>
    <w:rsid w:val="00140D07"/>
    <w:rsid w:val="00140D30"/>
    <w:rsid w:val="001410C9"/>
    <w:rsid w:val="001414C8"/>
    <w:rsid w:val="00141A3B"/>
    <w:rsid w:val="00142460"/>
    <w:rsid w:val="001425AC"/>
    <w:rsid w:val="00142AF8"/>
    <w:rsid w:val="00143209"/>
    <w:rsid w:val="00143BDD"/>
    <w:rsid w:val="00143C00"/>
    <w:rsid w:val="00143F93"/>
    <w:rsid w:val="00144098"/>
    <w:rsid w:val="001441BF"/>
    <w:rsid w:val="00144452"/>
    <w:rsid w:val="0014495C"/>
    <w:rsid w:val="00145446"/>
    <w:rsid w:val="001454D1"/>
    <w:rsid w:val="001455A2"/>
    <w:rsid w:val="001455E8"/>
    <w:rsid w:val="001456F9"/>
    <w:rsid w:val="001457B7"/>
    <w:rsid w:val="00146442"/>
    <w:rsid w:val="00146488"/>
    <w:rsid w:val="00146E70"/>
    <w:rsid w:val="00147242"/>
    <w:rsid w:val="001479DF"/>
    <w:rsid w:val="00147D38"/>
    <w:rsid w:val="00147F43"/>
    <w:rsid w:val="0015050B"/>
    <w:rsid w:val="00150868"/>
    <w:rsid w:val="00150A27"/>
    <w:rsid w:val="00150F85"/>
    <w:rsid w:val="001513C4"/>
    <w:rsid w:val="00151B62"/>
    <w:rsid w:val="00152684"/>
    <w:rsid w:val="00152C07"/>
    <w:rsid w:val="00153203"/>
    <w:rsid w:val="001534C7"/>
    <w:rsid w:val="001536A1"/>
    <w:rsid w:val="00153758"/>
    <w:rsid w:val="00153C78"/>
    <w:rsid w:val="001546E3"/>
    <w:rsid w:val="00154C0F"/>
    <w:rsid w:val="00154CA7"/>
    <w:rsid w:val="0015523C"/>
    <w:rsid w:val="0015557E"/>
    <w:rsid w:val="0015599D"/>
    <w:rsid w:val="001560C1"/>
    <w:rsid w:val="0015630F"/>
    <w:rsid w:val="0015636E"/>
    <w:rsid w:val="00156913"/>
    <w:rsid w:val="00156DAE"/>
    <w:rsid w:val="00156DB3"/>
    <w:rsid w:val="00157772"/>
    <w:rsid w:val="001600BC"/>
    <w:rsid w:val="00160268"/>
    <w:rsid w:val="00160FE7"/>
    <w:rsid w:val="00161275"/>
    <w:rsid w:val="00161391"/>
    <w:rsid w:val="001623EC"/>
    <w:rsid w:val="001629B0"/>
    <w:rsid w:val="00163123"/>
    <w:rsid w:val="001635A5"/>
    <w:rsid w:val="00163A18"/>
    <w:rsid w:val="00163B6D"/>
    <w:rsid w:val="00163D1C"/>
    <w:rsid w:val="00163DF5"/>
    <w:rsid w:val="0016463C"/>
    <w:rsid w:val="00164C1F"/>
    <w:rsid w:val="00164E40"/>
    <w:rsid w:val="00164E72"/>
    <w:rsid w:val="00165632"/>
    <w:rsid w:val="00165874"/>
    <w:rsid w:val="00165DEC"/>
    <w:rsid w:val="001662C7"/>
    <w:rsid w:val="0016696F"/>
    <w:rsid w:val="00166D7F"/>
    <w:rsid w:val="0016772E"/>
    <w:rsid w:val="00167B1D"/>
    <w:rsid w:val="00167DE3"/>
    <w:rsid w:val="001700C7"/>
    <w:rsid w:val="0017052A"/>
    <w:rsid w:val="001708D4"/>
    <w:rsid w:val="00170994"/>
    <w:rsid w:val="00170ADE"/>
    <w:rsid w:val="0017199C"/>
    <w:rsid w:val="00171A25"/>
    <w:rsid w:val="0017299D"/>
    <w:rsid w:val="00173284"/>
    <w:rsid w:val="00173434"/>
    <w:rsid w:val="00173740"/>
    <w:rsid w:val="001737F0"/>
    <w:rsid w:val="001737F1"/>
    <w:rsid w:val="001738FA"/>
    <w:rsid w:val="00173C43"/>
    <w:rsid w:val="001751D0"/>
    <w:rsid w:val="00175644"/>
    <w:rsid w:val="001757BB"/>
    <w:rsid w:val="00176704"/>
    <w:rsid w:val="0017722B"/>
    <w:rsid w:val="0017767B"/>
    <w:rsid w:val="00177C07"/>
    <w:rsid w:val="00180531"/>
    <w:rsid w:val="00180864"/>
    <w:rsid w:val="00180BF1"/>
    <w:rsid w:val="00180D70"/>
    <w:rsid w:val="00181167"/>
    <w:rsid w:val="001812D5"/>
    <w:rsid w:val="001813EB"/>
    <w:rsid w:val="0018145D"/>
    <w:rsid w:val="00181837"/>
    <w:rsid w:val="00181E8A"/>
    <w:rsid w:val="00181F86"/>
    <w:rsid w:val="001821CC"/>
    <w:rsid w:val="0018264F"/>
    <w:rsid w:val="0018327A"/>
    <w:rsid w:val="0018366A"/>
    <w:rsid w:val="00183876"/>
    <w:rsid w:val="00183B2A"/>
    <w:rsid w:val="0018442C"/>
    <w:rsid w:val="001849C9"/>
    <w:rsid w:val="001849F0"/>
    <w:rsid w:val="00184E22"/>
    <w:rsid w:val="00184E7C"/>
    <w:rsid w:val="0018514E"/>
    <w:rsid w:val="00185476"/>
    <w:rsid w:val="001856BF"/>
    <w:rsid w:val="00185EB9"/>
    <w:rsid w:val="00186315"/>
    <w:rsid w:val="0018661B"/>
    <w:rsid w:val="0018671D"/>
    <w:rsid w:val="0018694A"/>
    <w:rsid w:val="00186B48"/>
    <w:rsid w:val="00186B55"/>
    <w:rsid w:val="00186F96"/>
    <w:rsid w:val="00187844"/>
    <w:rsid w:val="00187F5F"/>
    <w:rsid w:val="00190769"/>
    <w:rsid w:val="0019094B"/>
    <w:rsid w:val="00190F5D"/>
    <w:rsid w:val="001911C2"/>
    <w:rsid w:val="001912A1"/>
    <w:rsid w:val="0019130A"/>
    <w:rsid w:val="0019218D"/>
    <w:rsid w:val="00192A09"/>
    <w:rsid w:val="00192DD6"/>
    <w:rsid w:val="0019301B"/>
    <w:rsid w:val="00193FAE"/>
    <w:rsid w:val="00194E76"/>
    <w:rsid w:val="0019512B"/>
    <w:rsid w:val="0019530B"/>
    <w:rsid w:val="001956F5"/>
    <w:rsid w:val="00195EA9"/>
    <w:rsid w:val="00196308"/>
    <w:rsid w:val="001967D4"/>
    <w:rsid w:val="001968DF"/>
    <w:rsid w:val="00196B9B"/>
    <w:rsid w:val="00197337"/>
    <w:rsid w:val="00197561"/>
    <w:rsid w:val="00197899"/>
    <w:rsid w:val="00197CC1"/>
    <w:rsid w:val="001A0C7C"/>
    <w:rsid w:val="001A0CB1"/>
    <w:rsid w:val="001A180D"/>
    <w:rsid w:val="001A27FA"/>
    <w:rsid w:val="001A2E83"/>
    <w:rsid w:val="001A321F"/>
    <w:rsid w:val="001A343B"/>
    <w:rsid w:val="001A3653"/>
    <w:rsid w:val="001A3E77"/>
    <w:rsid w:val="001A3F6E"/>
    <w:rsid w:val="001A432D"/>
    <w:rsid w:val="001A4EA9"/>
    <w:rsid w:val="001A515A"/>
    <w:rsid w:val="001A51AE"/>
    <w:rsid w:val="001A5810"/>
    <w:rsid w:val="001A5A59"/>
    <w:rsid w:val="001A5C06"/>
    <w:rsid w:val="001A6506"/>
    <w:rsid w:val="001A6702"/>
    <w:rsid w:val="001A67DE"/>
    <w:rsid w:val="001A682B"/>
    <w:rsid w:val="001A6AA3"/>
    <w:rsid w:val="001A6AB9"/>
    <w:rsid w:val="001A7791"/>
    <w:rsid w:val="001B0174"/>
    <w:rsid w:val="001B0333"/>
    <w:rsid w:val="001B05B0"/>
    <w:rsid w:val="001B05DF"/>
    <w:rsid w:val="001B08B1"/>
    <w:rsid w:val="001B09A4"/>
    <w:rsid w:val="001B0D35"/>
    <w:rsid w:val="001B0D72"/>
    <w:rsid w:val="001B1E25"/>
    <w:rsid w:val="001B2423"/>
    <w:rsid w:val="001B26A3"/>
    <w:rsid w:val="001B27AA"/>
    <w:rsid w:val="001B29A3"/>
    <w:rsid w:val="001B2FC3"/>
    <w:rsid w:val="001B349C"/>
    <w:rsid w:val="001B3938"/>
    <w:rsid w:val="001B3A1F"/>
    <w:rsid w:val="001B3D77"/>
    <w:rsid w:val="001B3DC9"/>
    <w:rsid w:val="001B4208"/>
    <w:rsid w:val="001B4332"/>
    <w:rsid w:val="001B448C"/>
    <w:rsid w:val="001B5083"/>
    <w:rsid w:val="001B55A3"/>
    <w:rsid w:val="001B5BEC"/>
    <w:rsid w:val="001B5E61"/>
    <w:rsid w:val="001B61AC"/>
    <w:rsid w:val="001B6221"/>
    <w:rsid w:val="001B64C2"/>
    <w:rsid w:val="001B7434"/>
    <w:rsid w:val="001B7BC8"/>
    <w:rsid w:val="001C0479"/>
    <w:rsid w:val="001C07A7"/>
    <w:rsid w:val="001C17F2"/>
    <w:rsid w:val="001C19D4"/>
    <w:rsid w:val="001C1AE4"/>
    <w:rsid w:val="001C1F1C"/>
    <w:rsid w:val="001C1FD9"/>
    <w:rsid w:val="001C23BE"/>
    <w:rsid w:val="001C24A9"/>
    <w:rsid w:val="001C2763"/>
    <w:rsid w:val="001C2882"/>
    <w:rsid w:val="001C2DEF"/>
    <w:rsid w:val="001C3064"/>
    <w:rsid w:val="001C3E1A"/>
    <w:rsid w:val="001C4677"/>
    <w:rsid w:val="001C4850"/>
    <w:rsid w:val="001C4C02"/>
    <w:rsid w:val="001C5465"/>
    <w:rsid w:val="001C5C85"/>
    <w:rsid w:val="001C6403"/>
    <w:rsid w:val="001C66B5"/>
    <w:rsid w:val="001C6C97"/>
    <w:rsid w:val="001C6CC4"/>
    <w:rsid w:val="001C6DCD"/>
    <w:rsid w:val="001C7BE9"/>
    <w:rsid w:val="001C7CB8"/>
    <w:rsid w:val="001D0071"/>
    <w:rsid w:val="001D07D6"/>
    <w:rsid w:val="001D0E04"/>
    <w:rsid w:val="001D1541"/>
    <w:rsid w:val="001D16A9"/>
    <w:rsid w:val="001D1725"/>
    <w:rsid w:val="001D177B"/>
    <w:rsid w:val="001D1DD6"/>
    <w:rsid w:val="001D28FE"/>
    <w:rsid w:val="001D2A2B"/>
    <w:rsid w:val="001D2B80"/>
    <w:rsid w:val="001D3980"/>
    <w:rsid w:val="001D3DE4"/>
    <w:rsid w:val="001D3E72"/>
    <w:rsid w:val="001D4705"/>
    <w:rsid w:val="001D4D8E"/>
    <w:rsid w:val="001D4FB9"/>
    <w:rsid w:val="001D5719"/>
    <w:rsid w:val="001D5900"/>
    <w:rsid w:val="001D5E4A"/>
    <w:rsid w:val="001D5EFD"/>
    <w:rsid w:val="001D60E7"/>
    <w:rsid w:val="001D616F"/>
    <w:rsid w:val="001D67AF"/>
    <w:rsid w:val="001D724F"/>
    <w:rsid w:val="001D755F"/>
    <w:rsid w:val="001D76AC"/>
    <w:rsid w:val="001D7B73"/>
    <w:rsid w:val="001E08A0"/>
    <w:rsid w:val="001E1DF0"/>
    <w:rsid w:val="001E21E6"/>
    <w:rsid w:val="001E2C46"/>
    <w:rsid w:val="001E339A"/>
    <w:rsid w:val="001E3B5D"/>
    <w:rsid w:val="001E3EBC"/>
    <w:rsid w:val="001E5189"/>
    <w:rsid w:val="001E58AB"/>
    <w:rsid w:val="001E5E2E"/>
    <w:rsid w:val="001E6435"/>
    <w:rsid w:val="001E6456"/>
    <w:rsid w:val="001E648E"/>
    <w:rsid w:val="001E742B"/>
    <w:rsid w:val="001E776C"/>
    <w:rsid w:val="001E7982"/>
    <w:rsid w:val="001E7A09"/>
    <w:rsid w:val="001E7BF5"/>
    <w:rsid w:val="001F0228"/>
    <w:rsid w:val="001F071F"/>
    <w:rsid w:val="001F0DEA"/>
    <w:rsid w:val="001F0F2E"/>
    <w:rsid w:val="001F10EF"/>
    <w:rsid w:val="001F156D"/>
    <w:rsid w:val="001F1B32"/>
    <w:rsid w:val="001F298B"/>
    <w:rsid w:val="001F2B09"/>
    <w:rsid w:val="001F31D1"/>
    <w:rsid w:val="001F352B"/>
    <w:rsid w:val="001F354E"/>
    <w:rsid w:val="001F3BDF"/>
    <w:rsid w:val="001F3EAB"/>
    <w:rsid w:val="001F3FF6"/>
    <w:rsid w:val="001F49A2"/>
    <w:rsid w:val="001F50C5"/>
    <w:rsid w:val="001F537F"/>
    <w:rsid w:val="001F5381"/>
    <w:rsid w:val="001F59C2"/>
    <w:rsid w:val="001F6B9A"/>
    <w:rsid w:val="001F6C11"/>
    <w:rsid w:val="001F6C86"/>
    <w:rsid w:val="0020006C"/>
    <w:rsid w:val="00200348"/>
    <w:rsid w:val="002008EB"/>
    <w:rsid w:val="00200AF2"/>
    <w:rsid w:val="00202555"/>
    <w:rsid w:val="00202E51"/>
    <w:rsid w:val="002030B3"/>
    <w:rsid w:val="00203563"/>
    <w:rsid w:val="002049FC"/>
    <w:rsid w:val="00204D39"/>
    <w:rsid w:val="00204F60"/>
    <w:rsid w:val="00205340"/>
    <w:rsid w:val="002054B2"/>
    <w:rsid w:val="00205824"/>
    <w:rsid w:val="00205E8C"/>
    <w:rsid w:val="0020642B"/>
    <w:rsid w:val="002069A9"/>
    <w:rsid w:val="00206CD4"/>
    <w:rsid w:val="002072A0"/>
    <w:rsid w:val="002077C9"/>
    <w:rsid w:val="00207843"/>
    <w:rsid w:val="00207909"/>
    <w:rsid w:val="00210FA0"/>
    <w:rsid w:val="00211195"/>
    <w:rsid w:val="00211E9A"/>
    <w:rsid w:val="002122A6"/>
    <w:rsid w:val="00212487"/>
    <w:rsid w:val="0021264D"/>
    <w:rsid w:val="00213A32"/>
    <w:rsid w:val="002140FB"/>
    <w:rsid w:val="00214331"/>
    <w:rsid w:val="00214776"/>
    <w:rsid w:val="0021499E"/>
    <w:rsid w:val="002150F8"/>
    <w:rsid w:val="0021583E"/>
    <w:rsid w:val="00215CE2"/>
    <w:rsid w:val="00215F4E"/>
    <w:rsid w:val="0021662C"/>
    <w:rsid w:val="00216DA7"/>
    <w:rsid w:val="0021734E"/>
    <w:rsid w:val="0021738A"/>
    <w:rsid w:val="00217604"/>
    <w:rsid w:val="00221C62"/>
    <w:rsid w:val="002221A8"/>
    <w:rsid w:val="0022291D"/>
    <w:rsid w:val="00222C94"/>
    <w:rsid w:val="00222D9D"/>
    <w:rsid w:val="00223BD3"/>
    <w:rsid w:val="00224065"/>
    <w:rsid w:val="002241CF"/>
    <w:rsid w:val="00224277"/>
    <w:rsid w:val="00224AFF"/>
    <w:rsid w:val="00225186"/>
    <w:rsid w:val="002257A8"/>
    <w:rsid w:val="0022644C"/>
    <w:rsid w:val="00226524"/>
    <w:rsid w:val="00227794"/>
    <w:rsid w:val="00227D30"/>
    <w:rsid w:val="00227E8C"/>
    <w:rsid w:val="0023063C"/>
    <w:rsid w:val="00230660"/>
    <w:rsid w:val="00231292"/>
    <w:rsid w:val="00231CC5"/>
    <w:rsid w:val="00231D24"/>
    <w:rsid w:val="00231F9A"/>
    <w:rsid w:val="00232494"/>
    <w:rsid w:val="0023269A"/>
    <w:rsid w:val="0023280F"/>
    <w:rsid w:val="002329AE"/>
    <w:rsid w:val="00232A39"/>
    <w:rsid w:val="00232FA8"/>
    <w:rsid w:val="00233159"/>
    <w:rsid w:val="0023343C"/>
    <w:rsid w:val="00233884"/>
    <w:rsid w:val="00233A16"/>
    <w:rsid w:val="002343C3"/>
    <w:rsid w:val="002348FA"/>
    <w:rsid w:val="0023500D"/>
    <w:rsid w:val="0023537B"/>
    <w:rsid w:val="00235531"/>
    <w:rsid w:val="002358B5"/>
    <w:rsid w:val="00236064"/>
    <w:rsid w:val="00236287"/>
    <w:rsid w:val="0023666F"/>
    <w:rsid w:val="00236AB4"/>
    <w:rsid w:val="00236B1D"/>
    <w:rsid w:val="002378EB"/>
    <w:rsid w:val="00237C9A"/>
    <w:rsid w:val="00240D68"/>
    <w:rsid w:val="00240F35"/>
    <w:rsid w:val="002412B0"/>
    <w:rsid w:val="0024158B"/>
    <w:rsid w:val="00241C58"/>
    <w:rsid w:val="0024211D"/>
    <w:rsid w:val="00242297"/>
    <w:rsid w:val="002424C9"/>
    <w:rsid w:val="00242B1D"/>
    <w:rsid w:val="00242CC2"/>
    <w:rsid w:val="00243293"/>
    <w:rsid w:val="002435FB"/>
    <w:rsid w:val="00243991"/>
    <w:rsid w:val="00243F52"/>
    <w:rsid w:val="0024421F"/>
    <w:rsid w:val="00244313"/>
    <w:rsid w:val="00244D6E"/>
    <w:rsid w:val="0024555A"/>
    <w:rsid w:val="00246B46"/>
    <w:rsid w:val="00247926"/>
    <w:rsid w:val="00247CED"/>
    <w:rsid w:val="0025005F"/>
    <w:rsid w:val="00250116"/>
    <w:rsid w:val="0025045B"/>
    <w:rsid w:val="00250750"/>
    <w:rsid w:val="00250A39"/>
    <w:rsid w:val="00250F86"/>
    <w:rsid w:val="002514E5"/>
    <w:rsid w:val="00251E05"/>
    <w:rsid w:val="00252218"/>
    <w:rsid w:val="00252D88"/>
    <w:rsid w:val="00252E12"/>
    <w:rsid w:val="0025359A"/>
    <w:rsid w:val="0025385E"/>
    <w:rsid w:val="00253F2E"/>
    <w:rsid w:val="00254E43"/>
    <w:rsid w:val="00254FE9"/>
    <w:rsid w:val="002552D9"/>
    <w:rsid w:val="00255396"/>
    <w:rsid w:val="00256293"/>
    <w:rsid w:val="00256C74"/>
    <w:rsid w:val="00257452"/>
    <w:rsid w:val="0025763F"/>
    <w:rsid w:val="00257D6E"/>
    <w:rsid w:val="00260258"/>
    <w:rsid w:val="00260293"/>
    <w:rsid w:val="002607C9"/>
    <w:rsid w:val="00260821"/>
    <w:rsid w:val="00260D37"/>
    <w:rsid w:val="00261875"/>
    <w:rsid w:val="00262022"/>
    <w:rsid w:val="00262805"/>
    <w:rsid w:val="002629DE"/>
    <w:rsid w:val="002630B9"/>
    <w:rsid w:val="00263B6E"/>
    <w:rsid w:val="00263C88"/>
    <w:rsid w:val="002642B7"/>
    <w:rsid w:val="00264552"/>
    <w:rsid w:val="0026522F"/>
    <w:rsid w:val="0026526C"/>
    <w:rsid w:val="002652F9"/>
    <w:rsid w:val="0026557F"/>
    <w:rsid w:val="002655A3"/>
    <w:rsid w:val="00265B21"/>
    <w:rsid w:val="00265B2D"/>
    <w:rsid w:val="00265ECA"/>
    <w:rsid w:val="00265FB5"/>
    <w:rsid w:val="002663CB"/>
    <w:rsid w:val="002668FE"/>
    <w:rsid w:val="00267381"/>
    <w:rsid w:val="002674A5"/>
    <w:rsid w:val="002674EF"/>
    <w:rsid w:val="00267A78"/>
    <w:rsid w:val="00267AA5"/>
    <w:rsid w:val="00267FF8"/>
    <w:rsid w:val="002703EA"/>
    <w:rsid w:val="00270CBE"/>
    <w:rsid w:val="002710E5"/>
    <w:rsid w:val="00271627"/>
    <w:rsid w:val="002716BB"/>
    <w:rsid w:val="00272006"/>
    <w:rsid w:val="002723F4"/>
    <w:rsid w:val="0027324C"/>
    <w:rsid w:val="00273318"/>
    <w:rsid w:val="002733C8"/>
    <w:rsid w:val="002734A0"/>
    <w:rsid w:val="00273B65"/>
    <w:rsid w:val="00273D7C"/>
    <w:rsid w:val="002744A6"/>
    <w:rsid w:val="002745AD"/>
    <w:rsid w:val="00274D06"/>
    <w:rsid w:val="00274F5A"/>
    <w:rsid w:val="002759BB"/>
    <w:rsid w:val="00275D65"/>
    <w:rsid w:val="00276ADA"/>
    <w:rsid w:val="002772F1"/>
    <w:rsid w:val="00277474"/>
    <w:rsid w:val="00277673"/>
    <w:rsid w:val="00277F71"/>
    <w:rsid w:val="00280E73"/>
    <w:rsid w:val="002819A0"/>
    <w:rsid w:val="00281B07"/>
    <w:rsid w:val="00282031"/>
    <w:rsid w:val="0028235C"/>
    <w:rsid w:val="00282C13"/>
    <w:rsid w:val="0028306C"/>
    <w:rsid w:val="00283367"/>
    <w:rsid w:val="002833E2"/>
    <w:rsid w:val="00284D85"/>
    <w:rsid w:val="00285796"/>
    <w:rsid w:val="002857B6"/>
    <w:rsid w:val="0028586C"/>
    <w:rsid w:val="00285B46"/>
    <w:rsid w:val="00285D13"/>
    <w:rsid w:val="00286654"/>
    <w:rsid w:val="00286A29"/>
    <w:rsid w:val="00286C3D"/>
    <w:rsid w:val="00287192"/>
    <w:rsid w:val="0028730A"/>
    <w:rsid w:val="002874C7"/>
    <w:rsid w:val="00287914"/>
    <w:rsid w:val="00287D74"/>
    <w:rsid w:val="002900C1"/>
    <w:rsid w:val="0029053D"/>
    <w:rsid w:val="00290E0B"/>
    <w:rsid w:val="002916DB"/>
    <w:rsid w:val="00291C5B"/>
    <w:rsid w:val="00292251"/>
    <w:rsid w:val="0029297B"/>
    <w:rsid w:val="00292D94"/>
    <w:rsid w:val="002935DF"/>
    <w:rsid w:val="0029425A"/>
    <w:rsid w:val="002949AE"/>
    <w:rsid w:val="00294A8B"/>
    <w:rsid w:val="0029501B"/>
    <w:rsid w:val="002954C4"/>
    <w:rsid w:val="002954D9"/>
    <w:rsid w:val="00295EE9"/>
    <w:rsid w:val="00295F46"/>
    <w:rsid w:val="00295F8B"/>
    <w:rsid w:val="00296120"/>
    <w:rsid w:val="0029626E"/>
    <w:rsid w:val="0029638C"/>
    <w:rsid w:val="00296A17"/>
    <w:rsid w:val="00297531"/>
    <w:rsid w:val="00297A7B"/>
    <w:rsid w:val="00297E57"/>
    <w:rsid w:val="002A00D4"/>
    <w:rsid w:val="002A0A2B"/>
    <w:rsid w:val="002A0B25"/>
    <w:rsid w:val="002A1847"/>
    <w:rsid w:val="002A1E3B"/>
    <w:rsid w:val="002A1F18"/>
    <w:rsid w:val="002A3299"/>
    <w:rsid w:val="002A33FE"/>
    <w:rsid w:val="002A3A88"/>
    <w:rsid w:val="002A3EA0"/>
    <w:rsid w:val="002A3F90"/>
    <w:rsid w:val="002A3FCA"/>
    <w:rsid w:val="002A4124"/>
    <w:rsid w:val="002A5612"/>
    <w:rsid w:val="002A61FE"/>
    <w:rsid w:val="002A62C8"/>
    <w:rsid w:val="002A663C"/>
    <w:rsid w:val="002A66DC"/>
    <w:rsid w:val="002A6BA8"/>
    <w:rsid w:val="002A6C9F"/>
    <w:rsid w:val="002A7270"/>
    <w:rsid w:val="002A7906"/>
    <w:rsid w:val="002A7A5D"/>
    <w:rsid w:val="002B1949"/>
    <w:rsid w:val="002B1ECC"/>
    <w:rsid w:val="002B2F34"/>
    <w:rsid w:val="002B35E4"/>
    <w:rsid w:val="002B3B9F"/>
    <w:rsid w:val="002B407F"/>
    <w:rsid w:val="002B434B"/>
    <w:rsid w:val="002B52B5"/>
    <w:rsid w:val="002B5C8A"/>
    <w:rsid w:val="002B5CFC"/>
    <w:rsid w:val="002B5D39"/>
    <w:rsid w:val="002B614A"/>
    <w:rsid w:val="002B62A3"/>
    <w:rsid w:val="002B66DA"/>
    <w:rsid w:val="002B6DC4"/>
    <w:rsid w:val="002B6F12"/>
    <w:rsid w:val="002B7C12"/>
    <w:rsid w:val="002C0014"/>
    <w:rsid w:val="002C0934"/>
    <w:rsid w:val="002C19A4"/>
    <w:rsid w:val="002C1DD5"/>
    <w:rsid w:val="002C1FF1"/>
    <w:rsid w:val="002C205E"/>
    <w:rsid w:val="002C24ED"/>
    <w:rsid w:val="002C2D16"/>
    <w:rsid w:val="002C308B"/>
    <w:rsid w:val="002C3347"/>
    <w:rsid w:val="002C4083"/>
    <w:rsid w:val="002C41BE"/>
    <w:rsid w:val="002C4923"/>
    <w:rsid w:val="002C4C04"/>
    <w:rsid w:val="002C537B"/>
    <w:rsid w:val="002C62AF"/>
    <w:rsid w:val="002C6940"/>
    <w:rsid w:val="002C6D01"/>
    <w:rsid w:val="002C752A"/>
    <w:rsid w:val="002C775F"/>
    <w:rsid w:val="002C7A76"/>
    <w:rsid w:val="002D0286"/>
    <w:rsid w:val="002D124C"/>
    <w:rsid w:val="002D139C"/>
    <w:rsid w:val="002D2722"/>
    <w:rsid w:val="002D2748"/>
    <w:rsid w:val="002D2EA0"/>
    <w:rsid w:val="002D2EF5"/>
    <w:rsid w:val="002D3859"/>
    <w:rsid w:val="002D3A10"/>
    <w:rsid w:val="002D3D05"/>
    <w:rsid w:val="002D41B5"/>
    <w:rsid w:val="002D4290"/>
    <w:rsid w:val="002D443D"/>
    <w:rsid w:val="002D4480"/>
    <w:rsid w:val="002D5A87"/>
    <w:rsid w:val="002D5BCF"/>
    <w:rsid w:val="002D5F5E"/>
    <w:rsid w:val="002D6699"/>
    <w:rsid w:val="002D75F5"/>
    <w:rsid w:val="002D7730"/>
    <w:rsid w:val="002E0070"/>
    <w:rsid w:val="002E05B7"/>
    <w:rsid w:val="002E0EE2"/>
    <w:rsid w:val="002E149F"/>
    <w:rsid w:val="002E2152"/>
    <w:rsid w:val="002E2BBC"/>
    <w:rsid w:val="002E2BF2"/>
    <w:rsid w:val="002E2F32"/>
    <w:rsid w:val="002E337F"/>
    <w:rsid w:val="002E3485"/>
    <w:rsid w:val="002E424A"/>
    <w:rsid w:val="002E46A5"/>
    <w:rsid w:val="002E4DA4"/>
    <w:rsid w:val="002E5394"/>
    <w:rsid w:val="002E5874"/>
    <w:rsid w:val="002E5A43"/>
    <w:rsid w:val="002E603A"/>
    <w:rsid w:val="002E60D7"/>
    <w:rsid w:val="002E630B"/>
    <w:rsid w:val="002E6586"/>
    <w:rsid w:val="002E7C1A"/>
    <w:rsid w:val="002E7C87"/>
    <w:rsid w:val="002E7ED2"/>
    <w:rsid w:val="002F0920"/>
    <w:rsid w:val="002F21E3"/>
    <w:rsid w:val="002F247A"/>
    <w:rsid w:val="002F2CFD"/>
    <w:rsid w:val="002F363E"/>
    <w:rsid w:val="002F3AE8"/>
    <w:rsid w:val="002F3D4A"/>
    <w:rsid w:val="002F3FC0"/>
    <w:rsid w:val="002F4D97"/>
    <w:rsid w:val="002F51BC"/>
    <w:rsid w:val="002F5284"/>
    <w:rsid w:val="002F6089"/>
    <w:rsid w:val="002F61DF"/>
    <w:rsid w:val="002F6454"/>
    <w:rsid w:val="002F6F92"/>
    <w:rsid w:val="002F6FF0"/>
    <w:rsid w:val="002F71CD"/>
    <w:rsid w:val="002F72AA"/>
    <w:rsid w:val="002F77B8"/>
    <w:rsid w:val="002F7B7C"/>
    <w:rsid w:val="002F7D4F"/>
    <w:rsid w:val="0030006E"/>
    <w:rsid w:val="003001C9"/>
    <w:rsid w:val="003003A1"/>
    <w:rsid w:val="003022C7"/>
    <w:rsid w:val="003023F1"/>
    <w:rsid w:val="003028CE"/>
    <w:rsid w:val="00302CC8"/>
    <w:rsid w:val="0030330E"/>
    <w:rsid w:val="00303C13"/>
    <w:rsid w:val="003043BE"/>
    <w:rsid w:val="003048EF"/>
    <w:rsid w:val="00304E4C"/>
    <w:rsid w:val="00305225"/>
    <w:rsid w:val="003060DD"/>
    <w:rsid w:val="00306604"/>
    <w:rsid w:val="0030699B"/>
    <w:rsid w:val="003071EE"/>
    <w:rsid w:val="003075D5"/>
    <w:rsid w:val="003078EE"/>
    <w:rsid w:val="00307CBB"/>
    <w:rsid w:val="00307E8D"/>
    <w:rsid w:val="0031037E"/>
    <w:rsid w:val="003114B4"/>
    <w:rsid w:val="00311B09"/>
    <w:rsid w:val="00312094"/>
    <w:rsid w:val="003120E3"/>
    <w:rsid w:val="00312B27"/>
    <w:rsid w:val="00312E18"/>
    <w:rsid w:val="00313091"/>
    <w:rsid w:val="00313792"/>
    <w:rsid w:val="00313B5B"/>
    <w:rsid w:val="00314630"/>
    <w:rsid w:val="00314E14"/>
    <w:rsid w:val="00314F93"/>
    <w:rsid w:val="00315387"/>
    <w:rsid w:val="003159FF"/>
    <w:rsid w:val="0031623B"/>
    <w:rsid w:val="0031667D"/>
    <w:rsid w:val="003167FF"/>
    <w:rsid w:val="0031690E"/>
    <w:rsid w:val="00316B72"/>
    <w:rsid w:val="003178B3"/>
    <w:rsid w:val="00317D36"/>
    <w:rsid w:val="00317DC1"/>
    <w:rsid w:val="00317E88"/>
    <w:rsid w:val="003200DB"/>
    <w:rsid w:val="00320C6A"/>
    <w:rsid w:val="003216C1"/>
    <w:rsid w:val="00321CD0"/>
    <w:rsid w:val="00321D6A"/>
    <w:rsid w:val="00322981"/>
    <w:rsid w:val="00322FA9"/>
    <w:rsid w:val="003231F2"/>
    <w:rsid w:val="003248FF"/>
    <w:rsid w:val="00324AA6"/>
    <w:rsid w:val="003264DD"/>
    <w:rsid w:val="003265B9"/>
    <w:rsid w:val="003270AE"/>
    <w:rsid w:val="003276C1"/>
    <w:rsid w:val="00327B0A"/>
    <w:rsid w:val="00330875"/>
    <w:rsid w:val="003315E0"/>
    <w:rsid w:val="003318B8"/>
    <w:rsid w:val="00331FE2"/>
    <w:rsid w:val="0033208A"/>
    <w:rsid w:val="0033227B"/>
    <w:rsid w:val="003322E2"/>
    <w:rsid w:val="00332FDD"/>
    <w:rsid w:val="003330FC"/>
    <w:rsid w:val="00333ABF"/>
    <w:rsid w:val="00333B1D"/>
    <w:rsid w:val="00333B51"/>
    <w:rsid w:val="0033404B"/>
    <w:rsid w:val="00334921"/>
    <w:rsid w:val="00334A19"/>
    <w:rsid w:val="00334D73"/>
    <w:rsid w:val="003351BF"/>
    <w:rsid w:val="00335727"/>
    <w:rsid w:val="003358E4"/>
    <w:rsid w:val="00335A6E"/>
    <w:rsid w:val="00335D8B"/>
    <w:rsid w:val="00335FAE"/>
    <w:rsid w:val="00336494"/>
    <w:rsid w:val="003365A3"/>
    <w:rsid w:val="00336B8C"/>
    <w:rsid w:val="00336CCD"/>
    <w:rsid w:val="0033725A"/>
    <w:rsid w:val="00337A58"/>
    <w:rsid w:val="00337B30"/>
    <w:rsid w:val="00337F0B"/>
    <w:rsid w:val="00337F4D"/>
    <w:rsid w:val="0034002A"/>
    <w:rsid w:val="003408EE"/>
    <w:rsid w:val="00340FB0"/>
    <w:rsid w:val="00341318"/>
    <w:rsid w:val="003414AB"/>
    <w:rsid w:val="00342195"/>
    <w:rsid w:val="003427AF"/>
    <w:rsid w:val="0034348C"/>
    <w:rsid w:val="00343A36"/>
    <w:rsid w:val="00343B2B"/>
    <w:rsid w:val="00343B89"/>
    <w:rsid w:val="00344240"/>
    <w:rsid w:val="0034471B"/>
    <w:rsid w:val="00344AB9"/>
    <w:rsid w:val="00344EAE"/>
    <w:rsid w:val="003453E0"/>
    <w:rsid w:val="003455C5"/>
    <w:rsid w:val="003456E4"/>
    <w:rsid w:val="00345B55"/>
    <w:rsid w:val="00346856"/>
    <w:rsid w:val="00346BC1"/>
    <w:rsid w:val="00346C52"/>
    <w:rsid w:val="00347074"/>
    <w:rsid w:val="00347186"/>
    <w:rsid w:val="0034730C"/>
    <w:rsid w:val="00347CA7"/>
    <w:rsid w:val="0035042D"/>
    <w:rsid w:val="00350861"/>
    <w:rsid w:val="00350AB3"/>
    <w:rsid w:val="00350DC1"/>
    <w:rsid w:val="00350E7D"/>
    <w:rsid w:val="0035254C"/>
    <w:rsid w:val="0035302A"/>
    <w:rsid w:val="00353CD9"/>
    <w:rsid w:val="00354935"/>
    <w:rsid w:val="00354CC5"/>
    <w:rsid w:val="00354FCF"/>
    <w:rsid w:val="0035508C"/>
    <w:rsid w:val="00355B6D"/>
    <w:rsid w:val="00355D19"/>
    <w:rsid w:val="00355E04"/>
    <w:rsid w:val="00355F13"/>
    <w:rsid w:val="00356450"/>
    <w:rsid w:val="00357253"/>
    <w:rsid w:val="0035793D"/>
    <w:rsid w:val="00357D03"/>
    <w:rsid w:val="00360152"/>
    <w:rsid w:val="003604A4"/>
    <w:rsid w:val="00360530"/>
    <w:rsid w:val="00360864"/>
    <w:rsid w:val="00360A13"/>
    <w:rsid w:val="00360A98"/>
    <w:rsid w:val="00360F33"/>
    <w:rsid w:val="0036151F"/>
    <w:rsid w:val="003619C8"/>
    <w:rsid w:val="00361C02"/>
    <w:rsid w:val="0036352E"/>
    <w:rsid w:val="0036358F"/>
    <w:rsid w:val="00363A70"/>
    <w:rsid w:val="00363BFC"/>
    <w:rsid w:val="00363C19"/>
    <w:rsid w:val="00363FA9"/>
    <w:rsid w:val="00364BAE"/>
    <w:rsid w:val="0036560F"/>
    <w:rsid w:val="00366181"/>
    <w:rsid w:val="003666C7"/>
    <w:rsid w:val="003669D8"/>
    <w:rsid w:val="00367398"/>
    <w:rsid w:val="00367FF2"/>
    <w:rsid w:val="00370BBA"/>
    <w:rsid w:val="00370BF3"/>
    <w:rsid w:val="00370C38"/>
    <w:rsid w:val="0037118F"/>
    <w:rsid w:val="003716C7"/>
    <w:rsid w:val="00371AD8"/>
    <w:rsid w:val="00372BD5"/>
    <w:rsid w:val="00372BE9"/>
    <w:rsid w:val="00373FAF"/>
    <w:rsid w:val="00374308"/>
    <w:rsid w:val="003760A8"/>
    <w:rsid w:val="003767C0"/>
    <w:rsid w:val="00376AA0"/>
    <w:rsid w:val="003778D2"/>
    <w:rsid w:val="00377BCA"/>
    <w:rsid w:val="00377DFC"/>
    <w:rsid w:val="00377F04"/>
    <w:rsid w:val="003802F8"/>
    <w:rsid w:val="00380AA7"/>
    <w:rsid w:val="0038268C"/>
    <w:rsid w:val="00382793"/>
    <w:rsid w:val="00382EE7"/>
    <w:rsid w:val="0038356B"/>
    <w:rsid w:val="00383EA1"/>
    <w:rsid w:val="003843DA"/>
    <w:rsid w:val="003846DC"/>
    <w:rsid w:val="00384C35"/>
    <w:rsid w:val="00384CCB"/>
    <w:rsid w:val="00384CE3"/>
    <w:rsid w:val="003856A0"/>
    <w:rsid w:val="00385A5E"/>
    <w:rsid w:val="00385AF1"/>
    <w:rsid w:val="00385B51"/>
    <w:rsid w:val="00386350"/>
    <w:rsid w:val="003877A2"/>
    <w:rsid w:val="00387E19"/>
    <w:rsid w:val="00391266"/>
    <w:rsid w:val="003919A2"/>
    <w:rsid w:val="00391FBE"/>
    <w:rsid w:val="0039422C"/>
    <w:rsid w:val="00394837"/>
    <w:rsid w:val="00394A7A"/>
    <w:rsid w:val="0039515A"/>
    <w:rsid w:val="00395529"/>
    <w:rsid w:val="00395F5A"/>
    <w:rsid w:val="003962A2"/>
    <w:rsid w:val="00396431"/>
    <w:rsid w:val="0039656E"/>
    <w:rsid w:val="00396699"/>
    <w:rsid w:val="00396D1E"/>
    <w:rsid w:val="003A06C7"/>
    <w:rsid w:val="003A0798"/>
    <w:rsid w:val="003A0F64"/>
    <w:rsid w:val="003A1800"/>
    <w:rsid w:val="003A206A"/>
    <w:rsid w:val="003A2972"/>
    <w:rsid w:val="003A2D1E"/>
    <w:rsid w:val="003A34EC"/>
    <w:rsid w:val="003A3821"/>
    <w:rsid w:val="003A42CE"/>
    <w:rsid w:val="003A433C"/>
    <w:rsid w:val="003A46A3"/>
    <w:rsid w:val="003A4BD0"/>
    <w:rsid w:val="003A5182"/>
    <w:rsid w:val="003A533E"/>
    <w:rsid w:val="003A601E"/>
    <w:rsid w:val="003A6812"/>
    <w:rsid w:val="003A6A15"/>
    <w:rsid w:val="003A6A5D"/>
    <w:rsid w:val="003A6B51"/>
    <w:rsid w:val="003A6EB1"/>
    <w:rsid w:val="003A7289"/>
    <w:rsid w:val="003B0ACF"/>
    <w:rsid w:val="003B0BBB"/>
    <w:rsid w:val="003B0EE5"/>
    <w:rsid w:val="003B0FA8"/>
    <w:rsid w:val="003B10E4"/>
    <w:rsid w:val="003B1562"/>
    <w:rsid w:val="003B1724"/>
    <w:rsid w:val="003B1A53"/>
    <w:rsid w:val="003B1BCE"/>
    <w:rsid w:val="003B1C16"/>
    <w:rsid w:val="003B2519"/>
    <w:rsid w:val="003B29B4"/>
    <w:rsid w:val="003B37A4"/>
    <w:rsid w:val="003B3FF3"/>
    <w:rsid w:val="003B4089"/>
    <w:rsid w:val="003B4111"/>
    <w:rsid w:val="003B4971"/>
    <w:rsid w:val="003B4CFF"/>
    <w:rsid w:val="003B5260"/>
    <w:rsid w:val="003B55FF"/>
    <w:rsid w:val="003B575F"/>
    <w:rsid w:val="003B5C47"/>
    <w:rsid w:val="003B5E3E"/>
    <w:rsid w:val="003B5FB8"/>
    <w:rsid w:val="003B608B"/>
    <w:rsid w:val="003B6E50"/>
    <w:rsid w:val="003B70A7"/>
    <w:rsid w:val="003B7107"/>
    <w:rsid w:val="003B71B5"/>
    <w:rsid w:val="003B7528"/>
    <w:rsid w:val="003C0424"/>
    <w:rsid w:val="003C1482"/>
    <w:rsid w:val="003C15E5"/>
    <w:rsid w:val="003C1F6E"/>
    <w:rsid w:val="003C2459"/>
    <w:rsid w:val="003C25B6"/>
    <w:rsid w:val="003C2B5A"/>
    <w:rsid w:val="003C37DA"/>
    <w:rsid w:val="003C5120"/>
    <w:rsid w:val="003C51BF"/>
    <w:rsid w:val="003C53FB"/>
    <w:rsid w:val="003C55D5"/>
    <w:rsid w:val="003C6259"/>
    <w:rsid w:val="003C6396"/>
    <w:rsid w:val="003C64B7"/>
    <w:rsid w:val="003C65A4"/>
    <w:rsid w:val="003C6E79"/>
    <w:rsid w:val="003C777E"/>
    <w:rsid w:val="003D0A3B"/>
    <w:rsid w:val="003D0AF9"/>
    <w:rsid w:val="003D0FBE"/>
    <w:rsid w:val="003D22C5"/>
    <w:rsid w:val="003D242B"/>
    <w:rsid w:val="003D299C"/>
    <w:rsid w:val="003D2B72"/>
    <w:rsid w:val="003D347A"/>
    <w:rsid w:val="003D4681"/>
    <w:rsid w:val="003D4F5F"/>
    <w:rsid w:val="003D5101"/>
    <w:rsid w:val="003D54EC"/>
    <w:rsid w:val="003D55F6"/>
    <w:rsid w:val="003D5684"/>
    <w:rsid w:val="003D6258"/>
    <w:rsid w:val="003D6339"/>
    <w:rsid w:val="003D6693"/>
    <w:rsid w:val="003D6C26"/>
    <w:rsid w:val="003D6C75"/>
    <w:rsid w:val="003D74A8"/>
    <w:rsid w:val="003D7F8D"/>
    <w:rsid w:val="003E105A"/>
    <w:rsid w:val="003E2026"/>
    <w:rsid w:val="003E2279"/>
    <w:rsid w:val="003E2320"/>
    <w:rsid w:val="003E287F"/>
    <w:rsid w:val="003E31D0"/>
    <w:rsid w:val="003E352D"/>
    <w:rsid w:val="003E369E"/>
    <w:rsid w:val="003E3713"/>
    <w:rsid w:val="003E3D9C"/>
    <w:rsid w:val="003E4192"/>
    <w:rsid w:val="003E451E"/>
    <w:rsid w:val="003E4613"/>
    <w:rsid w:val="003E4C2F"/>
    <w:rsid w:val="003E5176"/>
    <w:rsid w:val="003E67DC"/>
    <w:rsid w:val="003E6939"/>
    <w:rsid w:val="003E6C8C"/>
    <w:rsid w:val="003E6ED5"/>
    <w:rsid w:val="003E6F99"/>
    <w:rsid w:val="003E7C65"/>
    <w:rsid w:val="003F019C"/>
    <w:rsid w:val="003F01EC"/>
    <w:rsid w:val="003F027D"/>
    <w:rsid w:val="003F08D1"/>
    <w:rsid w:val="003F0AEA"/>
    <w:rsid w:val="003F13F9"/>
    <w:rsid w:val="003F1405"/>
    <w:rsid w:val="003F1B3D"/>
    <w:rsid w:val="003F239E"/>
    <w:rsid w:val="003F2775"/>
    <w:rsid w:val="003F2DE1"/>
    <w:rsid w:val="003F2F59"/>
    <w:rsid w:val="003F30C9"/>
    <w:rsid w:val="003F317E"/>
    <w:rsid w:val="003F36B5"/>
    <w:rsid w:val="003F3B8D"/>
    <w:rsid w:val="003F3D04"/>
    <w:rsid w:val="003F40F5"/>
    <w:rsid w:val="003F4344"/>
    <w:rsid w:val="003F48CE"/>
    <w:rsid w:val="003F4DF0"/>
    <w:rsid w:val="003F55E6"/>
    <w:rsid w:val="003F5794"/>
    <w:rsid w:val="003F590E"/>
    <w:rsid w:val="003F59DD"/>
    <w:rsid w:val="003F5B08"/>
    <w:rsid w:val="003F5B2E"/>
    <w:rsid w:val="003F5D5F"/>
    <w:rsid w:val="003F6100"/>
    <w:rsid w:val="003F752E"/>
    <w:rsid w:val="003F7539"/>
    <w:rsid w:val="003F7755"/>
    <w:rsid w:val="003F78C4"/>
    <w:rsid w:val="003F7C2F"/>
    <w:rsid w:val="004008EC"/>
    <w:rsid w:val="00400CF2"/>
    <w:rsid w:val="00401082"/>
    <w:rsid w:val="00401305"/>
    <w:rsid w:val="0040160A"/>
    <w:rsid w:val="00401ED5"/>
    <w:rsid w:val="004026E0"/>
    <w:rsid w:val="004033CD"/>
    <w:rsid w:val="00403DC7"/>
    <w:rsid w:val="00404CA2"/>
    <w:rsid w:val="00405116"/>
    <w:rsid w:val="004055CE"/>
    <w:rsid w:val="004057F9"/>
    <w:rsid w:val="00405FBF"/>
    <w:rsid w:val="004061AB"/>
    <w:rsid w:val="004067AE"/>
    <w:rsid w:val="00406C9F"/>
    <w:rsid w:val="00410DFD"/>
    <w:rsid w:val="00411035"/>
    <w:rsid w:val="00411642"/>
    <w:rsid w:val="00412778"/>
    <w:rsid w:val="00412B82"/>
    <w:rsid w:val="00412C2E"/>
    <w:rsid w:val="00412DEF"/>
    <w:rsid w:val="004132E5"/>
    <w:rsid w:val="004133B4"/>
    <w:rsid w:val="00413455"/>
    <w:rsid w:val="004136CB"/>
    <w:rsid w:val="00413829"/>
    <w:rsid w:val="004138FD"/>
    <w:rsid w:val="00413AAC"/>
    <w:rsid w:val="00413AAF"/>
    <w:rsid w:val="00413E2C"/>
    <w:rsid w:val="0041420A"/>
    <w:rsid w:val="0041455A"/>
    <w:rsid w:val="004155F3"/>
    <w:rsid w:val="0041565D"/>
    <w:rsid w:val="0041590E"/>
    <w:rsid w:val="00415D5E"/>
    <w:rsid w:val="00415EBB"/>
    <w:rsid w:val="00415F76"/>
    <w:rsid w:val="004167C3"/>
    <w:rsid w:val="00416D7A"/>
    <w:rsid w:val="00416DE1"/>
    <w:rsid w:val="00417334"/>
    <w:rsid w:val="00417437"/>
    <w:rsid w:val="00417A86"/>
    <w:rsid w:val="00417F47"/>
    <w:rsid w:val="004201EE"/>
    <w:rsid w:val="00420508"/>
    <w:rsid w:val="0042167B"/>
    <w:rsid w:val="00422247"/>
    <w:rsid w:val="00422884"/>
    <w:rsid w:val="004234DF"/>
    <w:rsid w:val="0042385C"/>
    <w:rsid w:val="004243AD"/>
    <w:rsid w:val="004245EE"/>
    <w:rsid w:val="00424680"/>
    <w:rsid w:val="00424D62"/>
    <w:rsid w:val="00424E3B"/>
    <w:rsid w:val="00425057"/>
    <w:rsid w:val="00425215"/>
    <w:rsid w:val="00425CCE"/>
    <w:rsid w:val="00425D7D"/>
    <w:rsid w:val="004271BC"/>
    <w:rsid w:val="004277BC"/>
    <w:rsid w:val="00430E51"/>
    <w:rsid w:val="00431303"/>
    <w:rsid w:val="00431342"/>
    <w:rsid w:val="004314B3"/>
    <w:rsid w:val="00431A3E"/>
    <w:rsid w:val="004320D8"/>
    <w:rsid w:val="00432126"/>
    <w:rsid w:val="00432F43"/>
    <w:rsid w:val="0043319A"/>
    <w:rsid w:val="00434450"/>
    <w:rsid w:val="0043450B"/>
    <w:rsid w:val="00434539"/>
    <w:rsid w:val="0043479E"/>
    <w:rsid w:val="004348A0"/>
    <w:rsid w:val="00434904"/>
    <w:rsid w:val="00435836"/>
    <w:rsid w:val="004358E6"/>
    <w:rsid w:val="0043627A"/>
    <w:rsid w:val="004364D9"/>
    <w:rsid w:val="00436621"/>
    <w:rsid w:val="004375BE"/>
    <w:rsid w:val="004377CA"/>
    <w:rsid w:val="00437C51"/>
    <w:rsid w:val="00440188"/>
    <w:rsid w:val="00440262"/>
    <w:rsid w:val="00440C1D"/>
    <w:rsid w:val="0044185E"/>
    <w:rsid w:val="00441F43"/>
    <w:rsid w:val="00442E56"/>
    <w:rsid w:val="004430F4"/>
    <w:rsid w:val="004431DF"/>
    <w:rsid w:val="00443603"/>
    <w:rsid w:val="0044392F"/>
    <w:rsid w:val="00444111"/>
    <w:rsid w:val="0044444F"/>
    <w:rsid w:val="00444B28"/>
    <w:rsid w:val="00444E6B"/>
    <w:rsid w:val="004453DF"/>
    <w:rsid w:val="0044632A"/>
    <w:rsid w:val="004472D5"/>
    <w:rsid w:val="00447773"/>
    <w:rsid w:val="00447A76"/>
    <w:rsid w:val="00450225"/>
    <w:rsid w:val="0045032D"/>
    <w:rsid w:val="00450667"/>
    <w:rsid w:val="004509E5"/>
    <w:rsid w:val="00450A9E"/>
    <w:rsid w:val="00450E86"/>
    <w:rsid w:val="00451F03"/>
    <w:rsid w:val="004524D7"/>
    <w:rsid w:val="0045273A"/>
    <w:rsid w:val="0045298A"/>
    <w:rsid w:val="00453216"/>
    <w:rsid w:val="0045324F"/>
    <w:rsid w:val="00454026"/>
    <w:rsid w:val="00454982"/>
    <w:rsid w:val="00455035"/>
    <w:rsid w:val="00455F6E"/>
    <w:rsid w:val="00456111"/>
    <w:rsid w:val="0045686C"/>
    <w:rsid w:val="00457629"/>
    <w:rsid w:val="00457708"/>
    <w:rsid w:val="00457B71"/>
    <w:rsid w:val="00457C08"/>
    <w:rsid w:val="00460C04"/>
    <w:rsid w:val="0046203D"/>
    <w:rsid w:val="0046273F"/>
    <w:rsid w:val="00462842"/>
    <w:rsid w:val="00462873"/>
    <w:rsid w:val="00462D91"/>
    <w:rsid w:val="004642E2"/>
    <w:rsid w:val="004643B4"/>
    <w:rsid w:val="004649ED"/>
    <w:rsid w:val="00464C46"/>
    <w:rsid w:val="00464C4E"/>
    <w:rsid w:val="00465447"/>
    <w:rsid w:val="00465B2F"/>
    <w:rsid w:val="00465C53"/>
    <w:rsid w:val="004661D5"/>
    <w:rsid w:val="0046687D"/>
    <w:rsid w:val="00466B89"/>
    <w:rsid w:val="00466C1E"/>
    <w:rsid w:val="004676B1"/>
    <w:rsid w:val="00467DD1"/>
    <w:rsid w:val="00467E90"/>
    <w:rsid w:val="00470897"/>
    <w:rsid w:val="00470E91"/>
    <w:rsid w:val="0047119B"/>
    <w:rsid w:val="00471822"/>
    <w:rsid w:val="00471A6E"/>
    <w:rsid w:val="0047258B"/>
    <w:rsid w:val="00472D47"/>
    <w:rsid w:val="00473418"/>
    <w:rsid w:val="004734E2"/>
    <w:rsid w:val="00473529"/>
    <w:rsid w:val="0047361E"/>
    <w:rsid w:val="004736CF"/>
    <w:rsid w:val="00473B41"/>
    <w:rsid w:val="00473BED"/>
    <w:rsid w:val="00473D42"/>
    <w:rsid w:val="00473DC5"/>
    <w:rsid w:val="004740EF"/>
    <w:rsid w:val="004743EB"/>
    <w:rsid w:val="0047479A"/>
    <w:rsid w:val="004747DB"/>
    <w:rsid w:val="004750B5"/>
    <w:rsid w:val="00475566"/>
    <w:rsid w:val="004755F4"/>
    <w:rsid w:val="004765DB"/>
    <w:rsid w:val="004766C7"/>
    <w:rsid w:val="00476F17"/>
    <w:rsid w:val="00477714"/>
    <w:rsid w:val="004802B1"/>
    <w:rsid w:val="00480B62"/>
    <w:rsid w:val="004811C9"/>
    <w:rsid w:val="004815E4"/>
    <w:rsid w:val="004818EC"/>
    <w:rsid w:val="0048191B"/>
    <w:rsid w:val="00481A50"/>
    <w:rsid w:val="00481F35"/>
    <w:rsid w:val="00482041"/>
    <w:rsid w:val="0048303D"/>
    <w:rsid w:val="00484000"/>
    <w:rsid w:val="004844C2"/>
    <w:rsid w:val="00484692"/>
    <w:rsid w:val="004850C8"/>
    <w:rsid w:val="004855F1"/>
    <w:rsid w:val="00485FDE"/>
    <w:rsid w:val="00487195"/>
    <w:rsid w:val="00487AA4"/>
    <w:rsid w:val="00487EB1"/>
    <w:rsid w:val="004903CB"/>
    <w:rsid w:val="00490800"/>
    <w:rsid w:val="00490951"/>
    <w:rsid w:val="00490A72"/>
    <w:rsid w:val="00490C7E"/>
    <w:rsid w:val="00491181"/>
    <w:rsid w:val="0049142C"/>
    <w:rsid w:val="0049180C"/>
    <w:rsid w:val="004918E8"/>
    <w:rsid w:val="00491BF9"/>
    <w:rsid w:val="00491FCB"/>
    <w:rsid w:val="004922E3"/>
    <w:rsid w:val="00492494"/>
    <w:rsid w:val="004924BE"/>
    <w:rsid w:val="0049265A"/>
    <w:rsid w:val="004926C1"/>
    <w:rsid w:val="00492DC5"/>
    <w:rsid w:val="00493351"/>
    <w:rsid w:val="0049359C"/>
    <w:rsid w:val="00493889"/>
    <w:rsid w:val="00494950"/>
    <w:rsid w:val="00494ADD"/>
    <w:rsid w:val="0049557B"/>
    <w:rsid w:val="00495E3C"/>
    <w:rsid w:val="00496389"/>
    <w:rsid w:val="0049649B"/>
    <w:rsid w:val="00496A62"/>
    <w:rsid w:val="00496B54"/>
    <w:rsid w:val="004970F1"/>
    <w:rsid w:val="00497AB0"/>
    <w:rsid w:val="00497C12"/>
    <w:rsid w:val="004A0369"/>
    <w:rsid w:val="004A0C57"/>
    <w:rsid w:val="004A1164"/>
    <w:rsid w:val="004A1272"/>
    <w:rsid w:val="004A212C"/>
    <w:rsid w:val="004A22D0"/>
    <w:rsid w:val="004A23DE"/>
    <w:rsid w:val="004A2959"/>
    <w:rsid w:val="004A2B2E"/>
    <w:rsid w:val="004A349D"/>
    <w:rsid w:val="004A35A8"/>
    <w:rsid w:val="004A38DD"/>
    <w:rsid w:val="004A4029"/>
    <w:rsid w:val="004A4215"/>
    <w:rsid w:val="004A4C8D"/>
    <w:rsid w:val="004A543C"/>
    <w:rsid w:val="004A5CC4"/>
    <w:rsid w:val="004A5DCA"/>
    <w:rsid w:val="004A6172"/>
    <w:rsid w:val="004A65C5"/>
    <w:rsid w:val="004A6948"/>
    <w:rsid w:val="004A705A"/>
    <w:rsid w:val="004B07C6"/>
    <w:rsid w:val="004B0915"/>
    <w:rsid w:val="004B1BB7"/>
    <w:rsid w:val="004B2575"/>
    <w:rsid w:val="004B271B"/>
    <w:rsid w:val="004B2C8B"/>
    <w:rsid w:val="004B3E5B"/>
    <w:rsid w:val="004B4149"/>
    <w:rsid w:val="004B4179"/>
    <w:rsid w:val="004B4AE2"/>
    <w:rsid w:val="004B60C1"/>
    <w:rsid w:val="004B6437"/>
    <w:rsid w:val="004B64B1"/>
    <w:rsid w:val="004B65F7"/>
    <w:rsid w:val="004B684E"/>
    <w:rsid w:val="004B6F01"/>
    <w:rsid w:val="004B79CE"/>
    <w:rsid w:val="004B7B19"/>
    <w:rsid w:val="004B7D17"/>
    <w:rsid w:val="004C002E"/>
    <w:rsid w:val="004C05BF"/>
    <w:rsid w:val="004C09D0"/>
    <w:rsid w:val="004C0ACA"/>
    <w:rsid w:val="004C0CD4"/>
    <w:rsid w:val="004C0D10"/>
    <w:rsid w:val="004C131C"/>
    <w:rsid w:val="004C16B3"/>
    <w:rsid w:val="004C1730"/>
    <w:rsid w:val="004C1BAC"/>
    <w:rsid w:val="004C1D06"/>
    <w:rsid w:val="004C2CA0"/>
    <w:rsid w:val="004C2DAF"/>
    <w:rsid w:val="004C2DCC"/>
    <w:rsid w:val="004C3540"/>
    <w:rsid w:val="004C37DD"/>
    <w:rsid w:val="004C397E"/>
    <w:rsid w:val="004C3D92"/>
    <w:rsid w:val="004C3DC9"/>
    <w:rsid w:val="004C4202"/>
    <w:rsid w:val="004C4391"/>
    <w:rsid w:val="004C46FD"/>
    <w:rsid w:val="004C4932"/>
    <w:rsid w:val="004C4E33"/>
    <w:rsid w:val="004C4F91"/>
    <w:rsid w:val="004C5CF6"/>
    <w:rsid w:val="004C6570"/>
    <w:rsid w:val="004C67C6"/>
    <w:rsid w:val="004C69E8"/>
    <w:rsid w:val="004C6F19"/>
    <w:rsid w:val="004C70DD"/>
    <w:rsid w:val="004C7320"/>
    <w:rsid w:val="004C78F2"/>
    <w:rsid w:val="004C794E"/>
    <w:rsid w:val="004D111C"/>
    <w:rsid w:val="004D117C"/>
    <w:rsid w:val="004D129A"/>
    <w:rsid w:val="004D15AC"/>
    <w:rsid w:val="004D2220"/>
    <w:rsid w:val="004D2C36"/>
    <w:rsid w:val="004D2DC4"/>
    <w:rsid w:val="004D2DFD"/>
    <w:rsid w:val="004D2F50"/>
    <w:rsid w:val="004D301B"/>
    <w:rsid w:val="004D3508"/>
    <w:rsid w:val="004D35D2"/>
    <w:rsid w:val="004D384B"/>
    <w:rsid w:val="004D3C08"/>
    <w:rsid w:val="004D3D42"/>
    <w:rsid w:val="004D3F7B"/>
    <w:rsid w:val="004D4758"/>
    <w:rsid w:val="004D4889"/>
    <w:rsid w:val="004D48B3"/>
    <w:rsid w:val="004D48EE"/>
    <w:rsid w:val="004D4C5F"/>
    <w:rsid w:val="004D5820"/>
    <w:rsid w:val="004D5A3E"/>
    <w:rsid w:val="004D62CC"/>
    <w:rsid w:val="004D706D"/>
    <w:rsid w:val="004D7481"/>
    <w:rsid w:val="004D7EB2"/>
    <w:rsid w:val="004E0398"/>
    <w:rsid w:val="004E0D93"/>
    <w:rsid w:val="004E1768"/>
    <w:rsid w:val="004E1B8C"/>
    <w:rsid w:val="004E229A"/>
    <w:rsid w:val="004E259B"/>
    <w:rsid w:val="004E272C"/>
    <w:rsid w:val="004E2765"/>
    <w:rsid w:val="004E2A34"/>
    <w:rsid w:val="004E2DDF"/>
    <w:rsid w:val="004E2FBE"/>
    <w:rsid w:val="004E348F"/>
    <w:rsid w:val="004E387B"/>
    <w:rsid w:val="004E3B32"/>
    <w:rsid w:val="004E3C80"/>
    <w:rsid w:val="004E4682"/>
    <w:rsid w:val="004E485A"/>
    <w:rsid w:val="004E49FF"/>
    <w:rsid w:val="004E50A6"/>
    <w:rsid w:val="004E55CC"/>
    <w:rsid w:val="004E5D71"/>
    <w:rsid w:val="004E5E75"/>
    <w:rsid w:val="004E637C"/>
    <w:rsid w:val="004E6496"/>
    <w:rsid w:val="004E67FA"/>
    <w:rsid w:val="004E69E0"/>
    <w:rsid w:val="004E6C5B"/>
    <w:rsid w:val="004E72C1"/>
    <w:rsid w:val="004E760B"/>
    <w:rsid w:val="004E798E"/>
    <w:rsid w:val="004E7A0E"/>
    <w:rsid w:val="004E7EAA"/>
    <w:rsid w:val="004E7FE7"/>
    <w:rsid w:val="004F0C28"/>
    <w:rsid w:val="004F1049"/>
    <w:rsid w:val="004F1146"/>
    <w:rsid w:val="004F168D"/>
    <w:rsid w:val="004F1AD4"/>
    <w:rsid w:val="004F1B2A"/>
    <w:rsid w:val="004F1EED"/>
    <w:rsid w:val="004F29AD"/>
    <w:rsid w:val="004F2B8A"/>
    <w:rsid w:val="004F32AC"/>
    <w:rsid w:val="004F4515"/>
    <w:rsid w:val="004F4C6C"/>
    <w:rsid w:val="004F4E95"/>
    <w:rsid w:val="004F5008"/>
    <w:rsid w:val="004F5271"/>
    <w:rsid w:val="004F55D8"/>
    <w:rsid w:val="004F5C43"/>
    <w:rsid w:val="004F6041"/>
    <w:rsid w:val="004F620C"/>
    <w:rsid w:val="004F6356"/>
    <w:rsid w:val="004F6700"/>
    <w:rsid w:val="004F68C3"/>
    <w:rsid w:val="004F723A"/>
    <w:rsid w:val="004F739C"/>
    <w:rsid w:val="004F77D7"/>
    <w:rsid w:val="0050016C"/>
    <w:rsid w:val="0050229D"/>
    <w:rsid w:val="0050235D"/>
    <w:rsid w:val="00502B88"/>
    <w:rsid w:val="00503747"/>
    <w:rsid w:val="00503BFC"/>
    <w:rsid w:val="00504F58"/>
    <w:rsid w:val="00505111"/>
    <w:rsid w:val="00506015"/>
    <w:rsid w:val="00506DBB"/>
    <w:rsid w:val="0050717C"/>
    <w:rsid w:val="00507354"/>
    <w:rsid w:val="0050777B"/>
    <w:rsid w:val="005119AB"/>
    <w:rsid w:val="00511A9E"/>
    <w:rsid w:val="00511CA9"/>
    <w:rsid w:val="00512C86"/>
    <w:rsid w:val="00512DCD"/>
    <w:rsid w:val="00512E3A"/>
    <w:rsid w:val="00513689"/>
    <w:rsid w:val="00513734"/>
    <w:rsid w:val="00513F34"/>
    <w:rsid w:val="00514ADE"/>
    <w:rsid w:val="005153D5"/>
    <w:rsid w:val="005157F5"/>
    <w:rsid w:val="00515A23"/>
    <w:rsid w:val="00515C18"/>
    <w:rsid w:val="00515F2D"/>
    <w:rsid w:val="0051627B"/>
    <w:rsid w:val="0051653C"/>
    <w:rsid w:val="00516E83"/>
    <w:rsid w:val="0051764E"/>
    <w:rsid w:val="00517AD1"/>
    <w:rsid w:val="00520213"/>
    <w:rsid w:val="00520769"/>
    <w:rsid w:val="005209C4"/>
    <w:rsid w:val="00520F91"/>
    <w:rsid w:val="005211A2"/>
    <w:rsid w:val="005212BB"/>
    <w:rsid w:val="00521771"/>
    <w:rsid w:val="00523592"/>
    <w:rsid w:val="00523EE4"/>
    <w:rsid w:val="005245AD"/>
    <w:rsid w:val="00525D4A"/>
    <w:rsid w:val="00526110"/>
    <w:rsid w:val="005267FE"/>
    <w:rsid w:val="00526AA7"/>
    <w:rsid w:val="00526BB2"/>
    <w:rsid w:val="00526E92"/>
    <w:rsid w:val="00526F07"/>
    <w:rsid w:val="00526F65"/>
    <w:rsid w:val="00526FFD"/>
    <w:rsid w:val="00527130"/>
    <w:rsid w:val="0052721E"/>
    <w:rsid w:val="005278F9"/>
    <w:rsid w:val="00527DD6"/>
    <w:rsid w:val="005300BF"/>
    <w:rsid w:val="00530540"/>
    <w:rsid w:val="005305D4"/>
    <w:rsid w:val="00530620"/>
    <w:rsid w:val="00530DB1"/>
    <w:rsid w:val="00530E83"/>
    <w:rsid w:val="005316D0"/>
    <w:rsid w:val="00531E7A"/>
    <w:rsid w:val="005326CD"/>
    <w:rsid w:val="00532B8A"/>
    <w:rsid w:val="00532BB5"/>
    <w:rsid w:val="0053409A"/>
    <w:rsid w:val="005340B4"/>
    <w:rsid w:val="0053416B"/>
    <w:rsid w:val="0053484D"/>
    <w:rsid w:val="00535684"/>
    <w:rsid w:val="005358B4"/>
    <w:rsid w:val="005360F3"/>
    <w:rsid w:val="00536494"/>
    <w:rsid w:val="005364CB"/>
    <w:rsid w:val="005367C5"/>
    <w:rsid w:val="00536A1F"/>
    <w:rsid w:val="00537614"/>
    <w:rsid w:val="00537AFC"/>
    <w:rsid w:val="00537E15"/>
    <w:rsid w:val="00540301"/>
    <w:rsid w:val="00540C4D"/>
    <w:rsid w:val="00540F20"/>
    <w:rsid w:val="00540F30"/>
    <w:rsid w:val="00541CD5"/>
    <w:rsid w:val="005421C9"/>
    <w:rsid w:val="0054249F"/>
    <w:rsid w:val="005426AC"/>
    <w:rsid w:val="005429AE"/>
    <w:rsid w:val="005429FD"/>
    <w:rsid w:val="005438F4"/>
    <w:rsid w:val="00544447"/>
    <w:rsid w:val="005446D3"/>
    <w:rsid w:val="0054592F"/>
    <w:rsid w:val="00546DB2"/>
    <w:rsid w:val="00546FB2"/>
    <w:rsid w:val="00547718"/>
    <w:rsid w:val="00550102"/>
    <w:rsid w:val="005502AA"/>
    <w:rsid w:val="00550B1A"/>
    <w:rsid w:val="005515CA"/>
    <w:rsid w:val="0055162B"/>
    <w:rsid w:val="00551BE7"/>
    <w:rsid w:val="00551D9F"/>
    <w:rsid w:val="00551EA2"/>
    <w:rsid w:val="005521FE"/>
    <w:rsid w:val="00552243"/>
    <w:rsid w:val="00552A4B"/>
    <w:rsid w:val="005530EC"/>
    <w:rsid w:val="0055358D"/>
    <w:rsid w:val="005539BA"/>
    <w:rsid w:val="00553BF0"/>
    <w:rsid w:val="00553DEE"/>
    <w:rsid w:val="00554735"/>
    <w:rsid w:val="005549C5"/>
    <w:rsid w:val="00554B06"/>
    <w:rsid w:val="00555080"/>
    <w:rsid w:val="00555933"/>
    <w:rsid w:val="00555CB1"/>
    <w:rsid w:val="00556626"/>
    <w:rsid w:val="00556D5B"/>
    <w:rsid w:val="0055732B"/>
    <w:rsid w:val="0055741C"/>
    <w:rsid w:val="00557607"/>
    <w:rsid w:val="00557B24"/>
    <w:rsid w:val="00560718"/>
    <w:rsid w:val="00560FAF"/>
    <w:rsid w:val="0056146C"/>
    <w:rsid w:val="00562044"/>
    <w:rsid w:val="00562087"/>
    <w:rsid w:val="00562328"/>
    <w:rsid w:val="0056354C"/>
    <w:rsid w:val="005636A9"/>
    <w:rsid w:val="00563DA9"/>
    <w:rsid w:val="00564680"/>
    <w:rsid w:val="00564B0F"/>
    <w:rsid w:val="00564B4D"/>
    <w:rsid w:val="00564D13"/>
    <w:rsid w:val="00565015"/>
    <w:rsid w:val="0056590D"/>
    <w:rsid w:val="00565B3C"/>
    <w:rsid w:val="00565BCE"/>
    <w:rsid w:val="005661A5"/>
    <w:rsid w:val="00566425"/>
    <w:rsid w:val="005664C3"/>
    <w:rsid w:val="0056650D"/>
    <w:rsid w:val="00566522"/>
    <w:rsid w:val="005674D7"/>
    <w:rsid w:val="005676E0"/>
    <w:rsid w:val="005676F3"/>
    <w:rsid w:val="00567822"/>
    <w:rsid w:val="00567E01"/>
    <w:rsid w:val="00570067"/>
    <w:rsid w:val="0057011D"/>
    <w:rsid w:val="00570844"/>
    <w:rsid w:val="00570A2C"/>
    <w:rsid w:val="00570C0B"/>
    <w:rsid w:val="00570C22"/>
    <w:rsid w:val="00570E91"/>
    <w:rsid w:val="005718C2"/>
    <w:rsid w:val="00571C60"/>
    <w:rsid w:val="005725BF"/>
    <w:rsid w:val="005725D4"/>
    <w:rsid w:val="00572F9C"/>
    <w:rsid w:val="00573802"/>
    <w:rsid w:val="0057460D"/>
    <w:rsid w:val="005746EC"/>
    <w:rsid w:val="005747DB"/>
    <w:rsid w:val="00574DF5"/>
    <w:rsid w:val="005750C8"/>
    <w:rsid w:val="00575166"/>
    <w:rsid w:val="005752C9"/>
    <w:rsid w:val="00575521"/>
    <w:rsid w:val="005759E0"/>
    <w:rsid w:val="00575E69"/>
    <w:rsid w:val="00575E6D"/>
    <w:rsid w:val="00576010"/>
    <w:rsid w:val="00576C89"/>
    <w:rsid w:val="00576D84"/>
    <w:rsid w:val="00576EAA"/>
    <w:rsid w:val="00576F7E"/>
    <w:rsid w:val="005775B8"/>
    <w:rsid w:val="005804CF"/>
    <w:rsid w:val="005804EC"/>
    <w:rsid w:val="00580AED"/>
    <w:rsid w:val="00580EBD"/>
    <w:rsid w:val="00581105"/>
    <w:rsid w:val="0058111B"/>
    <w:rsid w:val="005814DF"/>
    <w:rsid w:val="005816BB"/>
    <w:rsid w:val="0058222C"/>
    <w:rsid w:val="005822D6"/>
    <w:rsid w:val="005825DE"/>
    <w:rsid w:val="00582CAC"/>
    <w:rsid w:val="00582E7E"/>
    <w:rsid w:val="005835A0"/>
    <w:rsid w:val="00583E8F"/>
    <w:rsid w:val="005848C3"/>
    <w:rsid w:val="005851EF"/>
    <w:rsid w:val="00585322"/>
    <w:rsid w:val="00585C1E"/>
    <w:rsid w:val="00586CBA"/>
    <w:rsid w:val="00586D43"/>
    <w:rsid w:val="00586F31"/>
    <w:rsid w:val="00587343"/>
    <w:rsid w:val="005876A1"/>
    <w:rsid w:val="0058783A"/>
    <w:rsid w:val="00587BA2"/>
    <w:rsid w:val="00587E8E"/>
    <w:rsid w:val="00590266"/>
    <w:rsid w:val="0059033F"/>
    <w:rsid w:val="00591CC4"/>
    <w:rsid w:val="005922E4"/>
    <w:rsid w:val="0059244D"/>
    <w:rsid w:val="0059262C"/>
    <w:rsid w:val="00592AB1"/>
    <w:rsid w:val="00592AD5"/>
    <w:rsid w:val="00592C7D"/>
    <w:rsid w:val="00592D87"/>
    <w:rsid w:val="00593282"/>
    <w:rsid w:val="005935AD"/>
    <w:rsid w:val="00593F17"/>
    <w:rsid w:val="00594453"/>
    <w:rsid w:val="0059465A"/>
    <w:rsid w:val="005949E8"/>
    <w:rsid w:val="00594CC8"/>
    <w:rsid w:val="00594E0A"/>
    <w:rsid w:val="00595EF8"/>
    <w:rsid w:val="00596664"/>
    <w:rsid w:val="00596E23"/>
    <w:rsid w:val="0059770A"/>
    <w:rsid w:val="0059786D"/>
    <w:rsid w:val="00597A3D"/>
    <w:rsid w:val="00597D47"/>
    <w:rsid w:val="00597F0F"/>
    <w:rsid w:val="005A0680"/>
    <w:rsid w:val="005A2086"/>
    <w:rsid w:val="005A2449"/>
    <w:rsid w:val="005A25BC"/>
    <w:rsid w:val="005A2E3D"/>
    <w:rsid w:val="005A2FA9"/>
    <w:rsid w:val="005A3A94"/>
    <w:rsid w:val="005A3DBB"/>
    <w:rsid w:val="005A40C7"/>
    <w:rsid w:val="005A43DE"/>
    <w:rsid w:val="005A4891"/>
    <w:rsid w:val="005A490E"/>
    <w:rsid w:val="005A4D00"/>
    <w:rsid w:val="005A4FF7"/>
    <w:rsid w:val="005A50ED"/>
    <w:rsid w:val="005A5878"/>
    <w:rsid w:val="005A5DA3"/>
    <w:rsid w:val="005A5F80"/>
    <w:rsid w:val="005A6017"/>
    <w:rsid w:val="005A6431"/>
    <w:rsid w:val="005A665D"/>
    <w:rsid w:val="005A76EB"/>
    <w:rsid w:val="005A7750"/>
    <w:rsid w:val="005B01C6"/>
    <w:rsid w:val="005B0ABE"/>
    <w:rsid w:val="005B0B37"/>
    <w:rsid w:val="005B0ECC"/>
    <w:rsid w:val="005B10F1"/>
    <w:rsid w:val="005B1363"/>
    <w:rsid w:val="005B19A0"/>
    <w:rsid w:val="005B1BAB"/>
    <w:rsid w:val="005B1E23"/>
    <w:rsid w:val="005B25F5"/>
    <w:rsid w:val="005B29A4"/>
    <w:rsid w:val="005B3155"/>
    <w:rsid w:val="005B3B92"/>
    <w:rsid w:val="005B405C"/>
    <w:rsid w:val="005B4216"/>
    <w:rsid w:val="005B4333"/>
    <w:rsid w:val="005B47CF"/>
    <w:rsid w:val="005B4C69"/>
    <w:rsid w:val="005B4EDA"/>
    <w:rsid w:val="005B56BD"/>
    <w:rsid w:val="005B5882"/>
    <w:rsid w:val="005B5E71"/>
    <w:rsid w:val="005B62AC"/>
    <w:rsid w:val="005B677E"/>
    <w:rsid w:val="005B7636"/>
    <w:rsid w:val="005B7779"/>
    <w:rsid w:val="005C072E"/>
    <w:rsid w:val="005C08BA"/>
    <w:rsid w:val="005C174C"/>
    <w:rsid w:val="005C2165"/>
    <w:rsid w:val="005C24BF"/>
    <w:rsid w:val="005C2931"/>
    <w:rsid w:val="005C2BF3"/>
    <w:rsid w:val="005C2DCA"/>
    <w:rsid w:val="005C2EAF"/>
    <w:rsid w:val="005C3087"/>
    <w:rsid w:val="005C371E"/>
    <w:rsid w:val="005C3A50"/>
    <w:rsid w:val="005C3E07"/>
    <w:rsid w:val="005C5506"/>
    <w:rsid w:val="005C65E9"/>
    <w:rsid w:val="005C737F"/>
    <w:rsid w:val="005C767E"/>
    <w:rsid w:val="005C7A29"/>
    <w:rsid w:val="005C7A38"/>
    <w:rsid w:val="005D00C2"/>
    <w:rsid w:val="005D0968"/>
    <w:rsid w:val="005D17C5"/>
    <w:rsid w:val="005D1AA0"/>
    <w:rsid w:val="005D1D61"/>
    <w:rsid w:val="005D2EFB"/>
    <w:rsid w:val="005D3057"/>
    <w:rsid w:val="005D327D"/>
    <w:rsid w:val="005D4354"/>
    <w:rsid w:val="005D48AF"/>
    <w:rsid w:val="005D4AB4"/>
    <w:rsid w:val="005D6082"/>
    <w:rsid w:val="005D62C5"/>
    <w:rsid w:val="005D63C7"/>
    <w:rsid w:val="005D6654"/>
    <w:rsid w:val="005D7961"/>
    <w:rsid w:val="005D7C46"/>
    <w:rsid w:val="005D7FB9"/>
    <w:rsid w:val="005E0197"/>
    <w:rsid w:val="005E0BDD"/>
    <w:rsid w:val="005E11B2"/>
    <w:rsid w:val="005E1349"/>
    <w:rsid w:val="005E17E5"/>
    <w:rsid w:val="005E1AE1"/>
    <w:rsid w:val="005E1D05"/>
    <w:rsid w:val="005E23D8"/>
    <w:rsid w:val="005E2EED"/>
    <w:rsid w:val="005E31C8"/>
    <w:rsid w:val="005E40CB"/>
    <w:rsid w:val="005E4245"/>
    <w:rsid w:val="005E46EE"/>
    <w:rsid w:val="005E5979"/>
    <w:rsid w:val="005E6276"/>
    <w:rsid w:val="005E70D6"/>
    <w:rsid w:val="005E725E"/>
    <w:rsid w:val="005E7732"/>
    <w:rsid w:val="005E79E2"/>
    <w:rsid w:val="005F0010"/>
    <w:rsid w:val="005F0AB6"/>
    <w:rsid w:val="005F0CAF"/>
    <w:rsid w:val="005F0F00"/>
    <w:rsid w:val="005F1466"/>
    <w:rsid w:val="005F1AFF"/>
    <w:rsid w:val="005F2087"/>
    <w:rsid w:val="005F280F"/>
    <w:rsid w:val="005F28E0"/>
    <w:rsid w:val="005F3686"/>
    <w:rsid w:val="005F4204"/>
    <w:rsid w:val="005F4382"/>
    <w:rsid w:val="005F4646"/>
    <w:rsid w:val="005F5058"/>
    <w:rsid w:val="005F555D"/>
    <w:rsid w:val="005F5843"/>
    <w:rsid w:val="005F5BAE"/>
    <w:rsid w:val="005F7847"/>
    <w:rsid w:val="006001D0"/>
    <w:rsid w:val="006012B9"/>
    <w:rsid w:val="006013F6"/>
    <w:rsid w:val="006016D3"/>
    <w:rsid w:val="00601A88"/>
    <w:rsid w:val="00603121"/>
    <w:rsid w:val="0060327D"/>
    <w:rsid w:val="0060357B"/>
    <w:rsid w:val="00603B47"/>
    <w:rsid w:val="00603F66"/>
    <w:rsid w:val="006043E3"/>
    <w:rsid w:val="0060462D"/>
    <w:rsid w:val="0060469E"/>
    <w:rsid w:val="00604C9A"/>
    <w:rsid w:val="00604F34"/>
    <w:rsid w:val="00604FF1"/>
    <w:rsid w:val="00604FF5"/>
    <w:rsid w:val="00605832"/>
    <w:rsid w:val="00605DB1"/>
    <w:rsid w:val="0060671C"/>
    <w:rsid w:val="006069D1"/>
    <w:rsid w:val="00606DF7"/>
    <w:rsid w:val="0060739A"/>
    <w:rsid w:val="0060796A"/>
    <w:rsid w:val="00607B98"/>
    <w:rsid w:val="00610225"/>
    <w:rsid w:val="00610484"/>
    <w:rsid w:val="00610D06"/>
    <w:rsid w:val="0061110B"/>
    <w:rsid w:val="00611BA4"/>
    <w:rsid w:val="00611FF7"/>
    <w:rsid w:val="00612462"/>
    <w:rsid w:val="00613084"/>
    <w:rsid w:val="00613995"/>
    <w:rsid w:val="00614C52"/>
    <w:rsid w:val="00614D7E"/>
    <w:rsid w:val="00615220"/>
    <w:rsid w:val="00615353"/>
    <w:rsid w:val="00615AEF"/>
    <w:rsid w:val="00615F2F"/>
    <w:rsid w:val="006160C1"/>
    <w:rsid w:val="00616B61"/>
    <w:rsid w:val="00617CB6"/>
    <w:rsid w:val="00617DE4"/>
    <w:rsid w:val="00617FE4"/>
    <w:rsid w:val="00620038"/>
    <w:rsid w:val="00620BE0"/>
    <w:rsid w:val="0062264C"/>
    <w:rsid w:val="00622D3B"/>
    <w:rsid w:val="00623ADE"/>
    <w:rsid w:val="00623C0F"/>
    <w:rsid w:val="00624947"/>
    <w:rsid w:val="00624A84"/>
    <w:rsid w:val="00624F56"/>
    <w:rsid w:val="006255BA"/>
    <w:rsid w:val="00625B80"/>
    <w:rsid w:val="006263C9"/>
    <w:rsid w:val="006266C1"/>
    <w:rsid w:val="00626D7B"/>
    <w:rsid w:val="00627058"/>
    <w:rsid w:val="006272CB"/>
    <w:rsid w:val="00627647"/>
    <w:rsid w:val="0062768A"/>
    <w:rsid w:val="006279C3"/>
    <w:rsid w:val="00627EE1"/>
    <w:rsid w:val="0063027B"/>
    <w:rsid w:val="006306C7"/>
    <w:rsid w:val="00630844"/>
    <w:rsid w:val="00630865"/>
    <w:rsid w:val="00630C64"/>
    <w:rsid w:val="00631066"/>
    <w:rsid w:val="006312B6"/>
    <w:rsid w:val="006314D9"/>
    <w:rsid w:val="00631F21"/>
    <w:rsid w:val="00631F70"/>
    <w:rsid w:val="00631FF3"/>
    <w:rsid w:val="00632290"/>
    <w:rsid w:val="006337CC"/>
    <w:rsid w:val="006342C8"/>
    <w:rsid w:val="00634BDF"/>
    <w:rsid w:val="00634CBE"/>
    <w:rsid w:val="0063517D"/>
    <w:rsid w:val="00635BCB"/>
    <w:rsid w:val="0063626B"/>
    <w:rsid w:val="006369D9"/>
    <w:rsid w:val="00636C1F"/>
    <w:rsid w:val="00636D23"/>
    <w:rsid w:val="00636F30"/>
    <w:rsid w:val="00637073"/>
    <w:rsid w:val="0063764D"/>
    <w:rsid w:val="00637FD8"/>
    <w:rsid w:val="006403AE"/>
    <w:rsid w:val="006403FC"/>
    <w:rsid w:val="00641087"/>
    <w:rsid w:val="00641D9B"/>
    <w:rsid w:val="006420B0"/>
    <w:rsid w:val="00642A32"/>
    <w:rsid w:val="00642C8F"/>
    <w:rsid w:val="00643072"/>
    <w:rsid w:val="006432E2"/>
    <w:rsid w:val="0064333C"/>
    <w:rsid w:val="006435AE"/>
    <w:rsid w:val="006442A0"/>
    <w:rsid w:val="00644F53"/>
    <w:rsid w:val="00645672"/>
    <w:rsid w:val="0064581E"/>
    <w:rsid w:val="00645B3F"/>
    <w:rsid w:val="00646914"/>
    <w:rsid w:val="00646DF0"/>
    <w:rsid w:val="00647204"/>
    <w:rsid w:val="00650166"/>
    <w:rsid w:val="006502CC"/>
    <w:rsid w:val="00650798"/>
    <w:rsid w:val="006518E7"/>
    <w:rsid w:val="00651BE9"/>
    <w:rsid w:val="00652363"/>
    <w:rsid w:val="006524F9"/>
    <w:rsid w:val="0065282D"/>
    <w:rsid w:val="00652A78"/>
    <w:rsid w:val="006533C1"/>
    <w:rsid w:val="006536F8"/>
    <w:rsid w:val="00653928"/>
    <w:rsid w:val="006545A8"/>
    <w:rsid w:val="006548FC"/>
    <w:rsid w:val="006549AF"/>
    <w:rsid w:val="00654BC1"/>
    <w:rsid w:val="00655414"/>
    <w:rsid w:val="006555A2"/>
    <w:rsid w:val="00655765"/>
    <w:rsid w:val="006563E0"/>
    <w:rsid w:val="0065651C"/>
    <w:rsid w:val="006567EB"/>
    <w:rsid w:val="0065709E"/>
    <w:rsid w:val="006574F8"/>
    <w:rsid w:val="00657502"/>
    <w:rsid w:val="0065756F"/>
    <w:rsid w:val="006575D3"/>
    <w:rsid w:val="0066016A"/>
    <w:rsid w:val="006603C5"/>
    <w:rsid w:val="006616BD"/>
    <w:rsid w:val="00661E15"/>
    <w:rsid w:val="006625C5"/>
    <w:rsid w:val="006627AA"/>
    <w:rsid w:val="00663B9D"/>
    <w:rsid w:val="00663E3C"/>
    <w:rsid w:val="0066476D"/>
    <w:rsid w:val="00665EEB"/>
    <w:rsid w:val="00666A77"/>
    <w:rsid w:val="00667096"/>
    <w:rsid w:val="00667152"/>
    <w:rsid w:val="00667373"/>
    <w:rsid w:val="0066793B"/>
    <w:rsid w:val="00667C2A"/>
    <w:rsid w:val="006702C0"/>
    <w:rsid w:val="00670402"/>
    <w:rsid w:val="00670D5B"/>
    <w:rsid w:val="00671ED6"/>
    <w:rsid w:val="00672023"/>
    <w:rsid w:val="0067240A"/>
    <w:rsid w:val="00672776"/>
    <w:rsid w:val="00672F0A"/>
    <w:rsid w:val="00672F20"/>
    <w:rsid w:val="00673D90"/>
    <w:rsid w:val="00674DB4"/>
    <w:rsid w:val="0067505F"/>
    <w:rsid w:val="00675154"/>
    <w:rsid w:val="00675275"/>
    <w:rsid w:val="00675340"/>
    <w:rsid w:val="006756B6"/>
    <w:rsid w:val="006767E8"/>
    <w:rsid w:val="0067680D"/>
    <w:rsid w:val="00677BF5"/>
    <w:rsid w:val="00677CD5"/>
    <w:rsid w:val="00680987"/>
    <w:rsid w:val="00680A25"/>
    <w:rsid w:val="00680AF1"/>
    <w:rsid w:val="0068113D"/>
    <w:rsid w:val="006811C1"/>
    <w:rsid w:val="0068155C"/>
    <w:rsid w:val="0068176A"/>
    <w:rsid w:val="0068180F"/>
    <w:rsid w:val="00681DFD"/>
    <w:rsid w:val="00682377"/>
    <w:rsid w:val="0068257A"/>
    <w:rsid w:val="00682A02"/>
    <w:rsid w:val="00683285"/>
    <w:rsid w:val="0068349E"/>
    <w:rsid w:val="00683749"/>
    <w:rsid w:val="00683A17"/>
    <w:rsid w:val="00683B79"/>
    <w:rsid w:val="0068439D"/>
    <w:rsid w:val="006843CC"/>
    <w:rsid w:val="006849FC"/>
    <w:rsid w:val="00684A40"/>
    <w:rsid w:val="006850E4"/>
    <w:rsid w:val="00685511"/>
    <w:rsid w:val="00685F14"/>
    <w:rsid w:val="0068673D"/>
    <w:rsid w:val="0068674B"/>
    <w:rsid w:val="00687184"/>
    <w:rsid w:val="00687A2C"/>
    <w:rsid w:val="0069021E"/>
    <w:rsid w:val="00691475"/>
    <w:rsid w:val="00691508"/>
    <w:rsid w:val="006915F6"/>
    <w:rsid w:val="0069275E"/>
    <w:rsid w:val="00692A2E"/>
    <w:rsid w:val="00692D66"/>
    <w:rsid w:val="00692FD1"/>
    <w:rsid w:val="00692FDC"/>
    <w:rsid w:val="00693417"/>
    <w:rsid w:val="00693539"/>
    <w:rsid w:val="00693691"/>
    <w:rsid w:val="00693D94"/>
    <w:rsid w:val="00694538"/>
    <w:rsid w:val="00694B80"/>
    <w:rsid w:val="00694DFD"/>
    <w:rsid w:val="00695E8D"/>
    <w:rsid w:val="006978E3"/>
    <w:rsid w:val="00697CD6"/>
    <w:rsid w:val="00697CF3"/>
    <w:rsid w:val="00697F50"/>
    <w:rsid w:val="006A0024"/>
    <w:rsid w:val="006A0865"/>
    <w:rsid w:val="006A0B98"/>
    <w:rsid w:val="006A0F16"/>
    <w:rsid w:val="006A1A5C"/>
    <w:rsid w:val="006A1D6B"/>
    <w:rsid w:val="006A1EB9"/>
    <w:rsid w:val="006A1FDC"/>
    <w:rsid w:val="006A2405"/>
    <w:rsid w:val="006A2520"/>
    <w:rsid w:val="006A2AB6"/>
    <w:rsid w:val="006A2BDF"/>
    <w:rsid w:val="006A2C1B"/>
    <w:rsid w:val="006A329F"/>
    <w:rsid w:val="006A3AF5"/>
    <w:rsid w:val="006A3FDE"/>
    <w:rsid w:val="006A449C"/>
    <w:rsid w:val="006A44E2"/>
    <w:rsid w:val="006A6300"/>
    <w:rsid w:val="006A6639"/>
    <w:rsid w:val="006A680A"/>
    <w:rsid w:val="006A6B05"/>
    <w:rsid w:val="006A721C"/>
    <w:rsid w:val="006A79C3"/>
    <w:rsid w:val="006A7A1D"/>
    <w:rsid w:val="006A7AD1"/>
    <w:rsid w:val="006B03FA"/>
    <w:rsid w:val="006B0492"/>
    <w:rsid w:val="006B0C3B"/>
    <w:rsid w:val="006B0D12"/>
    <w:rsid w:val="006B0DB8"/>
    <w:rsid w:val="006B1887"/>
    <w:rsid w:val="006B238F"/>
    <w:rsid w:val="006B2541"/>
    <w:rsid w:val="006B2C03"/>
    <w:rsid w:val="006B2CDD"/>
    <w:rsid w:val="006B3116"/>
    <w:rsid w:val="006B3476"/>
    <w:rsid w:val="006B363B"/>
    <w:rsid w:val="006B3A6D"/>
    <w:rsid w:val="006B3AB7"/>
    <w:rsid w:val="006B45D2"/>
    <w:rsid w:val="006B49FC"/>
    <w:rsid w:val="006B5106"/>
    <w:rsid w:val="006B5951"/>
    <w:rsid w:val="006B5EE9"/>
    <w:rsid w:val="006B605B"/>
    <w:rsid w:val="006B6799"/>
    <w:rsid w:val="006B6BD4"/>
    <w:rsid w:val="006B6ED7"/>
    <w:rsid w:val="006B7205"/>
    <w:rsid w:val="006B78BE"/>
    <w:rsid w:val="006B792E"/>
    <w:rsid w:val="006B7AEF"/>
    <w:rsid w:val="006B7DFB"/>
    <w:rsid w:val="006C00D2"/>
    <w:rsid w:val="006C0CB1"/>
    <w:rsid w:val="006C14DA"/>
    <w:rsid w:val="006C178B"/>
    <w:rsid w:val="006C1D75"/>
    <w:rsid w:val="006C21E1"/>
    <w:rsid w:val="006C2735"/>
    <w:rsid w:val="006C2A7D"/>
    <w:rsid w:val="006C2D80"/>
    <w:rsid w:val="006C2F70"/>
    <w:rsid w:val="006C31F6"/>
    <w:rsid w:val="006C37A6"/>
    <w:rsid w:val="006C39F7"/>
    <w:rsid w:val="006C497A"/>
    <w:rsid w:val="006C4DF0"/>
    <w:rsid w:val="006C5081"/>
    <w:rsid w:val="006C53B0"/>
    <w:rsid w:val="006C5F90"/>
    <w:rsid w:val="006C6591"/>
    <w:rsid w:val="006C6A3B"/>
    <w:rsid w:val="006C7195"/>
    <w:rsid w:val="006C7951"/>
    <w:rsid w:val="006C7A2D"/>
    <w:rsid w:val="006C7CE7"/>
    <w:rsid w:val="006C7E81"/>
    <w:rsid w:val="006D00EA"/>
    <w:rsid w:val="006D02AB"/>
    <w:rsid w:val="006D0A4B"/>
    <w:rsid w:val="006D11E7"/>
    <w:rsid w:val="006D15D5"/>
    <w:rsid w:val="006D17CB"/>
    <w:rsid w:val="006D1801"/>
    <w:rsid w:val="006D2887"/>
    <w:rsid w:val="006D2BA0"/>
    <w:rsid w:val="006D35D7"/>
    <w:rsid w:val="006D3909"/>
    <w:rsid w:val="006D4DE0"/>
    <w:rsid w:val="006D5428"/>
    <w:rsid w:val="006D6806"/>
    <w:rsid w:val="006D6A42"/>
    <w:rsid w:val="006D711B"/>
    <w:rsid w:val="006D7533"/>
    <w:rsid w:val="006D7E7F"/>
    <w:rsid w:val="006E0A29"/>
    <w:rsid w:val="006E14C4"/>
    <w:rsid w:val="006E14F4"/>
    <w:rsid w:val="006E259C"/>
    <w:rsid w:val="006E27B9"/>
    <w:rsid w:val="006E2C82"/>
    <w:rsid w:val="006E36B6"/>
    <w:rsid w:val="006E38C2"/>
    <w:rsid w:val="006E39C1"/>
    <w:rsid w:val="006E3B06"/>
    <w:rsid w:val="006E3C6E"/>
    <w:rsid w:val="006E41F1"/>
    <w:rsid w:val="006E432C"/>
    <w:rsid w:val="006E489D"/>
    <w:rsid w:val="006E494C"/>
    <w:rsid w:val="006E56A1"/>
    <w:rsid w:val="006E680A"/>
    <w:rsid w:val="006E6E42"/>
    <w:rsid w:val="006E737A"/>
    <w:rsid w:val="006E75F2"/>
    <w:rsid w:val="006F001C"/>
    <w:rsid w:val="006F05CB"/>
    <w:rsid w:val="006F0A44"/>
    <w:rsid w:val="006F13A1"/>
    <w:rsid w:val="006F149E"/>
    <w:rsid w:val="006F2948"/>
    <w:rsid w:val="006F2974"/>
    <w:rsid w:val="006F2F03"/>
    <w:rsid w:val="006F3FCA"/>
    <w:rsid w:val="006F4A78"/>
    <w:rsid w:val="006F4B18"/>
    <w:rsid w:val="006F4C49"/>
    <w:rsid w:val="006F5BEE"/>
    <w:rsid w:val="006F5FCE"/>
    <w:rsid w:val="006F6605"/>
    <w:rsid w:val="006F67C2"/>
    <w:rsid w:val="006F6C2C"/>
    <w:rsid w:val="006F78C6"/>
    <w:rsid w:val="006F7937"/>
    <w:rsid w:val="006F7B27"/>
    <w:rsid w:val="006F7C77"/>
    <w:rsid w:val="006F7D38"/>
    <w:rsid w:val="006F7D3B"/>
    <w:rsid w:val="006F7D77"/>
    <w:rsid w:val="0070026E"/>
    <w:rsid w:val="00700845"/>
    <w:rsid w:val="00701466"/>
    <w:rsid w:val="00701DF1"/>
    <w:rsid w:val="007029D1"/>
    <w:rsid w:val="00702FC1"/>
    <w:rsid w:val="00703106"/>
    <w:rsid w:val="007036D8"/>
    <w:rsid w:val="00703A0C"/>
    <w:rsid w:val="00703E77"/>
    <w:rsid w:val="00704264"/>
    <w:rsid w:val="00704FCD"/>
    <w:rsid w:val="0070517C"/>
    <w:rsid w:val="007051C7"/>
    <w:rsid w:val="007057FE"/>
    <w:rsid w:val="00705A34"/>
    <w:rsid w:val="00705FF6"/>
    <w:rsid w:val="0070664E"/>
    <w:rsid w:val="00706983"/>
    <w:rsid w:val="00706991"/>
    <w:rsid w:val="00706E22"/>
    <w:rsid w:val="00707095"/>
    <w:rsid w:val="007078EC"/>
    <w:rsid w:val="00710FAD"/>
    <w:rsid w:val="007116D9"/>
    <w:rsid w:val="007119EB"/>
    <w:rsid w:val="00711C13"/>
    <w:rsid w:val="007120AA"/>
    <w:rsid w:val="0071290D"/>
    <w:rsid w:val="0071293C"/>
    <w:rsid w:val="00712EFA"/>
    <w:rsid w:val="00712FD2"/>
    <w:rsid w:val="0071308F"/>
    <w:rsid w:val="00713129"/>
    <w:rsid w:val="007131F6"/>
    <w:rsid w:val="00713549"/>
    <w:rsid w:val="00713820"/>
    <w:rsid w:val="007141F3"/>
    <w:rsid w:val="00715122"/>
    <w:rsid w:val="00715375"/>
    <w:rsid w:val="007156BC"/>
    <w:rsid w:val="00716166"/>
    <w:rsid w:val="00716620"/>
    <w:rsid w:val="00716693"/>
    <w:rsid w:val="0071743E"/>
    <w:rsid w:val="00717624"/>
    <w:rsid w:val="00717DCC"/>
    <w:rsid w:val="00717FBF"/>
    <w:rsid w:val="00720496"/>
    <w:rsid w:val="0072068F"/>
    <w:rsid w:val="00720FE3"/>
    <w:rsid w:val="00721766"/>
    <w:rsid w:val="00721A4F"/>
    <w:rsid w:val="00721EAA"/>
    <w:rsid w:val="00723C61"/>
    <w:rsid w:val="007241EE"/>
    <w:rsid w:val="00724683"/>
    <w:rsid w:val="007246EE"/>
    <w:rsid w:val="007247F8"/>
    <w:rsid w:val="007256A6"/>
    <w:rsid w:val="007257C9"/>
    <w:rsid w:val="00725BDD"/>
    <w:rsid w:val="0072607E"/>
    <w:rsid w:val="007261CC"/>
    <w:rsid w:val="00726650"/>
    <w:rsid w:val="00727C63"/>
    <w:rsid w:val="007305C0"/>
    <w:rsid w:val="00730A67"/>
    <w:rsid w:val="00731B52"/>
    <w:rsid w:val="00731B6B"/>
    <w:rsid w:val="00731D02"/>
    <w:rsid w:val="00731DF2"/>
    <w:rsid w:val="00731FA4"/>
    <w:rsid w:val="00732280"/>
    <w:rsid w:val="00732442"/>
    <w:rsid w:val="007333EF"/>
    <w:rsid w:val="00733590"/>
    <w:rsid w:val="00734202"/>
    <w:rsid w:val="007344ED"/>
    <w:rsid w:val="00734C49"/>
    <w:rsid w:val="00735283"/>
    <w:rsid w:val="00735775"/>
    <w:rsid w:val="007361C8"/>
    <w:rsid w:val="00736C91"/>
    <w:rsid w:val="00736F5D"/>
    <w:rsid w:val="0073731D"/>
    <w:rsid w:val="007374E7"/>
    <w:rsid w:val="00737CE3"/>
    <w:rsid w:val="00737E41"/>
    <w:rsid w:val="00737F9C"/>
    <w:rsid w:val="0074010B"/>
    <w:rsid w:val="007408A1"/>
    <w:rsid w:val="007414D0"/>
    <w:rsid w:val="0074154F"/>
    <w:rsid w:val="0074170C"/>
    <w:rsid w:val="00741C0A"/>
    <w:rsid w:val="0074222B"/>
    <w:rsid w:val="00742404"/>
    <w:rsid w:val="00742435"/>
    <w:rsid w:val="007434F3"/>
    <w:rsid w:val="00743742"/>
    <w:rsid w:val="007445C8"/>
    <w:rsid w:val="007448FD"/>
    <w:rsid w:val="00745985"/>
    <w:rsid w:val="00745C4E"/>
    <w:rsid w:val="00745FF5"/>
    <w:rsid w:val="00746D1F"/>
    <w:rsid w:val="00746D3E"/>
    <w:rsid w:val="00747F04"/>
    <w:rsid w:val="00747F71"/>
    <w:rsid w:val="00750104"/>
    <w:rsid w:val="007503B3"/>
    <w:rsid w:val="007503DC"/>
    <w:rsid w:val="0075082C"/>
    <w:rsid w:val="00751020"/>
    <w:rsid w:val="007510EA"/>
    <w:rsid w:val="00752317"/>
    <w:rsid w:val="00752904"/>
    <w:rsid w:val="007529BB"/>
    <w:rsid w:val="007529FB"/>
    <w:rsid w:val="00752D33"/>
    <w:rsid w:val="0075458B"/>
    <w:rsid w:val="00754AB8"/>
    <w:rsid w:val="0075592E"/>
    <w:rsid w:val="00756761"/>
    <w:rsid w:val="007576B0"/>
    <w:rsid w:val="007577AD"/>
    <w:rsid w:val="007577EF"/>
    <w:rsid w:val="007578C1"/>
    <w:rsid w:val="0075790D"/>
    <w:rsid w:val="0075795F"/>
    <w:rsid w:val="00757C48"/>
    <w:rsid w:val="0076003A"/>
    <w:rsid w:val="0076052D"/>
    <w:rsid w:val="007606B3"/>
    <w:rsid w:val="00760A33"/>
    <w:rsid w:val="00760BE8"/>
    <w:rsid w:val="00760D4D"/>
    <w:rsid w:val="00761365"/>
    <w:rsid w:val="007613AA"/>
    <w:rsid w:val="00761E6D"/>
    <w:rsid w:val="00762EA8"/>
    <w:rsid w:val="00763049"/>
    <w:rsid w:val="0076349C"/>
    <w:rsid w:val="0076358B"/>
    <w:rsid w:val="007641B2"/>
    <w:rsid w:val="007648F3"/>
    <w:rsid w:val="007660DA"/>
    <w:rsid w:val="007661A2"/>
    <w:rsid w:val="0076634F"/>
    <w:rsid w:val="00766512"/>
    <w:rsid w:val="00766BFA"/>
    <w:rsid w:val="00766CA9"/>
    <w:rsid w:val="00767211"/>
    <w:rsid w:val="00767529"/>
    <w:rsid w:val="007676C6"/>
    <w:rsid w:val="00767EA6"/>
    <w:rsid w:val="007704CC"/>
    <w:rsid w:val="00770844"/>
    <w:rsid w:val="007715B3"/>
    <w:rsid w:val="00771BB1"/>
    <w:rsid w:val="00771E23"/>
    <w:rsid w:val="00771EEF"/>
    <w:rsid w:val="0077266A"/>
    <w:rsid w:val="00772758"/>
    <w:rsid w:val="00772AA1"/>
    <w:rsid w:val="00772F20"/>
    <w:rsid w:val="00772FCC"/>
    <w:rsid w:val="007731CB"/>
    <w:rsid w:val="007739F8"/>
    <w:rsid w:val="00773C09"/>
    <w:rsid w:val="00773C45"/>
    <w:rsid w:val="0077418F"/>
    <w:rsid w:val="0077516A"/>
    <w:rsid w:val="007751B7"/>
    <w:rsid w:val="00776F5A"/>
    <w:rsid w:val="00777564"/>
    <w:rsid w:val="00777607"/>
    <w:rsid w:val="00777AD3"/>
    <w:rsid w:val="00780197"/>
    <w:rsid w:val="00780A1B"/>
    <w:rsid w:val="00780CA7"/>
    <w:rsid w:val="00780DEB"/>
    <w:rsid w:val="00780F0A"/>
    <w:rsid w:val="007813BB"/>
    <w:rsid w:val="0078175D"/>
    <w:rsid w:val="00781D7A"/>
    <w:rsid w:val="0078217B"/>
    <w:rsid w:val="00782439"/>
    <w:rsid w:val="007827D9"/>
    <w:rsid w:val="00782977"/>
    <w:rsid w:val="00782FB3"/>
    <w:rsid w:val="007834B3"/>
    <w:rsid w:val="007854C0"/>
    <w:rsid w:val="0078553A"/>
    <w:rsid w:val="00785FAC"/>
    <w:rsid w:val="007862D3"/>
    <w:rsid w:val="0078641D"/>
    <w:rsid w:val="00786DA8"/>
    <w:rsid w:val="00787B94"/>
    <w:rsid w:val="00787FA9"/>
    <w:rsid w:val="007905DC"/>
    <w:rsid w:val="00790C72"/>
    <w:rsid w:val="00790DA6"/>
    <w:rsid w:val="007912BD"/>
    <w:rsid w:val="0079175A"/>
    <w:rsid w:val="007924D1"/>
    <w:rsid w:val="00792A24"/>
    <w:rsid w:val="00792FBB"/>
    <w:rsid w:val="00793291"/>
    <w:rsid w:val="00793B52"/>
    <w:rsid w:val="00793FA7"/>
    <w:rsid w:val="00793FEF"/>
    <w:rsid w:val="0079423D"/>
    <w:rsid w:val="007943A2"/>
    <w:rsid w:val="00794516"/>
    <w:rsid w:val="00794A8B"/>
    <w:rsid w:val="00795B3D"/>
    <w:rsid w:val="00795EB4"/>
    <w:rsid w:val="00795EEA"/>
    <w:rsid w:val="00795EF1"/>
    <w:rsid w:val="00795F40"/>
    <w:rsid w:val="00796D96"/>
    <w:rsid w:val="00796DE4"/>
    <w:rsid w:val="00797798"/>
    <w:rsid w:val="007A041A"/>
    <w:rsid w:val="007A0A84"/>
    <w:rsid w:val="007A1AC6"/>
    <w:rsid w:val="007A2C0B"/>
    <w:rsid w:val="007A2E19"/>
    <w:rsid w:val="007A34C0"/>
    <w:rsid w:val="007A35D7"/>
    <w:rsid w:val="007A3B9E"/>
    <w:rsid w:val="007A3EB7"/>
    <w:rsid w:val="007A3F79"/>
    <w:rsid w:val="007A4C40"/>
    <w:rsid w:val="007A4C79"/>
    <w:rsid w:val="007A4FBD"/>
    <w:rsid w:val="007A597E"/>
    <w:rsid w:val="007A6151"/>
    <w:rsid w:val="007A6364"/>
    <w:rsid w:val="007A639F"/>
    <w:rsid w:val="007A63EB"/>
    <w:rsid w:val="007A6CEE"/>
    <w:rsid w:val="007A6E09"/>
    <w:rsid w:val="007A719F"/>
    <w:rsid w:val="007A794B"/>
    <w:rsid w:val="007B0044"/>
    <w:rsid w:val="007B0458"/>
    <w:rsid w:val="007B173C"/>
    <w:rsid w:val="007B19EA"/>
    <w:rsid w:val="007B2228"/>
    <w:rsid w:val="007B231C"/>
    <w:rsid w:val="007B2F39"/>
    <w:rsid w:val="007B2F6D"/>
    <w:rsid w:val="007B31AB"/>
    <w:rsid w:val="007B3E06"/>
    <w:rsid w:val="007B424F"/>
    <w:rsid w:val="007B4716"/>
    <w:rsid w:val="007B4874"/>
    <w:rsid w:val="007B4BB4"/>
    <w:rsid w:val="007B4CB9"/>
    <w:rsid w:val="007B56AE"/>
    <w:rsid w:val="007B6325"/>
    <w:rsid w:val="007B65D0"/>
    <w:rsid w:val="007B6ACF"/>
    <w:rsid w:val="007B6C15"/>
    <w:rsid w:val="007B7207"/>
    <w:rsid w:val="007B773E"/>
    <w:rsid w:val="007B7959"/>
    <w:rsid w:val="007B7E26"/>
    <w:rsid w:val="007B7F23"/>
    <w:rsid w:val="007C0047"/>
    <w:rsid w:val="007C02FE"/>
    <w:rsid w:val="007C08BD"/>
    <w:rsid w:val="007C0B3D"/>
    <w:rsid w:val="007C0DD8"/>
    <w:rsid w:val="007C104C"/>
    <w:rsid w:val="007C153A"/>
    <w:rsid w:val="007C1629"/>
    <w:rsid w:val="007C2058"/>
    <w:rsid w:val="007C2320"/>
    <w:rsid w:val="007C289A"/>
    <w:rsid w:val="007C28DA"/>
    <w:rsid w:val="007C38A3"/>
    <w:rsid w:val="007C4298"/>
    <w:rsid w:val="007C545B"/>
    <w:rsid w:val="007C61EB"/>
    <w:rsid w:val="007C666B"/>
    <w:rsid w:val="007C67B6"/>
    <w:rsid w:val="007C6900"/>
    <w:rsid w:val="007C6F28"/>
    <w:rsid w:val="007C7BE0"/>
    <w:rsid w:val="007C7F69"/>
    <w:rsid w:val="007D028B"/>
    <w:rsid w:val="007D0396"/>
    <w:rsid w:val="007D0989"/>
    <w:rsid w:val="007D1085"/>
    <w:rsid w:val="007D1452"/>
    <w:rsid w:val="007D15C3"/>
    <w:rsid w:val="007D1666"/>
    <w:rsid w:val="007D18A8"/>
    <w:rsid w:val="007D1DED"/>
    <w:rsid w:val="007D1FC5"/>
    <w:rsid w:val="007D2673"/>
    <w:rsid w:val="007D2A76"/>
    <w:rsid w:val="007D3179"/>
    <w:rsid w:val="007D31DB"/>
    <w:rsid w:val="007D321F"/>
    <w:rsid w:val="007D42E3"/>
    <w:rsid w:val="007D4306"/>
    <w:rsid w:val="007D48A2"/>
    <w:rsid w:val="007D4973"/>
    <w:rsid w:val="007D49AA"/>
    <w:rsid w:val="007D4FF4"/>
    <w:rsid w:val="007D5A93"/>
    <w:rsid w:val="007D5E3A"/>
    <w:rsid w:val="007D6229"/>
    <w:rsid w:val="007D6349"/>
    <w:rsid w:val="007D63B9"/>
    <w:rsid w:val="007D673C"/>
    <w:rsid w:val="007D71B7"/>
    <w:rsid w:val="007D74AC"/>
    <w:rsid w:val="007E0B2D"/>
    <w:rsid w:val="007E0B6E"/>
    <w:rsid w:val="007E0CD0"/>
    <w:rsid w:val="007E2117"/>
    <w:rsid w:val="007E2575"/>
    <w:rsid w:val="007E2CC4"/>
    <w:rsid w:val="007E32A7"/>
    <w:rsid w:val="007E40F0"/>
    <w:rsid w:val="007E43BD"/>
    <w:rsid w:val="007E5126"/>
    <w:rsid w:val="007E517E"/>
    <w:rsid w:val="007E5AA7"/>
    <w:rsid w:val="007E5E96"/>
    <w:rsid w:val="007E5EC3"/>
    <w:rsid w:val="007E60A3"/>
    <w:rsid w:val="007E60EB"/>
    <w:rsid w:val="007E688B"/>
    <w:rsid w:val="007E6F57"/>
    <w:rsid w:val="007E72D2"/>
    <w:rsid w:val="007E7B42"/>
    <w:rsid w:val="007E7D9B"/>
    <w:rsid w:val="007F06B4"/>
    <w:rsid w:val="007F0B73"/>
    <w:rsid w:val="007F1413"/>
    <w:rsid w:val="007F17A9"/>
    <w:rsid w:val="007F187E"/>
    <w:rsid w:val="007F1D33"/>
    <w:rsid w:val="007F25A5"/>
    <w:rsid w:val="007F3D7B"/>
    <w:rsid w:val="007F41BF"/>
    <w:rsid w:val="007F4908"/>
    <w:rsid w:val="007F4997"/>
    <w:rsid w:val="007F4A71"/>
    <w:rsid w:val="007F4A8B"/>
    <w:rsid w:val="007F4B0C"/>
    <w:rsid w:val="007F5A65"/>
    <w:rsid w:val="007F5E16"/>
    <w:rsid w:val="007F629F"/>
    <w:rsid w:val="007F677B"/>
    <w:rsid w:val="007F685F"/>
    <w:rsid w:val="007F6BC6"/>
    <w:rsid w:val="007F6EDA"/>
    <w:rsid w:val="007F75CF"/>
    <w:rsid w:val="007F7820"/>
    <w:rsid w:val="007F7E8C"/>
    <w:rsid w:val="008000D0"/>
    <w:rsid w:val="008003A5"/>
    <w:rsid w:val="008008F0"/>
    <w:rsid w:val="0080112E"/>
    <w:rsid w:val="008016D1"/>
    <w:rsid w:val="008017A6"/>
    <w:rsid w:val="00802E29"/>
    <w:rsid w:val="0080305E"/>
    <w:rsid w:val="0080356A"/>
    <w:rsid w:val="008038D0"/>
    <w:rsid w:val="00803E0C"/>
    <w:rsid w:val="008040EB"/>
    <w:rsid w:val="00804252"/>
    <w:rsid w:val="00804285"/>
    <w:rsid w:val="008043C3"/>
    <w:rsid w:val="00804B63"/>
    <w:rsid w:val="00804CC7"/>
    <w:rsid w:val="00804D4A"/>
    <w:rsid w:val="00804E9C"/>
    <w:rsid w:val="00804EDC"/>
    <w:rsid w:val="0080587C"/>
    <w:rsid w:val="00805EEE"/>
    <w:rsid w:val="0080669F"/>
    <w:rsid w:val="00807D68"/>
    <w:rsid w:val="00810179"/>
    <w:rsid w:val="008102CC"/>
    <w:rsid w:val="00810CCA"/>
    <w:rsid w:val="008115AC"/>
    <w:rsid w:val="00811F4D"/>
    <w:rsid w:val="00812214"/>
    <w:rsid w:val="0081225A"/>
    <w:rsid w:val="00813829"/>
    <w:rsid w:val="00813E4E"/>
    <w:rsid w:val="008143CF"/>
    <w:rsid w:val="008146D6"/>
    <w:rsid w:val="008146FA"/>
    <w:rsid w:val="00814E6A"/>
    <w:rsid w:val="00814F07"/>
    <w:rsid w:val="00815546"/>
    <w:rsid w:val="0081591B"/>
    <w:rsid w:val="00815BCD"/>
    <w:rsid w:val="008172BD"/>
    <w:rsid w:val="0081757C"/>
    <w:rsid w:val="00817B52"/>
    <w:rsid w:val="008201BC"/>
    <w:rsid w:val="0082076A"/>
    <w:rsid w:val="0082081F"/>
    <w:rsid w:val="00820F97"/>
    <w:rsid w:val="00822231"/>
    <w:rsid w:val="00822743"/>
    <w:rsid w:val="00822ED2"/>
    <w:rsid w:val="0082372F"/>
    <w:rsid w:val="0082389A"/>
    <w:rsid w:val="00823AD8"/>
    <w:rsid w:val="00823F95"/>
    <w:rsid w:val="0082423F"/>
    <w:rsid w:val="00824285"/>
    <w:rsid w:val="008243F2"/>
    <w:rsid w:val="0082539F"/>
    <w:rsid w:val="00825E90"/>
    <w:rsid w:val="008265D5"/>
    <w:rsid w:val="008267F6"/>
    <w:rsid w:val="008271C1"/>
    <w:rsid w:val="00827903"/>
    <w:rsid w:val="00827B30"/>
    <w:rsid w:val="00827DD1"/>
    <w:rsid w:val="008300E9"/>
    <w:rsid w:val="0083020C"/>
    <w:rsid w:val="008302C6"/>
    <w:rsid w:val="00830921"/>
    <w:rsid w:val="0083093F"/>
    <w:rsid w:val="00830C97"/>
    <w:rsid w:val="0083150A"/>
    <w:rsid w:val="00832BC4"/>
    <w:rsid w:val="00832F3F"/>
    <w:rsid w:val="00833097"/>
    <w:rsid w:val="00833539"/>
    <w:rsid w:val="00833885"/>
    <w:rsid w:val="00833A03"/>
    <w:rsid w:val="00833E54"/>
    <w:rsid w:val="00834151"/>
    <w:rsid w:val="00835DFE"/>
    <w:rsid w:val="0083603C"/>
    <w:rsid w:val="008365F9"/>
    <w:rsid w:val="00837181"/>
    <w:rsid w:val="00837963"/>
    <w:rsid w:val="00837F3A"/>
    <w:rsid w:val="008400FB"/>
    <w:rsid w:val="008401AF"/>
    <w:rsid w:val="008404C5"/>
    <w:rsid w:val="00840635"/>
    <w:rsid w:val="008409F2"/>
    <w:rsid w:val="00840D1C"/>
    <w:rsid w:val="00840E30"/>
    <w:rsid w:val="00841A46"/>
    <w:rsid w:val="008423B3"/>
    <w:rsid w:val="00842A47"/>
    <w:rsid w:val="0084328D"/>
    <w:rsid w:val="0084392C"/>
    <w:rsid w:val="00843F1C"/>
    <w:rsid w:val="0084405E"/>
    <w:rsid w:val="00844171"/>
    <w:rsid w:val="00844A96"/>
    <w:rsid w:val="00844B6D"/>
    <w:rsid w:val="00844DBD"/>
    <w:rsid w:val="008453C5"/>
    <w:rsid w:val="008456FD"/>
    <w:rsid w:val="00845A32"/>
    <w:rsid w:val="00846062"/>
    <w:rsid w:val="008464C3"/>
    <w:rsid w:val="008470C0"/>
    <w:rsid w:val="00847485"/>
    <w:rsid w:val="00847786"/>
    <w:rsid w:val="00847A40"/>
    <w:rsid w:val="008503C4"/>
    <w:rsid w:val="00850DF8"/>
    <w:rsid w:val="008516EC"/>
    <w:rsid w:val="00851721"/>
    <w:rsid w:val="00851C94"/>
    <w:rsid w:val="00851DF2"/>
    <w:rsid w:val="00851ECB"/>
    <w:rsid w:val="00852015"/>
    <w:rsid w:val="0085231D"/>
    <w:rsid w:val="00852F5A"/>
    <w:rsid w:val="008532AF"/>
    <w:rsid w:val="00853B56"/>
    <w:rsid w:val="0085436C"/>
    <w:rsid w:val="00854C5F"/>
    <w:rsid w:val="00854DAB"/>
    <w:rsid w:val="008550C6"/>
    <w:rsid w:val="0085568A"/>
    <w:rsid w:val="008557EA"/>
    <w:rsid w:val="00855F8F"/>
    <w:rsid w:val="00856F2F"/>
    <w:rsid w:val="0085716C"/>
    <w:rsid w:val="008577B0"/>
    <w:rsid w:val="00857863"/>
    <w:rsid w:val="00857A29"/>
    <w:rsid w:val="00857A81"/>
    <w:rsid w:val="0086135A"/>
    <w:rsid w:val="0086139E"/>
    <w:rsid w:val="0086162F"/>
    <w:rsid w:val="0086166F"/>
    <w:rsid w:val="008619CA"/>
    <w:rsid w:val="008622CB"/>
    <w:rsid w:val="00862CB5"/>
    <w:rsid w:val="00863377"/>
    <w:rsid w:val="008647F0"/>
    <w:rsid w:val="0086522D"/>
    <w:rsid w:val="00865E52"/>
    <w:rsid w:val="008661B1"/>
    <w:rsid w:val="00866D5E"/>
    <w:rsid w:val="00867821"/>
    <w:rsid w:val="008679E3"/>
    <w:rsid w:val="00867A4C"/>
    <w:rsid w:val="00870384"/>
    <w:rsid w:val="008703DE"/>
    <w:rsid w:val="008716A8"/>
    <w:rsid w:val="00872E73"/>
    <w:rsid w:val="00873467"/>
    <w:rsid w:val="0087400F"/>
    <w:rsid w:val="008741E0"/>
    <w:rsid w:val="008743A7"/>
    <w:rsid w:val="0087468F"/>
    <w:rsid w:val="00874719"/>
    <w:rsid w:val="00874FC2"/>
    <w:rsid w:val="0087534B"/>
    <w:rsid w:val="00875959"/>
    <w:rsid w:val="00875A33"/>
    <w:rsid w:val="00875EB3"/>
    <w:rsid w:val="00876220"/>
    <w:rsid w:val="008772A7"/>
    <w:rsid w:val="00877D88"/>
    <w:rsid w:val="00880518"/>
    <w:rsid w:val="008817FA"/>
    <w:rsid w:val="00881983"/>
    <w:rsid w:val="00882B05"/>
    <w:rsid w:val="00883105"/>
    <w:rsid w:val="00883146"/>
    <w:rsid w:val="00883FF3"/>
    <w:rsid w:val="008842CE"/>
    <w:rsid w:val="00884C90"/>
    <w:rsid w:val="00886361"/>
    <w:rsid w:val="008864B3"/>
    <w:rsid w:val="0088662D"/>
    <w:rsid w:val="00886916"/>
    <w:rsid w:val="00887093"/>
    <w:rsid w:val="0088709B"/>
    <w:rsid w:val="0088716D"/>
    <w:rsid w:val="00887366"/>
    <w:rsid w:val="0089074A"/>
    <w:rsid w:val="00890C66"/>
    <w:rsid w:val="00890F57"/>
    <w:rsid w:val="00891150"/>
    <w:rsid w:val="008911C0"/>
    <w:rsid w:val="008925C2"/>
    <w:rsid w:val="00892A50"/>
    <w:rsid w:val="00892D7E"/>
    <w:rsid w:val="00893042"/>
    <w:rsid w:val="00893537"/>
    <w:rsid w:val="00893A37"/>
    <w:rsid w:val="00893D0D"/>
    <w:rsid w:val="00893DDF"/>
    <w:rsid w:val="00894953"/>
    <w:rsid w:val="00894AB0"/>
    <w:rsid w:val="00895625"/>
    <w:rsid w:val="00895AD5"/>
    <w:rsid w:val="00895D04"/>
    <w:rsid w:val="00897466"/>
    <w:rsid w:val="008976D4"/>
    <w:rsid w:val="00897AFC"/>
    <w:rsid w:val="008A043B"/>
    <w:rsid w:val="008A04DB"/>
    <w:rsid w:val="008A08EB"/>
    <w:rsid w:val="008A0A4E"/>
    <w:rsid w:val="008A0CE1"/>
    <w:rsid w:val="008A16A0"/>
    <w:rsid w:val="008A1FF1"/>
    <w:rsid w:val="008A228B"/>
    <w:rsid w:val="008A2CF0"/>
    <w:rsid w:val="008A2DEA"/>
    <w:rsid w:val="008A2F4A"/>
    <w:rsid w:val="008A2F9B"/>
    <w:rsid w:val="008A2F9D"/>
    <w:rsid w:val="008A349B"/>
    <w:rsid w:val="008A3BE5"/>
    <w:rsid w:val="008A3D34"/>
    <w:rsid w:val="008A4341"/>
    <w:rsid w:val="008A49FF"/>
    <w:rsid w:val="008A5048"/>
    <w:rsid w:val="008A569A"/>
    <w:rsid w:val="008A5DD7"/>
    <w:rsid w:val="008A5F73"/>
    <w:rsid w:val="008A6601"/>
    <w:rsid w:val="008A720B"/>
    <w:rsid w:val="008A72C6"/>
    <w:rsid w:val="008A792A"/>
    <w:rsid w:val="008B000A"/>
    <w:rsid w:val="008B04A1"/>
    <w:rsid w:val="008B05DA"/>
    <w:rsid w:val="008B0FE5"/>
    <w:rsid w:val="008B14B2"/>
    <w:rsid w:val="008B15A2"/>
    <w:rsid w:val="008B281B"/>
    <w:rsid w:val="008B2F61"/>
    <w:rsid w:val="008B3890"/>
    <w:rsid w:val="008B3ACA"/>
    <w:rsid w:val="008B414D"/>
    <w:rsid w:val="008B4584"/>
    <w:rsid w:val="008B47AC"/>
    <w:rsid w:val="008B49C6"/>
    <w:rsid w:val="008B6111"/>
    <w:rsid w:val="008B6179"/>
    <w:rsid w:val="008B6D9E"/>
    <w:rsid w:val="008C0123"/>
    <w:rsid w:val="008C02EB"/>
    <w:rsid w:val="008C11F3"/>
    <w:rsid w:val="008C145A"/>
    <w:rsid w:val="008C29DC"/>
    <w:rsid w:val="008C2AEA"/>
    <w:rsid w:val="008C38F2"/>
    <w:rsid w:val="008C3E27"/>
    <w:rsid w:val="008C3EC8"/>
    <w:rsid w:val="008C4692"/>
    <w:rsid w:val="008C4707"/>
    <w:rsid w:val="008C4E05"/>
    <w:rsid w:val="008C4E64"/>
    <w:rsid w:val="008C4F29"/>
    <w:rsid w:val="008C522D"/>
    <w:rsid w:val="008C5927"/>
    <w:rsid w:val="008C611E"/>
    <w:rsid w:val="008C666F"/>
    <w:rsid w:val="008C6B87"/>
    <w:rsid w:val="008C7290"/>
    <w:rsid w:val="008C7EAD"/>
    <w:rsid w:val="008D0AB9"/>
    <w:rsid w:val="008D0ABF"/>
    <w:rsid w:val="008D0B9D"/>
    <w:rsid w:val="008D1371"/>
    <w:rsid w:val="008D1712"/>
    <w:rsid w:val="008D1B0C"/>
    <w:rsid w:val="008D22CF"/>
    <w:rsid w:val="008D27D3"/>
    <w:rsid w:val="008D2B6B"/>
    <w:rsid w:val="008D3051"/>
    <w:rsid w:val="008D3378"/>
    <w:rsid w:val="008D384F"/>
    <w:rsid w:val="008D39E9"/>
    <w:rsid w:val="008D3C5F"/>
    <w:rsid w:val="008D457F"/>
    <w:rsid w:val="008D4654"/>
    <w:rsid w:val="008D4875"/>
    <w:rsid w:val="008D4EFD"/>
    <w:rsid w:val="008D5351"/>
    <w:rsid w:val="008D5AA0"/>
    <w:rsid w:val="008D64AF"/>
    <w:rsid w:val="008D6A03"/>
    <w:rsid w:val="008D71ED"/>
    <w:rsid w:val="008D77A3"/>
    <w:rsid w:val="008D7C02"/>
    <w:rsid w:val="008D7FA4"/>
    <w:rsid w:val="008E05FA"/>
    <w:rsid w:val="008E07EB"/>
    <w:rsid w:val="008E0860"/>
    <w:rsid w:val="008E0C0D"/>
    <w:rsid w:val="008E0DEB"/>
    <w:rsid w:val="008E1396"/>
    <w:rsid w:val="008E19B7"/>
    <w:rsid w:val="008E1A44"/>
    <w:rsid w:val="008E252D"/>
    <w:rsid w:val="008E26EF"/>
    <w:rsid w:val="008E2B1E"/>
    <w:rsid w:val="008E2B20"/>
    <w:rsid w:val="008E2DB7"/>
    <w:rsid w:val="008E3152"/>
    <w:rsid w:val="008E3416"/>
    <w:rsid w:val="008E4090"/>
    <w:rsid w:val="008E4256"/>
    <w:rsid w:val="008E4783"/>
    <w:rsid w:val="008E4C28"/>
    <w:rsid w:val="008E515C"/>
    <w:rsid w:val="008E521D"/>
    <w:rsid w:val="008E5427"/>
    <w:rsid w:val="008E5B7A"/>
    <w:rsid w:val="008E606D"/>
    <w:rsid w:val="008E679E"/>
    <w:rsid w:val="008E6D29"/>
    <w:rsid w:val="008E71E1"/>
    <w:rsid w:val="008E76C7"/>
    <w:rsid w:val="008E7901"/>
    <w:rsid w:val="008F0ADE"/>
    <w:rsid w:val="008F10AA"/>
    <w:rsid w:val="008F168C"/>
    <w:rsid w:val="008F1F91"/>
    <w:rsid w:val="008F2838"/>
    <w:rsid w:val="008F2F02"/>
    <w:rsid w:val="008F3409"/>
    <w:rsid w:val="008F35B0"/>
    <w:rsid w:val="008F36EC"/>
    <w:rsid w:val="008F3EFE"/>
    <w:rsid w:val="008F4400"/>
    <w:rsid w:val="008F4917"/>
    <w:rsid w:val="008F4B87"/>
    <w:rsid w:val="008F4D0F"/>
    <w:rsid w:val="008F4F17"/>
    <w:rsid w:val="008F5308"/>
    <w:rsid w:val="008F5DEA"/>
    <w:rsid w:val="008F7455"/>
    <w:rsid w:val="008F745C"/>
    <w:rsid w:val="008F7515"/>
    <w:rsid w:val="008F7D12"/>
    <w:rsid w:val="00900129"/>
    <w:rsid w:val="0090119B"/>
    <w:rsid w:val="00901946"/>
    <w:rsid w:val="00901CFC"/>
    <w:rsid w:val="00901DAC"/>
    <w:rsid w:val="00902403"/>
    <w:rsid w:val="00902804"/>
    <w:rsid w:val="00902D8C"/>
    <w:rsid w:val="009030A3"/>
    <w:rsid w:val="009035F4"/>
    <w:rsid w:val="00904ABF"/>
    <w:rsid w:val="00904B01"/>
    <w:rsid w:val="00904BFE"/>
    <w:rsid w:val="009058CF"/>
    <w:rsid w:val="00905FF0"/>
    <w:rsid w:val="009063EC"/>
    <w:rsid w:val="00906680"/>
    <w:rsid w:val="00906BF8"/>
    <w:rsid w:val="00906E69"/>
    <w:rsid w:val="0090761E"/>
    <w:rsid w:val="0090777B"/>
    <w:rsid w:val="00907BEF"/>
    <w:rsid w:val="00907EA6"/>
    <w:rsid w:val="009101C7"/>
    <w:rsid w:val="0091023C"/>
    <w:rsid w:val="009103DD"/>
    <w:rsid w:val="00910C98"/>
    <w:rsid w:val="00910D72"/>
    <w:rsid w:val="00911490"/>
    <w:rsid w:val="0091210F"/>
    <w:rsid w:val="009121E1"/>
    <w:rsid w:val="00912EFD"/>
    <w:rsid w:val="00912FAC"/>
    <w:rsid w:val="009132BF"/>
    <w:rsid w:val="009133F8"/>
    <w:rsid w:val="00913EC0"/>
    <w:rsid w:val="009140E1"/>
    <w:rsid w:val="009141BB"/>
    <w:rsid w:val="009142C7"/>
    <w:rsid w:val="00915128"/>
    <w:rsid w:val="00915473"/>
    <w:rsid w:val="009154B4"/>
    <w:rsid w:val="009156F0"/>
    <w:rsid w:val="00915929"/>
    <w:rsid w:val="00915EE5"/>
    <w:rsid w:val="009162B8"/>
    <w:rsid w:val="009167D9"/>
    <w:rsid w:val="00916C42"/>
    <w:rsid w:val="00916E2A"/>
    <w:rsid w:val="0091794B"/>
    <w:rsid w:val="00917B79"/>
    <w:rsid w:val="00920077"/>
    <w:rsid w:val="009205BC"/>
    <w:rsid w:val="00921002"/>
    <w:rsid w:val="009215E6"/>
    <w:rsid w:val="009217DE"/>
    <w:rsid w:val="00921ECE"/>
    <w:rsid w:val="00922E04"/>
    <w:rsid w:val="009232D4"/>
    <w:rsid w:val="009233BB"/>
    <w:rsid w:val="009233C0"/>
    <w:rsid w:val="00924192"/>
    <w:rsid w:val="00925532"/>
    <w:rsid w:val="0092555E"/>
    <w:rsid w:val="0092583B"/>
    <w:rsid w:val="009262FD"/>
    <w:rsid w:val="00927101"/>
    <w:rsid w:val="00927534"/>
    <w:rsid w:val="00927603"/>
    <w:rsid w:val="009278F1"/>
    <w:rsid w:val="00930116"/>
    <w:rsid w:val="009301F5"/>
    <w:rsid w:val="00930E8F"/>
    <w:rsid w:val="0093161B"/>
    <w:rsid w:val="00931FF5"/>
    <w:rsid w:val="00932781"/>
    <w:rsid w:val="0093278B"/>
    <w:rsid w:val="00932A07"/>
    <w:rsid w:val="00932CA6"/>
    <w:rsid w:val="00932CF2"/>
    <w:rsid w:val="00932D31"/>
    <w:rsid w:val="00932D47"/>
    <w:rsid w:val="00932E4C"/>
    <w:rsid w:val="009342B7"/>
    <w:rsid w:val="009342FB"/>
    <w:rsid w:val="009348A9"/>
    <w:rsid w:val="009349CC"/>
    <w:rsid w:val="00934F24"/>
    <w:rsid w:val="009355C0"/>
    <w:rsid w:val="00935616"/>
    <w:rsid w:val="00935E60"/>
    <w:rsid w:val="009361CD"/>
    <w:rsid w:val="009362A4"/>
    <w:rsid w:val="0093708A"/>
    <w:rsid w:val="00937524"/>
    <w:rsid w:val="00937803"/>
    <w:rsid w:val="00937AA9"/>
    <w:rsid w:val="00937F30"/>
    <w:rsid w:val="00940196"/>
    <w:rsid w:val="009409F1"/>
    <w:rsid w:val="00940DA2"/>
    <w:rsid w:val="00941468"/>
    <w:rsid w:val="00942651"/>
    <w:rsid w:val="009439D3"/>
    <w:rsid w:val="00943F22"/>
    <w:rsid w:val="00943FC6"/>
    <w:rsid w:val="00944A09"/>
    <w:rsid w:val="009451AB"/>
    <w:rsid w:val="00945504"/>
    <w:rsid w:val="00945B90"/>
    <w:rsid w:val="00945FFC"/>
    <w:rsid w:val="00946389"/>
    <w:rsid w:val="009468EB"/>
    <w:rsid w:val="00947038"/>
    <w:rsid w:val="0094767E"/>
    <w:rsid w:val="009479D9"/>
    <w:rsid w:val="00947AEB"/>
    <w:rsid w:val="009500A9"/>
    <w:rsid w:val="009509C9"/>
    <w:rsid w:val="00950B71"/>
    <w:rsid w:val="0095165A"/>
    <w:rsid w:val="009516BA"/>
    <w:rsid w:val="009516D2"/>
    <w:rsid w:val="009524EC"/>
    <w:rsid w:val="009530E4"/>
    <w:rsid w:val="00953204"/>
    <w:rsid w:val="00953AC0"/>
    <w:rsid w:val="00953C44"/>
    <w:rsid w:val="009551D6"/>
    <w:rsid w:val="0095543A"/>
    <w:rsid w:val="009558DA"/>
    <w:rsid w:val="009558E9"/>
    <w:rsid w:val="009562AD"/>
    <w:rsid w:val="009566AB"/>
    <w:rsid w:val="00956F92"/>
    <w:rsid w:val="00957188"/>
    <w:rsid w:val="009600F0"/>
    <w:rsid w:val="00960BFB"/>
    <w:rsid w:val="00960E52"/>
    <w:rsid w:val="00961102"/>
    <w:rsid w:val="009613E8"/>
    <w:rsid w:val="00961678"/>
    <w:rsid w:val="00961A14"/>
    <w:rsid w:val="00961C52"/>
    <w:rsid w:val="00961EF1"/>
    <w:rsid w:val="00961FF5"/>
    <w:rsid w:val="009628BB"/>
    <w:rsid w:val="00962974"/>
    <w:rsid w:val="00962BC2"/>
    <w:rsid w:val="0096356C"/>
    <w:rsid w:val="0096417A"/>
    <w:rsid w:val="0096431D"/>
    <w:rsid w:val="0096440D"/>
    <w:rsid w:val="00964488"/>
    <w:rsid w:val="009645F3"/>
    <w:rsid w:val="009653FE"/>
    <w:rsid w:val="00965C83"/>
    <w:rsid w:val="00966486"/>
    <w:rsid w:val="00966782"/>
    <w:rsid w:val="009670A4"/>
    <w:rsid w:val="00967854"/>
    <w:rsid w:val="009706A3"/>
    <w:rsid w:val="00970A2F"/>
    <w:rsid w:val="00970B9D"/>
    <w:rsid w:val="00970EA9"/>
    <w:rsid w:val="009711FE"/>
    <w:rsid w:val="0097145F"/>
    <w:rsid w:val="00972273"/>
    <w:rsid w:val="00972EF7"/>
    <w:rsid w:val="009737F2"/>
    <w:rsid w:val="00973867"/>
    <w:rsid w:val="00973E5E"/>
    <w:rsid w:val="00973EA2"/>
    <w:rsid w:val="00973F4B"/>
    <w:rsid w:val="00974244"/>
    <w:rsid w:val="009749D8"/>
    <w:rsid w:val="00975149"/>
    <w:rsid w:val="00975487"/>
    <w:rsid w:val="00975516"/>
    <w:rsid w:val="009765C5"/>
    <w:rsid w:val="00976FE9"/>
    <w:rsid w:val="00977265"/>
    <w:rsid w:val="00977BCE"/>
    <w:rsid w:val="00977E23"/>
    <w:rsid w:val="00977E34"/>
    <w:rsid w:val="00977FBF"/>
    <w:rsid w:val="00980246"/>
    <w:rsid w:val="00980642"/>
    <w:rsid w:val="00980757"/>
    <w:rsid w:val="00980987"/>
    <w:rsid w:val="009811A6"/>
    <w:rsid w:val="00981B4B"/>
    <w:rsid w:val="00981C26"/>
    <w:rsid w:val="00981CDA"/>
    <w:rsid w:val="0098204D"/>
    <w:rsid w:val="009824D5"/>
    <w:rsid w:val="009826AF"/>
    <w:rsid w:val="009829E9"/>
    <w:rsid w:val="00982DB4"/>
    <w:rsid w:val="00982FAB"/>
    <w:rsid w:val="009833BA"/>
    <w:rsid w:val="009836CC"/>
    <w:rsid w:val="00983DF9"/>
    <w:rsid w:val="00984271"/>
    <w:rsid w:val="00984A0F"/>
    <w:rsid w:val="00985639"/>
    <w:rsid w:val="009857F9"/>
    <w:rsid w:val="009859F0"/>
    <w:rsid w:val="00985B5C"/>
    <w:rsid w:val="00985D4C"/>
    <w:rsid w:val="00986DC8"/>
    <w:rsid w:val="00987852"/>
    <w:rsid w:val="0099025A"/>
    <w:rsid w:val="0099034B"/>
    <w:rsid w:val="0099040A"/>
    <w:rsid w:val="00990A0C"/>
    <w:rsid w:val="00990A19"/>
    <w:rsid w:val="009917D7"/>
    <w:rsid w:val="00991871"/>
    <w:rsid w:val="00991B08"/>
    <w:rsid w:val="0099260B"/>
    <w:rsid w:val="0099270B"/>
    <w:rsid w:val="009928B4"/>
    <w:rsid w:val="009932F0"/>
    <w:rsid w:val="00993BDD"/>
    <w:rsid w:val="00993FFB"/>
    <w:rsid w:val="00994177"/>
    <w:rsid w:val="009947D5"/>
    <w:rsid w:val="00995BF9"/>
    <w:rsid w:val="00996C4E"/>
    <w:rsid w:val="009977F4"/>
    <w:rsid w:val="00997EB8"/>
    <w:rsid w:val="009A0928"/>
    <w:rsid w:val="009A0EB8"/>
    <w:rsid w:val="009A23D3"/>
    <w:rsid w:val="009A252F"/>
    <w:rsid w:val="009A2763"/>
    <w:rsid w:val="009A2991"/>
    <w:rsid w:val="009A3F1F"/>
    <w:rsid w:val="009A4571"/>
    <w:rsid w:val="009A45C8"/>
    <w:rsid w:val="009A4ADE"/>
    <w:rsid w:val="009A4F61"/>
    <w:rsid w:val="009A56EA"/>
    <w:rsid w:val="009A57B1"/>
    <w:rsid w:val="009A5C15"/>
    <w:rsid w:val="009A63C4"/>
    <w:rsid w:val="009A65C6"/>
    <w:rsid w:val="009A666C"/>
    <w:rsid w:val="009A70DC"/>
    <w:rsid w:val="009A77E1"/>
    <w:rsid w:val="009A7B40"/>
    <w:rsid w:val="009A7B87"/>
    <w:rsid w:val="009A7F44"/>
    <w:rsid w:val="009B081E"/>
    <w:rsid w:val="009B1012"/>
    <w:rsid w:val="009B102B"/>
    <w:rsid w:val="009B129E"/>
    <w:rsid w:val="009B1420"/>
    <w:rsid w:val="009B18F4"/>
    <w:rsid w:val="009B199C"/>
    <w:rsid w:val="009B1CCE"/>
    <w:rsid w:val="009B1FA6"/>
    <w:rsid w:val="009B2261"/>
    <w:rsid w:val="009B25B5"/>
    <w:rsid w:val="009B25E1"/>
    <w:rsid w:val="009B2B6F"/>
    <w:rsid w:val="009B3115"/>
    <w:rsid w:val="009B367F"/>
    <w:rsid w:val="009B4256"/>
    <w:rsid w:val="009B436C"/>
    <w:rsid w:val="009B4A3F"/>
    <w:rsid w:val="009B5255"/>
    <w:rsid w:val="009B6355"/>
    <w:rsid w:val="009B637A"/>
    <w:rsid w:val="009B6997"/>
    <w:rsid w:val="009B6D6E"/>
    <w:rsid w:val="009B6FBE"/>
    <w:rsid w:val="009C0231"/>
    <w:rsid w:val="009C09C5"/>
    <w:rsid w:val="009C14FC"/>
    <w:rsid w:val="009C1691"/>
    <w:rsid w:val="009C189C"/>
    <w:rsid w:val="009C3118"/>
    <w:rsid w:val="009C3672"/>
    <w:rsid w:val="009C4799"/>
    <w:rsid w:val="009C4ACB"/>
    <w:rsid w:val="009C4C1C"/>
    <w:rsid w:val="009C56C5"/>
    <w:rsid w:val="009C5D66"/>
    <w:rsid w:val="009C6316"/>
    <w:rsid w:val="009C68EF"/>
    <w:rsid w:val="009C6981"/>
    <w:rsid w:val="009C7759"/>
    <w:rsid w:val="009C78E4"/>
    <w:rsid w:val="009D0453"/>
    <w:rsid w:val="009D0841"/>
    <w:rsid w:val="009D1072"/>
    <w:rsid w:val="009D15A3"/>
    <w:rsid w:val="009D162D"/>
    <w:rsid w:val="009D18F4"/>
    <w:rsid w:val="009D1AB0"/>
    <w:rsid w:val="009D1B38"/>
    <w:rsid w:val="009D1BAF"/>
    <w:rsid w:val="009D24DA"/>
    <w:rsid w:val="009D34FB"/>
    <w:rsid w:val="009D42F8"/>
    <w:rsid w:val="009D4A5E"/>
    <w:rsid w:val="009D4B09"/>
    <w:rsid w:val="009D4E31"/>
    <w:rsid w:val="009D5C03"/>
    <w:rsid w:val="009D5C54"/>
    <w:rsid w:val="009D5F31"/>
    <w:rsid w:val="009D5FD0"/>
    <w:rsid w:val="009D6F1F"/>
    <w:rsid w:val="009D708B"/>
    <w:rsid w:val="009D78A5"/>
    <w:rsid w:val="009E031D"/>
    <w:rsid w:val="009E051D"/>
    <w:rsid w:val="009E14FB"/>
    <w:rsid w:val="009E1F9F"/>
    <w:rsid w:val="009E2EED"/>
    <w:rsid w:val="009E362C"/>
    <w:rsid w:val="009E37DC"/>
    <w:rsid w:val="009E39AE"/>
    <w:rsid w:val="009E3A49"/>
    <w:rsid w:val="009E3D1C"/>
    <w:rsid w:val="009E4035"/>
    <w:rsid w:val="009E478C"/>
    <w:rsid w:val="009E57CC"/>
    <w:rsid w:val="009E59CA"/>
    <w:rsid w:val="009E63B7"/>
    <w:rsid w:val="009E6BD4"/>
    <w:rsid w:val="009E6E7D"/>
    <w:rsid w:val="009E7302"/>
    <w:rsid w:val="009F0276"/>
    <w:rsid w:val="009F08C1"/>
    <w:rsid w:val="009F12B4"/>
    <w:rsid w:val="009F1BAF"/>
    <w:rsid w:val="009F1E2E"/>
    <w:rsid w:val="009F1F12"/>
    <w:rsid w:val="009F2AD7"/>
    <w:rsid w:val="009F2B82"/>
    <w:rsid w:val="009F3901"/>
    <w:rsid w:val="009F3D1B"/>
    <w:rsid w:val="009F5960"/>
    <w:rsid w:val="009F5C71"/>
    <w:rsid w:val="009F6677"/>
    <w:rsid w:val="009F6948"/>
    <w:rsid w:val="009F72A1"/>
    <w:rsid w:val="00A00225"/>
    <w:rsid w:val="00A005D2"/>
    <w:rsid w:val="00A014D4"/>
    <w:rsid w:val="00A01581"/>
    <w:rsid w:val="00A01772"/>
    <w:rsid w:val="00A01B0A"/>
    <w:rsid w:val="00A02C8F"/>
    <w:rsid w:val="00A03087"/>
    <w:rsid w:val="00A03A59"/>
    <w:rsid w:val="00A04046"/>
    <w:rsid w:val="00A0483B"/>
    <w:rsid w:val="00A05AE0"/>
    <w:rsid w:val="00A05C71"/>
    <w:rsid w:val="00A06773"/>
    <w:rsid w:val="00A06C44"/>
    <w:rsid w:val="00A06D7E"/>
    <w:rsid w:val="00A06DF8"/>
    <w:rsid w:val="00A06EDD"/>
    <w:rsid w:val="00A0706C"/>
    <w:rsid w:val="00A07075"/>
    <w:rsid w:val="00A0718A"/>
    <w:rsid w:val="00A104C7"/>
    <w:rsid w:val="00A10807"/>
    <w:rsid w:val="00A10D7D"/>
    <w:rsid w:val="00A112A7"/>
    <w:rsid w:val="00A11667"/>
    <w:rsid w:val="00A11C86"/>
    <w:rsid w:val="00A12191"/>
    <w:rsid w:val="00A127DD"/>
    <w:rsid w:val="00A130B1"/>
    <w:rsid w:val="00A1423C"/>
    <w:rsid w:val="00A14590"/>
    <w:rsid w:val="00A14796"/>
    <w:rsid w:val="00A158AC"/>
    <w:rsid w:val="00A171CE"/>
    <w:rsid w:val="00A2003D"/>
    <w:rsid w:val="00A2030E"/>
    <w:rsid w:val="00A20540"/>
    <w:rsid w:val="00A20D5F"/>
    <w:rsid w:val="00A20DF1"/>
    <w:rsid w:val="00A20F3B"/>
    <w:rsid w:val="00A21044"/>
    <w:rsid w:val="00A21F3E"/>
    <w:rsid w:val="00A22513"/>
    <w:rsid w:val="00A23666"/>
    <w:rsid w:val="00A23C70"/>
    <w:rsid w:val="00A24252"/>
    <w:rsid w:val="00A24553"/>
    <w:rsid w:val="00A24B5F"/>
    <w:rsid w:val="00A25053"/>
    <w:rsid w:val="00A25599"/>
    <w:rsid w:val="00A258DA"/>
    <w:rsid w:val="00A25BB7"/>
    <w:rsid w:val="00A25C2B"/>
    <w:rsid w:val="00A25FF2"/>
    <w:rsid w:val="00A2649B"/>
    <w:rsid w:val="00A264C7"/>
    <w:rsid w:val="00A2681E"/>
    <w:rsid w:val="00A26E8F"/>
    <w:rsid w:val="00A27CC3"/>
    <w:rsid w:val="00A303C1"/>
    <w:rsid w:val="00A310F4"/>
    <w:rsid w:val="00A31243"/>
    <w:rsid w:val="00A32B49"/>
    <w:rsid w:val="00A32C97"/>
    <w:rsid w:val="00A32D4C"/>
    <w:rsid w:val="00A32F09"/>
    <w:rsid w:val="00A333A2"/>
    <w:rsid w:val="00A337F0"/>
    <w:rsid w:val="00A354B7"/>
    <w:rsid w:val="00A35834"/>
    <w:rsid w:val="00A35EF4"/>
    <w:rsid w:val="00A36145"/>
    <w:rsid w:val="00A36298"/>
    <w:rsid w:val="00A364F6"/>
    <w:rsid w:val="00A36E1A"/>
    <w:rsid w:val="00A37B44"/>
    <w:rsid w:val="00A41525"/>
    <w:rsid w:val="00A418B1"/>
    <w:rsid w:val="00A422DF"/>
    <w:rsid w:val="00A42362"/>
    <w:rsid w:val="00A42597"/>
    <w:rsid w:val="00A42D94"/>
    <w:rsid w:val="00A43E5E"/>
    <w:rsid w:val="00A44CC4"/>
    <w:rsid w:val="00A44F85"/>
    <w:rsid w:val="00A455B3"/>
    <w:rsid w:val="00A45A72"/>
    <w:rsid w:val="00A45BCE"/>
    <w:rsid w:val="00A45E17"/>
    <w:rsid w:val="00A45E67"/>
    <w:rsid w:val="00A469E4"/>
    <w:rsid w:val="00A46A02"/>
    <w:rsid w:val="00A46A40"/>
    <w:rsid w:val="00A46ABA"/>
    <w:rsid w:val="00A47690"/>
    <w:rsid w:val="00A479DD"/>
    <w:rsid w:val="00A50139"/>
    <w:rsid w:val="00A50409"/>
    <w:rsid w:val="00A51085"/>
    <w:rsid w:val="00A519F8"/>
    <w:rsid w:val="00A52063"/>
    <w:rsid w:val="00A52212"/>
    <w:rsid w:val="00A53034"/>
    <w:rsid w:val="00A53CFD"/>
    <w:rsid w:val="00A54281"/>
    <w:rsid w:val="00A54758"/>
    <w:rsid w:val="00A5508A"/>
    <w:rsid w:val="00A55094"/>
    <w:rsid w:val="00A55D12"/>
    <w:rsid w:val="00A56BDC"/>
    <w:rsid w:val="00A56C85"/>
    <w:rsid w:val="00A570EF"/>
    <w:rsid w:val="00A5724E"/>
    <w:rsid w:val="00A57568"/>
    <w:rsid w:val="00A6026A"/>
    <w:rsid w:val="00A618D2"/>
    <w:rsid w:val="00A62452"/>
    <w:rsid w:val="00A62918"/>
    <w:rsid w:val="00A62AB3"/>
    <w:rsid w:val="00A62C32"/>
    <w:rsid w:val="00A62D39"/>
    <w:rsid w:val="00A633F5"/>
    <w:rsid w:val="00A65308"/>
    <w:rsid w:val="00A65344"/>
    <w:rsid w:val="00A6539E"/>
    <w:rsid w:val="00A656DB"/>
    <w:rsid w:val="00A65B73"/>
    <w:rsid w:val="00A65DF6"/>
    <w:rsid w:val="00A661C5"/>
    <w:rsid w:val="00A66DD1"/>
    <w:rsid w:val="00A66FF6"/>
    <w:rsid w:val="00A6750A"/>
    <w:rsid w:val="00A67AD6"/>
    <w:rsid w:val="00A709D9"/>
    <w:rsid w:val="00A71356"/>
    <w:rsid w:val="00A7236F"/>
    <w:rsid w:val="00A7286F"/>
    <w:rsid w:val="00A72A35"/>
    <w:rsid w:val="00A72D84"/>
    <w:rsid w:val="00A73885"/>
    <w:rsid w:val="00A73AAE"/>
    <w:rsid w:val="00A73B51"/>
    <w:rsid w:val="00A73E36"/>
    <w:rsid w:val="00A74126"/>
    <w:rsid w:val="00A74788"/>
    <w:rsid w:val="00A74F4A"/>
    <w:rsid w:val="00A7512E"/>
    <w:rsid w:val="00A7592A"/>
    <w:rsid w:val="00A76543"/>
    <w:rsid w:val="00A76E13"/>
    <w:rsid w:val="00A77473"/>
    <w:rsid w:val="00A778CB"/>
    <w:rsid w:val="00A77AE9"/>
    <w:rsid w:val="00A77E40"/>
    <w:rsid w:val="00A808AE"/>
    <w:rsid w:val="00A81156"/>
    <w:rsid w:val="00A81B06"/>
    <w:rsid w:val="00A827A5"/>
    <w:rsid w:val="00A82968"/>
    <w:rsid w:val="00A82BAA"/>
    <w:rsid w:val="00A82CDD"/>
    <w:rsid w:val="00A82D7B"/>
    <w:rsid w:val="00A83053"/>
    <w:rsid w:val="00A831C8"/>
    <w:rsid w:val="00A83D8E"/>
    <w:rsid w:val="00A83F8B"/>
    <w:rsid w:val="00A841D1"/>
    <w:rsid w:val="00A84D67"/>
    <w:rsid w:val="00A84DF8"/>
    <w:rsid w:val="00A85566"/>
    <w:rsid w:val="00A85BF0"/>
    <w:rsid w:val="00A85DAE"/>
    <w:rsid w:val="00A861A3"/>
    <w:rsid w:val="00A86312"/>
    <w:rsid w:val="00A8671C"/>
    <w:rsid w:val="00A86E26"/>
    <w:rsid w:val="00A87068"/>
    <w:rsid w:val="00A879E5"/>
    <w:rsid w:val="00A87D25"/>
    <w:rsid w:val="00A90036"/>
    <w:rsid w:val="00A90888"/>
    <w:rsid w:val="00A908DD"/>
    <w:rsid w:val="00A92BF8"/>
    <w:rsid w:val="00A94919"/>
    <w:rsid w:val="00A94A19"/>
    <w:rsid w:val="00A94EA2"/>
    <w:rsid w:val="00A95891"/>
    <w:rsid w:val="00A95FFE"/>
    <w:rsid w:val="00A96107"/>
    <w:rsid w:val="00A962E3"/>
    <w:rsid w:val="00A972AB"/>
    <w:rsid w:val="00A97426"/>
    <w:rsid w:val="00A97B6C"/>
    <w:rsid w:val="00AA00F2"/>
    <w:rsid w:val="00AA0355"/>
    <w:rsid w:val="00AA064D"/>
    <w:rsid w:val="00AA107F"/>
    <w:rsid w:val="00AA1EDB"/>
    <w:rsid w:val="00AA22CC"/>
    <w:rsid w:val="00AA25F7"/>
    <w:rsid w:val="00AA2DD8"/>
    <w:rsid w:val="00AA4944"/>
    <w:rsid w:val="00AA49C8"/>
    <w:rsid w:val="00AA4C2F"/>
    <w:rsid w:val="00AA4D04"/>
    <w:rsid w:val="00AA5141"/>
    <w:rsid w:val="00AA56D9"/>
    <w:rsid w:val="00AA5730"/>
    <w:rsid w:val="00AA5991"/>
    <w:rsid w:val="00AA5FAA"/>
    <w:rsid w:val="00AA60F7"/>
    <w:rsid w:val="00AA6185"/>
    <w:rsid w:val="00AA6C6F"/>
    <w:rsid w:val="00AA720C"/>
    <w:rsid w:val="00AA7EDD"/>
    <w:rsid w:val="00AB01BF"/>
    <w:rsid w:val="00AB04BF"/>
    <w:rsid w:val="00AB0C1B"/>
    <w:rsid w:val="00AB2131"/>
    <w:rsid w:val="00AB2642"/>
    <w:rsid w:val="00AB4162"/>
    <w:rsid w:val="00AB51C3"/>
    <w:rsid w:val="00AB543E"/>
    <w:rsid w:val="00AB55AA"/>
    <w:rsid w:val="00AB6818"/>
    <w:rsid w:val="00AB7329"/>
    <w:rsid w:val="00AC0282"/>
    <w:rsid w:val="00AC0F56"/>
    <w:rsid w:val="00AC184D"/>
    <w:rsid w:val="00AC1DCE"/>
    <w:rsid w:val="00AC2365"/>
    <w:rsid w:val="00AC26D7"/>
    <w:rsid w:val="00AC2BAC"/>
    <w:rsid w:val="00AC2F31"/>
    <w:rsid w:val="00AC32E8"/>
    <w:rsid w:val="00AC386C"/>
    <w:rsid w:val="00AC3955"/>
    <w:rsid w:val="00AC3E00"/>
    <w:rsid w:val="00AC3EE3"/>
    <w:rsid w:val="00AC4179"/>
    <w:rsid w:val="00AC4457"/>
    <w:rsid w:val="00AC48A5"/>
    <w:rsid w:val="00AC53A1"/>
    <w:rsid w:val="00AC5740"/>
    <w:rsid w:val="00AC6017"/>
    <w:rsid w:val="00AC6DC2"/>
    <w:rsid w:val="00AC7518"/>
    <w:rsid w:val="00AC75A4"/>
    <w:rsid w:val="00AC7B98"/>
    <w:rsid w:val="00AC7C0A"/>
    <w:rsid w:val="00AD020B"/>
    <w:rsid w:val="00AD0339"/>
    <w:rsid w:val="00AD0C98"/>
    <w:rsid w:val="00AD0E98"/>
    <w:rsid w:val="00AD1A29"/>
    <w:rsid w:val="00AD1D9C"/>
    <w:rsid w:val="00AD21CA"/>
    <w:rsid w:val="00AD2264"/>
    <w:rsid w:val="00AD2DF1"/>
    <w:rsid w:val="00AD2F88"/>
    <w:rsid w:val="00AD3788"/>
    <w:rsid w:val="00AD37E5"/>
    <w:rsid w:val="00AD4554"/>
    <w:rsid w:val="00AD4E31"/>
    <w:rsid w:val="00AD5805"/>
    <w:rsid w:val="00AD66FC"/>
    <w:rsid w:val="00AD7164"/>
    <w:rsid w:val="00AD7387"/>
    <w:rsid w:val="00AD779F"/>
    <w:rsid w:val="00AD7FEA"/>
    <w:rsid w:val="00AE0321"/>
    <w:rsid w:val="00AE0FC0"/>
    <w:rsid w:val="00AE1430"/>
    <w:rsid w:val="00AE15EA"/>
    <w:rsid w:val="00AE203A"/>
    <w:rsid w:val="00AE218C"/>
    <w:rsid w:val="00AE2485"/>
    <w:rsid w:val="00AE2759"/>
    <w:rsid w:val="00AE2B1C"/>
    <w:rsid w:val="00AE33BB"/>
    <w:rsid w:val="00AE37E9"/>
    <w:rsid w:val="00AE5482"/>
    <w:rsid w:val="00AE5490"/>
    <w:rsid w:val="00AE5CC8"/>
    <w:rsid w:val="00AE5D99"/>
    <w:rsid w:val="00AE67B1"/>
    <w:rsid w:val="00AE67B8"/>
    <w:rsid w:val="00AE6F2E"/>
    <w:rsid w:val="00AE70EA"/>
    <w:rsid w:val="00AE7C24"/>
    <w:rsid w:val="00AF0228"/>
    <w:rsid w:val="00AF0AB5"/>
    <w:rsid w:val="00AF0EE4"/>
    <w:rsid w:val="00AF1154"/>
    <w:rsid w:val="00AF14A6"/>
    <w:rsid w:val="00AF1DEA"/>
    <w:rsid w:val="00AF220B"/>
    <w:rsid w:val="00AF2465"/>
    <w:rsid w:val="00AF279A"/>
    <w:rsid w:val="00AF2A3C"/>
    <w:rsid w:val="00AF39C4"/>
    <w:rsid w:val="00AF44A1"/>
    <w:rsid w:val="00AF44BC"/>
    <w:rsid w:val="00AF4F47"/>
    <w:rsid w:val="00AF59BA"/>
    <w:rsid w:val="00AF6061"/>
    <w:rsid w:val="00AF629C"/>
    <w:rsid w:val="00AF775C"/>
    <w:rsid w:val="00AF789A"/>
    <w:rsid w:val="00AF7901"/>
    <w:rsid w:val="00AF7B15"/>
    <w:rsid w:val="00B0076D"/>
    <w:rsid w:val="00B00BA9"/>
    <w:rsid w:val="00B015C2"/>
    <w:rsid w:val="00B01640"/>
    <w:rsid w:val="00B0177E"/>
    <w:rsid w:val="00B0188F"/>
    <w:rsid w:val="00B032EB"/>
    <w:rsid w:val="00B0378B"/>
    <w:rsid w:val="00B037F6"/>
    <w:rsid w:val="00B037F9"/>
    <w:rsid w:val="00B03D93"/>
    <w:rsid w:val="00B04CCC"/>
    <w:rsid w:val="00B04D7C"/>
    <w:rsid w:val="00B05255"/>
    <w:rsid w:val="00B061F3"/>
    <w:rsid w:val="00B062AE"/>
    <w:rsid w:val="00B06934"/>
    <w:rsid w:val="00B07CB7"/>
    <w:rsid w:val="00B07DCB"/>
    <w:rsid w:val="00B07E9B"/>
    <w:rsid w:val="00B100A9"/>
    <w:rsid w:val="00B102AD"/>
    <w:rsid w:val="00B1055C"/>
    <w:rsid w:val="00B109AD"/>
    <w:rsid w:val="00B10A24"/>
    <w:rsid w:val="00B11560"/>
    <w:rsid w:val="00B11F2D"/>
    <w:rsid w:val="00B12808"/>
    <w:rsid w:val="00B12B94"/>
    <w:rsid w:val="00B137E1"/>
    <w:rsid w:val="00B1388F"/>
    <w:rsid w:val="00B1432F"/>
    <w:rsid w:val="00B1482F"/>
    <w:rsid w:val="00B14AE8"/>
    <w:rsid w:val="00B155F3"/>
    <w:rsid w:val="00B1571D"/>
    <w:rsid w:val="00B159FD"/>
    <w:rsid w:val="00B15C5F"/>
    <w:rsid w:val="00B16949"/>
    <w:rsid w:val="00B17763"/>
    <w:rsid w:val="00B178B9"/>
    <w:rsid w:val="00B20509"/>
    <w:rsid w:val="00B21295"/>
    <w:rsid w:val="00B2174C"/>
    <w:rsid w:val="00B21965"/>
    <w:rsid w:val="00B219FF"/>
    <w:rsid w:val="00B21F02"/>
    <w:rsid w:val="00B2297F"/>
    <w:rsid w:val="00B2305F"/>
    <w:rsid w:val="00B234F9"/>
    <w:rsid w:val="00B24288"/>
    <w:rsid w:val="00B243BC"/>
    <w:rsid w:val="00B245B5"/>
    <w:rsid w:val="00B245B9"/>
    <w:rsid w:val="00B24AB5"/>
    <w:rsid w:val="00B24F04"/>
    <w:rsid w:val="00B24F60"/>
    <w:rsid w:val="00B2512B"/>
    <w:rsid w:val="00B25737"/>
    <w:rsid w:val="00B25A9B"/>
    <w:rsid w:val="00B262CC"/>
    <w:rsid w:val="00B26546"/>
    <w:rsid w:val="00B26843"/>
    <w:rsid w:val="00B268C9"/>
    <w:rsid w:val="00B26EA0"/>
    <w:rsid w:val="00B26EA4"/>
    <w:rsid w:val="00B27058"/>
    <w:rsid w:val="00B270BE"/>
    <w:rsid w:val="00B27896"/>
    <w:rsid w:val="00B30F6E"/>
    <w:rsid w:val="00B31968"/>
    <w:rsid w:val="00B32974"/>
    <w:rsid w:val="00B33CA4"/>
    <w:rsid w:val="00B3400A"/>
    <w:rsid w:val="00B34704"/>
    <w:rsid w:val="00B34E60"/>
    <w:rsid w:val="00B35884"/>
    <w:rsid w:val="00B35E29"/>
    <w:rsid w:val="00B37314"/>
    <w:rsid w:val="00B373BF"/>
    <w:rsid w:val="00B37538"/>
    <w:rsid w:val="00B37AB8"/>
    <w:rsid w:val="00B40763"/>
    <w:rsid w:val="00B40E36"/>
    <w:rsid w:val="00B411BB"/>
    <w:rsid w:val="00B41F86"/>
    <w:rsid w:val="00B420CE"/>
    <w:rsid w:val="00B420DA"/>
    <w:rsid w:val="00B424AB"/>
    <w:rsid w:val="00B43016"/>
    <w:rsid w:val="00B4305D"/>
    <w:rsid w:val="00B4392E"/>
    <w:rsid w:val="00B43CC2"/>
    <w:rsid w:val="00B44277"/>
    <w:rsid w:val="00B44484"/>
    <w:rsid w:val="00B449D1"/>
    <w:rsid w:val="00B44F8B"/>
    <w:rsid w:val="00B455DD"/>
    <w:rsid w:val="00B45B8D"/>
    <w:rsid w:val="00B45DA3"/>
    <w:rsid w:val="00B46482"/>
    <w:rsid w:val="00B46770"/>
    <w:rsid w:val="00B46E85"/>
    <w:rsid w:val="00B50494"/>
    <w:rsid w:val="00B51ECA"/>
    <w:rsid w:val="00B523AA"/>
    <w:rsid w:val="00B524EA"/>
    <w:rsid w:val="00B52D87"/>
    <w:rsid w:val="00B52E68"/>
    <w:rsid w:val="00B52EE1"/>
    <w:rsid w:val="00B534F6"/>
    <w:rsid w:val="00B53AE1"/>
    <w:rsid w:val="00B556FF"/>
    <w:rsid w:val="00B55B7C"/>
    <w:rsid w:val="00B55BA7"/>
    <w:rsid w:val="00B56486"/>
    <w:rsid w:val="00B56E01"/>
    <w:rsid w:val="00B5777B"/>
    <w:rsid w:val="00B60534"/>
    <w:rsid w:val="00B60E43"/>
    <w:rsid w:val="00B610B7"/>
    <w:rsid w:val="00B6132D"/>
    <w:rsid w:val="00B61D9D"/>
    <w:rsid w:val="00B61EDB"/>
    <w:rsid w:val="00B62153"/>
    <w:rsid w:val="00B621D6"/>
    <w:rsid w:val="00B640A6"/>
    <w:rsid w:val="00B64712"/>
    <w:rsid w:val="00B64DEB"/>
    <w:rsid w:val="00B6529A"/>
    <w:rsid w:val="00B65A80"/>
    <w:rsid w:val="00B65B22"/>
    <w:rsid w:val="00B65C01"/>
    <w:rsid w:val="00B65E72"/>
    <w:rsid w:val="00B65EED"/>
    <w:rsid w:val="00B67A34"/>
    <w:rsid w:val="00B67DAF"/>
    <w:rsid w:val="00B67DC4"/>
    <w:rsid w:val="00B67EEC"/>
    <w:rsid w:val="00B704A4"/>
    <w:rsid w:val="00B70884"/>
    <w:rsid w:val="00B708E2"/>
    <w:rsid w:val="00B71290"/>
    <w:rsid w:val="00B714AE"/>
    <w:rsid w:val="00B71852"/>
    <w:rsid w:val="00B71BC9"/>
    <w:rsid w:val="00B721D3"/>
    <w:rsid w:val="00B72693"/>
    <w:rsid w:val="00B72A00"/>
    <w:rsid w:val="00B72DA7"/>
    <w:rsid w:val="00B72DCB"/>
    <w:rsid w:val="00B73DB6"/>
    <w:rsid w:val="00B73DC5"/>
    <w:rsid w:val="00B74390"/>
    <w:rsid w:val="00B74F5D"/>
    <w:rsid w:val="00B77696"/>
    <w:rsid w:val="00B77983"/>
    <w:rsid w:val="00B81169"/>
    <w:rsid w:val="00B820D6"/>
    <w:rsid w:val="00B8243C"/>
    <w:rsid w:val="00B82721"/>
    <w:rsid w:val="00B83564"/>
    <w:rsid w:val="00B83983"/>
    <w:rsid w:val="00B8398D"/>
    <w:rsid w:val="00B83C8E"/>
    <w:rsid w:val="00B83EAB"/>
    <w:rsid w:val="00B84791"/>
    <w:rsid w:val="00B848A0"/>
    <w:rsid w:val="00B84E49"/>
    <w:rsid w:val="00B84E8F"/>
    <w:rsid w:val="00B85A11"/>
    <w:rsid w:val="00B85C00"/>
    <w:rsid w:val="00B85E01"/>
    <w:rsid w:val="00B862F0"/>
    <w:rsid w:val="00B87AD1"/>
    <w:rsid w:val="00B87EE2"/>
    <w:rsid w:val="00B90060"/>
    <w:rsid w:val="00B90944"/>
    <w:rsid w:val="00B90DCE"/>
    <w:rsid w:val="00B930FC"/>
    <w:rsid w:val="00B93727"/>
    <w:rsid w:val="00B93DD8"/>
    <w:rsid w:val="00B946FB"/>
    <w:rsid w:val="00B94E1A"/>
    <w:rsid w:val="00B952A7"/>
    <w:rsid w:val="00B95E12"/>
    <w:rsid w:val="00B961D0"/>
    <w:rsid w:val="00B96ACF"/>
    <w:rsid w:val="00BA0560"/>
    <w:rsid w:val="00BA0B15"/>
    <w:rsid w:val="00BA123F"/>
    <w:rsid w:val="00BA14DB"/>
    <w:rsid w:val="00BA1963"/>
    <w:rsid w:val="00BA2390"/>
    <w:rsid w:val="00BA2486"/>
    <w:rsid w:val="00BA2501"/>
    <w:rsid w:val="00BA29FA"/>
    <w:rsid w:val="00BA2B7A"/>
    <w:rsid w:val="00BA2CFB"/>
    <w:rsid w:val="00BA38A0"/>
    <w:rsid w:val="00BA3941"/>
    <w:rsid w:val="00BA3B7B"/>
    <w:rsid w:val="00BA3CCA"/>
    <w:rsid w:val="00BA46BD"/>
    <w:rsid w:val="00BA498E"/>
    <w:rsid w:val="00BA499B"/>
    <w:rsid w:val="00BA5150"/>
    <w:rsid w:val="00BA533E"/>
    <w:rsid w:val="00BA56FB"/>
    <w:rsid w:val="00BA5783"/>
    <w:rsid w:val="00BA5D5B"/>
    <w:rsid w:val="00BA6ABA"/>
    <w:rsid w:val="00BA756B"/>
    <w:rsid w:val="00BA75E1"/>
    <w:rsid w:val="00BA7F25"/>
    <w:rsid w:val="00BB0139"/>
    <w:rsid w:val="00BB041D"/>
    <w:rsid w:val="00BB2D4D"/>
    <w:rsid w:val="00BB367D"/>
    <w:rsid w:val="00BB3FAA"/>
    <w:rsid w:val="00BB43B1"/>
    <w:rsid w:val="00BB4B5C"/>
    <w:rsid w:val="00BB596B"/>
    <w:rsid w:val="00BB5971"/>
    <w:rsid w:val="00BB62EE"/>
    <w:rsid w:val="00BB6A3D"/>
    <w:rsid w:val="00BB6AE6"/>
    <w:rsid w:val="00BB7394"/>
    <w:rsid w:val="00BB73EF"/>
    <w:rsid w:val="00BB76D9"/>
    <w:rsid w:val="00BC06C2"/>
    <w:rsid w:val="00BC0ADF"/>
    <w:rsid w:val="00BC0B7C"/>
    <w:rsid w:val="00BC0ED9"/>
    <w:rsid w:val="00BC1A33"/>
    <w:rsid w:val="00BC1DE8"/>
    <w:rsid w:val="00BC2129"/>
    <w:rsid w:val="00BC2147"/>
    <w:rsid w:val="00BC2628"/>
    <w:rsid w:val="00BC29C4"/>
    <w:rsid w:val="00BC2BA4"/>
    <w:rsid w:val="00BC2D7F"/>
    <w:rsid w:val="00BC3442"/>
    <w:rsid w:val="00BC3BD8"/>
    <w:rsid w:val="00BC401E"/>
    <w:rsid w:val="00BC4231"/>
    <w:rsid w:val="00BC45BB"/>
    <w:rsid w:val="00BC461D"/>
    <w:rsid w:val="00BC4660"/>
    <w:rsid w:val="00BC471F"/>
    <w:rsid w:val="00BC485A"/>
    <w:rsid w:val="00BC4D5B"/>
    <w:rsid w:val="00BC5112"/>
    <w:rsid w:val="00BC52CA"/>
    <w:rsid w:val="00BC53E2"/>
    <w:rsid w:val="00BC55C1"/>
    <w:rsid w:val="00BC5A84"/>
    <w:rsid w:val="00BC6216"/>
    <w:rsid w:val="00BC67DB"/>
    <w:rsid w:val="00BC6AE0"/>
    <w:rsid w:val="00BC6CD2"/>
    <w:rsid w:val="00BC707F"/>
    <w:rsid w:val="00BC7CE5"/>
    <w:rsid w:val="00BD1229"/>
    <w:rsid w:val="00BD1BAD"/>
    <w:rsid w:val="00BD1BB1"/>
    <w:rsid w:val="00BD1D00"/>
    <w:rsid w:val="00BD1F81"/>
    <w:rsid w:val="00BD23B9"/>
    <w:rsid w:val="00BD2A7A"/>
    <w:rsid w:val="00BD3A24"/>
    <w:rsid w:val="00BD3F3A"/>
    <w:rsid w:val="00BD4680"/>
    <w:rsid w:val="00BD5213"/>
    <w:rsid w:val="00BD5383"/>
    <w:rsid w:val="00BD5757"/>
    <w:rsid w:val="00BD5931"/>
    <w:rsid w:val="00BD5F17"/>
    <w:rsid w:val="00BD649A"/>
    <w:rsid w:val="00BD792E"/>
    <w:rsid w:val="00BE0073"/>
    <w:rsid w:val="00BE043E"/>
    <w:rsid w:val="00BE0B4C"/>
    <w:rsid w:val="00BE1386"/>
    <w:rsid w:val="00BE1558"/>
    <w:rsid w:val="00BE190D"/>
    <w:rsid w:val="00BE1B07"/>
    <w:rsid w:val="00BE1BEF"/>
    <w:rsid w:val="00BE225F"/>
    <w:rsid w:val="00BE2474"/>
    <w:rsid w:val="00BE2776"/>
    <w:rsid w:val="00BE2F33"/>
    <w:rsid w:val="00BE3009"/>
    <w:rsid w:val="00BE3478"/>
    <w:rsid w:val="00BE35C9"/>
    <w:rsid w:val="00BE3B4A"/>
    <w:rsid w:val="00BE3B72"/>
    <w:rsid w:val="00BE4299"/>
    <w:rsid w:val="00BE4357"/>
    <w:rsid w:val="00BE445A"/>
    <w:rsid w:val="00BE47E6"/>
    <w:rsid w:val="00BE4960"/>
    <w:rsid w:val="00BE4FA8"/>
    <w:rsid w:val="00BE65AE"/>
    <w:rsid w:val="00BE6F5C"/>
    <w:rsid w:val="00BE7BF1"/>
    <w:rsid w:val="00BF00EA"/>
    <w:rsid w:val="00BF041E"/>
    <w:rsid w:val="00BF1645"/>
    <w:rsid w:val="00BF1B34"/>
    <w:rsid w:val="00BF1B9C"/>
    <w:rsid w:val="00BF1F82"/>
    <w:rsid w:val="00BF210E"/>
    <w:rsid w:val="00BF2896"/>
    <w:rsid w:val="00BF2939"/>
    <w:rsid w:val="00BF2ABD"/>
    <w:rsid w:val="00BF2BFF"/>
    <w:rsid w:val="00BF321E"/>
    <w:rsid w:val="00BF34A6"/>
    <w:rsid w:val="00BF442A"/>
    <w:rsid w:val="00BF44D9"/>
    <w:rsid w:val="00BF45C4"/>
    <w:rsid w:val="00BF4963"/>
    <w:rsid w:val="00BF5564"/>
    <w:rsid w:val="00BF5599"/>
    <w:rsid w:val="00BF5632"/>
    <w:rsid w:val="00BF5669"/>
    <w:rsid w:val="00BF64F8"/>
    <w:rsid w:val="00BF6922"/>
    <w:rsid w:val="00BF72D1"/>
    <w:rsid w:val="00BF734A"/>
    <w:rsid w:val="00BF7A60"/>
    <w:rsid w:val="00BF7B13"/>
    <w:rsid w:val="00BF7C5F"/>
    <w:rsid w:val="00C000B5"/>
    <w:rsid w:val="00C00C4C"/>
    <w:rsid w:val="00C015C9"/>
    <w:rsid w:val="00C01796"/>
    <w:rsid w:val="00C01A31"/>
    <w:rsid w:val="00C01A86"/>
    <w:rsid w:val="00C02661"/>
    <w:rsid w:val="00C02859"/>
    <w:rsid w:val="00C033BA"/>
    <w:rsid w:val="00C03966"/>
    <w:rsid w:val="00C03BE5"/>
    <w:rsid w:val="00C03D0B"/>
    <w:rsid w:val="00C03EED"/>
    <w:rsid w:val="00C0429D"/>
    <w:rsid w:val="00C044EB"/>
    <w:rsid w:val="00C04A14"/>
    <w:rsid w:val="00C0554C"/>
    <w:rsid w:val="00C05C7C"/>
    <w:rsid w:val="00C05E8A"/>
    <w:rsid w:val="00C0644F"/>
    <w:rsid w:val="00C065AF"/>
    <w:rsid w:val="00C07249"/>
    <w:rsid w:val="00C07FBE"/>
    <w:rsid w:val="00C10753"/>
    <w:rsid w:val="00C10E8A"/>
    <w:rsid w:val="00C1110A"/>
    <w:rsid w:val="00C1121D"/>
    <w:rsid w:val="00C11920"/>
    <w:rsid w:val="00C11A40"/>
    <w:rsid w:val="00C11C88"/>
    <w:rsid w:val="00C12ED8"/>
    <w:rsid w:val="00C13E10"/>
    <w:rsid w:val="00C13EC6"/>
    <w:rsid w:val="00C14247"/>
    <w:rsid w:val="00C142B3"/>
    <w:rsid w:val="00C1444D"/>
    <w:rsid w:val="00C1482D"/>
    <w:rsid w:val="00C148F9"/>
    <w:rsid w:val="00C153BB"/>
    <w:rsid w:val="00C157A0"/>
    <w:rsid w:val="00C15C6E"/>
    <w:rsid w:val="00C15D2E"/>
    <w:rsid w:val="00C1620B"/>
    <w:rsid w:val="00C1627B"/>
    <w:rsid w:val="00C1630C"/>
    <w:rsid w:val="00C16F91"/>
    <w:rsid w:val="00C17048"/>
    <w:rsid w:val="00C177D6"/>
    <w:rsid w:val="00C17D1C"/>
    <w:rsid w:val="00C20907"/>
    <w:rsid w:val="00C20C7F"/>
    <w:rsid w:val="00C21114"/>
    <w:rsid w:val="00C21984"/>
    <w:rsid w:val="00C21A7C"/>
    <w:rsid w:val="00C21FDF"/>
    <w:rsid w:val="00C22908"/>
    <w:rsid w:val="00C22954"/>
    <w:rsid w:val="00C22E32"/>
    <w:rsid w:val="00C22EDA"/>
    <w:rsid w:val="00C22EE6"/>
    <w:rsid w:val="00C23479"/>
    <w:rsid w:val="00C23B20"/>
    <w:rsid w:val="00C23D59"/>
    <w:rsid w:val="00C24B23"/>
    <w:rsid w:val="00C258F7"/>
    <w:rsid w:val="00C25F75"/>
    <w:rsid w:val="00C26736"/>
    <w:rsid w:val="00C26764"/>
    <w:rsid w:val="00C27063"/>
    <w:rsid w:val="00C27334"/>
    <w:rsid w:val="00C278CC"/>
    <w:rsid w:val="00C27C34"/>
    <w:rsid w:val="00C30081"/>
    <w:rsid w:val="00C3018B"/>
    <w:rsid w:val="00C30CC2"/>
    <w:rsid w:val="00C30FD9"/>
    <w:rsid w:val="00C31297"/>
    <w:rsid w:val="00C314D1"/>
    <w:rsid w:val="00C31DB6"/>
    <w:rsid w:val="00C31E87"/>
    <w:rsid w:val="00C31ECD"/>
    <w:rsid w:val="00C3234D"/>
    <w:rsid w:val="00C330B3"/>
    <w:rsid w:val="00C33288"/>
    <w:rsid w:val="00C33EE3"/>
    <w:rsid w:val="00C34297"/>
    <w:rsid w:val="00C34CCF"/>
    <w:rsid w:val="00C35157"/>
    <w:rsid w:val="00C3526E"/>
    <w:rsid w:val="00C35450"/>
    <w:rsid w:val="00C35CC3"/>
    <w:rsid w:val="00C360DB"/>
    <w:rsid w:val="00C36434"/>
    <w:rsid w:val="00C367C1"/>
    <w:rsid w:val="00C36BEB"/>
    <w:rsid w:val="00C36BFC"/>
    <w:rsid w:val="00C374EC"/>
    <w:rsid w:val="00C37E5F"/>
    <w:rsid w:val="00C40705"/>
    <w:rsid w:val="00C42173"/>
    <w:rsid w:val="00C4264B"/>
    <w:rsid w:val="00C433F8"/>
    <w:rsid w:val="00C43415"/>
    <w:rsid w:val="00C43424"/>
    <w:rsid w:val="00C43490"/>
    <w:rsid w:val="00C43C24"/>
    <w:rsid w:val="00C43EE2"/>
    <w:rsid w:val="00C44113"/>
    <w:rsid w:val="00C446A4"/>
    <w:rsid w:val="00C446FF"/>
    <w:rsid w:val="00C44A8F"/>
    <w:rsid w:val="00C44DF2"/>
    <w:rsid w:val="00C453A6"/>
    <w:rsid w:val="00C4561D"/>
    <w:rsid w:val="00C45B70"/>
    <w:rsid w:val="00C4636E"/>
    <w:rsid w:val="00C466C3"/>
    <w:rsid w:val="00C468B9"/>
    <w:rsid w:val="00C46D2D"/>
    <w:rsid w:val="00C472D2"/>
    <w:rsid w:val="00C47E68"/>
    <w:rsid w:val="00C47EE1"/>
    <w:rsid w:val="00C50308"/>
    <w:rsid w:val="00C50731"/>
    <w:rsid w:val="00C51018"/>
    <w:rsid w:val="00C5112D"/>
    <w:rsid w:val="00C51FFF"/>
    <w:rsid w:val="00C5235C"/>
    <w:rsid w:val="00C52BCA"/>
    <w:rsid w:val="00C52F84"/>
    <w:rsid w:val="00C53175"/>
    <w:rsid w:val="00C532F6"/>
    <w:rsid w:val="00C53542"/>
    <w:rsid w:val="00C53DF2"/>
    <w:rsid w:val="00C541FF"/>
    <w:rsid w:val="00C54769"/>
    <w:rsid w:val="00C55164"/>
    <w:rsid w:val="00C552D5"/>
    <w:rsid w:val="00C5582E"/>
    <w:rsid w:val="00C55CBF"/>
    <w:rsid w:val="00C55F01"/>
    <w:rsid w:val="00C562D8"/>
    <w:rsid w:val="00C568C8"/>
    <w:rsid w:val="00C57520"/>
    <w:rsid w:val="00C575D2"/>
    <w:rsid w:val="00C57C23"/>
    <w:rsid w:val="00C57F20"/>
    <w:rsid w:val="00C6027A"/>
    <w:rsid w:val="00C62692"/>
    <w:rsid w:val="00C6277F"/>
    <w:rsid w:val="00C6306A"/>
    <w:rsid w:val="00C632A7"/>
    <w:rsid w:val="00C6382D"/>
    <w:rsid w:val="00C63F97"/>
    <w:rsid w:val="00C6419A"/>
    <w:rsid w:val="00C64609"/>
    <w:rsid w:val="00C64887"/>
    <w:rsid w:val="00C649CE"/>
    <w:rsid w:val="00C64F6F"/>
    <w:rsid w:val="00C65A50"/>
    <w:rsid w:val="00C67384"/>
    <w:rsid w:val="00C67EFD"/>
    <w:rsid w:val="00C700AF"/>
    <w:rsid w:val="00C704FF"/>
    <w:rsid w:val="00C70BB9"/>
    <w:rsid w:val="00C70BBC"/>
    <w:rsid w:val="00C70C77"/>
    <w:rsid w:val="00C70D3A"/>
    <w:rsid w:val="00C71986"/>
    <w:rsid w:val="00C71DC1"/>
    <w:rsid w:val="00C7206B"/>
    <w:rsid w:val="00C72B9A"/>
    <w:rsid w:val="00C72EFD"/>
    <w:rsid w:val="00C7355D"/>
    <w:rsid w:val="00C73A94"/>
    <w:rsid w:val="00C73D2D"/>
    <w:rsid w:val="00C741BD"/>
    <w:rsid w:val="00C75003"/>
    <w:rsid w:val="00C7500C"/>
    <w:rsid w:val="00C7565D"/>
    <w:rsid w:val="00C7607C"/>
    <w:rsid w:val="00C7638F"/>
    <w:rsid w:val="00C77406"/>
    <w:rsid w:val="00C776E4"/>
    <w:rsid w:val="00C77707"/>
    <w:rsid w:val="00C80208"/>
    <w:rsid w:val="00C8110D"/>
    <w:rsid w:val="00C81958"/>
    <w:rsid w:val="00C81B1D"/>
    <w:rsid w:val="00C82295"/>
    <w:rsid w:val="00C82ACF"/>
    <w:rsid w:val="00C82CA3"/>
    <w:rsid w:val="00C82E3A"/>
    <w:rsid w:val="00C835B3"/>
    <w:rsid w:val="00C839D2"/>
    <w:rsid w:val="00C84078"/>
    <w:rsid w:val="00C842BD"/>
    <w:rsid w:val="00C84674"/>
    <w:rsid w:val="00C84B57"/>
    <w:rsid w:val="00C84D79"/>
    <w:rsid w:val="00C858C2"/>
    <w:rsid w:val="00C8603B"/>
    <w:rsid w:val="00C86521"/>
    <w:rsid w:val="00C86D85"/>
    <w:rsid w:val="00C86E6C"/>
    <w:rsid w:val="00C86E6E"/>
    <w:rsid w:val="00C86EF2"/>
    <w:rsid w:val="00C871C6"/>
    <w:rsid w:val="00C873F7"/>
    <w:rsid w:val="00C903D6"/>
    <w:rsid w:val="00C9056B"/>
    <w:rsid w:val="00C906F6"/>
    <w:rsid w:val="00C9081F"/>
    <w:rsid w:val="00C93F61"/>
    <w:rsid w:val="00C94736"/>
    <w:rsid w:val="00C9480C"/>
    <w:rsid w:val="00C94A3D"/>
    <w:rsid w:val="00C94C3C"/>
    <w:rsid w:val="00C94E99"/>
    <w:rsid w:val="00C9503A"/>
    <w:rsid w:val="00C952D0"/>
    <w:rsid w:val="00C958DE"/>
    <w:rsid w:val="00C95945"/>
    <w:rsid w:val="00C95EFD"/>
    <w:rsid w:val="00C9636B"/>
    <w:rsid w:val="00C97086"/>
    <w:rsid w:val="00C9734F"/>
    <w:rsid w:val="00C975A3"/>
    <w:rsid w:val="00C97A8A"/>
    <w:rsid w:val="00C97E6B"/>
    <w:rsid w:val="00CA13D4"/>
    <w:rsid w:val="00CA155C"/>
    <w:rsid w:val="00CA1C80"/>
    <w:rsid w:val="00CA2735"/>
    <w:rsid w:val="00CA38DE"/>
    <w:rsid w:val="00CA3A0A"/>
    <w:rsid w:val="00CA3D2A"/>
    <w:rsid w:val="00CA3EF0"/>
    <w:rsid w:val="00CA42EF"/>
    <w:rsid w:val="00CA4610"/>
    <w:rsid w:val="00CA566E"/>
    <w:rsid w:val="00CA606A"/>
    <w:rsid w:val="00CA6A48"/>
    <w:rsid w:val="00CA732E"/>
    <w:rsid w:val="00CA7356"/>
    <w:rsid w:val="00CA75BF"/>
    <w:rsid w:val="00CA75DF"/>
    <w:rsid w:val="00CA7993"/>
    <w:rsid w:val="00CA7A7A"/>
    <w:rsid w:val="00CA7B4B"/>
    <w:rsid w:val="00CB010B"/>
    <w:rsid w:val="00CB0463"/>
    <w:rsid w:val="00CB096A"/>
    <w:rsid w:val="00CB0B90"/>
    <w:rsid w:val="00CB10F4"/>
    <w:rsid w:val="00CB1620"/>
    <w:rsid w:val="00CB1D84"/>
    <w:rsid w:val="00CB26CE"/>
    <w:rsid w:val="00CB2B2F"/>
    <w:rsid w:val="00CB2C3D"/>
    <w:rsid w:val="00CB2F8E"/>
    <w:rsid w:val="00CB33F3"/>
    <w:rsid w:val="00CB369F"/>
    <w:rsid w:val="00CB3F64"/>
    <w:rsid w:val="00CB47B5"/>
    <w:rsid w:val="00CB4EE8"/>
    <w:rsid w:val="00CB5B32"/>
    <w:rsid w:val="00CB5BC5"/>
    <w:rsid w:val="00CB6013"/>
    <w:rsid w:val="00CB62CE"/>
    <w:rsid w:val="00CB63DF"/>
    <w:rsid w:val="00CB682D"/>
    <w:rsid w:val="00CB6A1C"/>
    <w:rsid w:val="00CB71F2"/>
    <w:rsid w:val="00CB7E48"/>
    <w:rsid w:val="00CB7F5B"/>
    <w:rsid w:val="00CC0449"/>
    <w:rsid w:val="00CC062C"/>
    <w:rsid w:val="00CC0714"/>
    <w:rsid w:val="00CC0E44"/>
    <w:rsid w:val="00CC1290"/>
    <w:rsid w:val="00CC14A4"/>
    <w:rsid w:val="00CC1729"/>
    <w:rsid w:val="00CC1A52"/>
    <w:rsid w:val="00CC29BD"/>
    <w:rsid w:val="00CC3419"/>
    <w:rsid w:val="00CC357E"/>
    <w:rsid w:val="00CC3707"/>
    <w:rsid w:val="00CC4805"/>
    <w:rsid w:val="00CC51F0"/>
    <w:rsid w:val="00CC5225"/>
    <w:rsid w:val="00CC581A"/>
    <w:rsid w:val="00CC5DA5"/>
    <w:rsid w:val="00CC5FA8"/>
    <w:rsid w:val="00CC62CC"/>
    <w:rsid w:val="00CC7740"/>
    <w:rsid w:val="00CC7E8F"/>
    <w:rsid w:val="00CC7F6C"/>
    <w:rsid w:val="00CD0604"/>
    <w:rsid w:val="00CD10CC"/>
    <w:rsid w:val="00CD160A"/>
    <w:rsid w:val="00CD1AC1"/>
    <w:rsid w:val="00CD296D"/>
    <w:rsid w:val="00CD2DF8"/>
    <w:rsid w:val="00CD364C"/>
    <w:rsid w:val="00CD3E41"/>
    <w:rsid w:val="00CD3F20"/>
    <w:rsid w:val="00CD41E4"/>
    <w:rsid w:val="00CD4215"/>
    <w:rsid w:val="00CD45F0"/>
    <w:rsid w:val="00CD4688"/>
    <w:rsid w:val="00CD4B56"/>
    <w:rsid w:val="00CD53D2"/>
    <w:rsid w:val="00CD54E3"/>
    <w:rsid w:val="00CD58B8"/>
    <w:rsid w:val="00CD596B"/>
    <w:rsid w:val="00CD629D"/>
    <w:rsid w:val="00CD62FE"/>
    <w:rsid w:val="00CD7E7F"/>
    <w:rsid w:val="00CE03F1"/>
    <w:rsid w:val="00CE041C"/>
    <w:rsid w:val="00CE077A"/>
    <w:rsid w:val="00CE1543"/>
    <w:rsid w:val="00CE1AD4"/>
    <w:rsid w:val="00CE21C4"/>
    <w:rsid w:val="00CE2380"/>
    <w:rsid w:val="00CE2B93"/>
    <w:rsid w:val="00CE4000"/>
    <w:rsid w:val="00CE4181"/>
    <w:rsid w:val="00CE429E"/>
    <w:rsid w:val="00CE4373"/>
    <w:rsid w:val="00CE4EEA"/>
    <w:rsid w:val="00CE648E"/>
    <w:rsid w:val="00CE770C"/>
    <w:rsid w:val="00CE7981"/>
    <w:rsid w:val="00CE7F8E"/>
    <w:rsid w:val="00CF0DE8"/>
    <w:rsid w:val="00CF1817"/>
    <w:rsid w:val="00CF3803"/>
    <w:rsid w:val="00CF3A04"/>
    <w:rsid w:val="00CF44F0"/>
    <w:rsid w:val="00CF4DA5"/>
    <w:rsid w:val="00CF4E2E"/>
    <w:rsid w:val="00CF5B88"/>
    <w:rsid w:val="00CF5EB6"/>
    <w:rsid w:val="00CF6087"/>
    <w:rsid w:val="00CF640B"/>
    <w:rsid w:val="00CF7B08"/>
    <w:rsid w:val="00D00B52"/>
    <w:rsid w:val="00D00F75"/>
    <w:rsid w:val="00D01591"/>
    <w:rsid w:val="00D019E0"/>
    <w:rsid w:val="00D01E50"/>
    <w:rsid w:val="00D02235"/>
    <w:rsid w:val="00D0232F"/>
    <w:rsid w:val="00D023C5"/>
    <w:rsid w:val="00D023FF"/>
    <w:rsid w:val="00D02E11"/>
    <w:rsid w:val="00D03008"/>
    <w:rsid w:val="00D036D3"/>
    <w:rsid w:val="00D03ED2"/>
    <w:rsid w:val="00D04381"/>
    <w:rsid w:val="00D046E0"/>
    <w:rsid w:val="00D04DE5"/>
    <w:rsid w:val="00D052E5"/>
    <w:rsid w:val="00D055D3"/>
    <w:rsid w:val="00D05E1B"/>
    <w:rsid w:val="00D05FD4"/>
    <w:rsid w:val="00D06A5A"/>
    <w:rsid w:val="00D07431"/>
    <w:rsid w:val="00D07540"/>
    <w:rsid w:val="00D07E43"/>
    <w:rsid w:val="00D10ACA"/>
    <w:rsid w:val="00D10F62"/>
    <w:rsid w:val="00D11A53"/>
    <w:rsid w:val="00D1278F"/>
    <w:rsid w:val="00D131D4"/>
    <w:rsid w:val="00D13329"/>
    <w:rsid w:val="00D13CEB"/>
    <w:rsid w:val="00D151F9"/>
    <w:rsid w:val="00D15E41"/>
    <w:rsid w:val="00D16C4F"/>
    <w:rsid w:val="00D16C59"/>
    <w:rsid w:val="00D16D06"/>
    <w:rsid w:val="00D16DE8"/>
    <w:rsid w:val="00D17AD7"/>
    <w:rsid w:val="00D17F8F"/>
    <w:rsid w:val="00D20DEC"/>
    <w:rsid w:val="00D213B1"/>
    <w:rsid w:val="00D2181D"/>
    <w:rsid w:val="00D21D57"/>
    <w:rsid w:val="00D21EBC"/>
    <w:rsid w:val="00D22088"/>
    <w:rsid w:val="00D230C7"/>
    <w:rsid w:val="00D236BC"/>
    <w:rsid w:val="00D23D95"/>
    <w:rsid w:val="00D23F38"/>
    <w:rsid w:val="00D252A4"/>
    <w:rsid w:val="00D252CD"/>
    <w:rsid w:val="00D252D7"/>
    <w:rsid w:val="00D25894"/>
    <w:rsid w:val="00D25C9C"/>
    <w:rsid w:val="00D26452"/>
    <w:rsid w:val="00D269B4"/>
    <w:rsid w:val="00D2713C"/>
    <w:rsid w:val="00D27305"/>
    <w:rsid w:val="00D27A25"/>
    <w:rsid w:val="00D27C79"/>
    <w:rsid w:val="00D3067A"/>
    <w:rsid w:val="00D30A02"/>
    <w:rsid w:val="00D30AC5"/>
    <w:rsid w:val="00D30BDB"/>
    <w:rsid w:val="00D30BF5"/>
    <w:rsid w:val="00D31C66"/>
    <w:rsid w:val="00D32B30"/>
    <w:rsid w:val="00D33225"/>
    <w:rsid w:val="00D33688"/>
    <w:rsid w:val="00D3389D"/>
    <w:rsid w:val="00D34000"/>
    <w:rsid w:val="00D3401C"/>
    <w:rsid w:val="00D34182"/>
    <w:rsid w:val="00D341C8"/>
    <w:rsid w:val="00D34B01"/>
    <w:rsid w:val="00D35163"/>
    <w:rsid w:val="00D35286"/>
    <w:rsid w:val="00D35774"/>
    <w:rsid w:val="00D35842"/>
    <w:rsid w:val="00D35C78"/>
    <w:rsid w:val="00D35D49"/>
    <w:rsid w:val="00D36512"/>
    <w:rsid w:val="00D36777"/>
    <w:rsid w:val="00D3715E"/>
    <w:rsid w:val="00D3742F"/>
    <w:rsid w:val="00D37775"/>
    <w:rsid w:val="00D40205"/>
    <w:rsid w:val="00D4045A"/>
    <w:rsid w:val="00D40522"/>
    <w:rsid w:val="00D40791"/>
    <w:rsid w:val="00D409CA"/>
    <w:rsid w:val="00D40DE6"/>
    <w:rsid w:val="00D414FA"/>
    <w:rsid w:val="00D41907"/>
    <w:rsid w:val="00D419BB"/>
    <w:rsid w:val="00D41FA7"/>
    <w:rsid w:val="00D428F9"/>
    <w:rsid w:val="00D42B30"/>
    <w:rsid w:val="00D43308"/>
    <w:rsid w:val="00D433BD"/>
    <w:rsid w:val="00D4341C"/>
    <w:rsid w:val="00D437F2"/>
    <w:rsid w:val="00D45194"/>
    <w:rsid w:val="00D453AF"/>
    <w:rsid w:val="00D454F5"/>
    <w:rsid w:val="00D45D2C"/>
    <w:rsid w:val="00D460E2"/>
    <w:rsid w:val="00D46107"/>
    <w:rsid w:val="00D46EF7"/>
    <w:rsid w:val="00D47828"/>
    <w:rsid w:val="00D47CA8"/>
    <w:rsid w:val="00D501DD"/>
    <w:rsid w:val="00D50683"/>
    <w:rsid w:val="00D507C9"/>
    <w:rsid w:val="00D50A94"/>
    <w:rsid w:val="00D50BE4"/>
    <w:rsid w:val="00D50DE0"/>
    <w:rsid w:val="00D50F4D"/>
    <w:rsid w:val="00D50F71"/>
    <w:rsid w:val="00D5103C"/>
    <w:rsid w:val="00D51306"/>
    <w:rsid w:val="00D5219B"/>
    <w:rsid w:val="00D528FE"/>
    <w:rsid w:val="00D52C12"/>
    <w:rsid w:val="00D5325B"/>
    <w:rsid w:val="00D5354A"/>
    <w:rsid w:val="00D53B40"/>
    <w:rsid w:val="00D53FE4"/>
    <w:rsid w:val="00D543E4"/>
    <w:rsid w:val="00D549F5"/>
    <w:rsid w:val="00D553C5"/>
    <w:rsid w:val="00D556EF"/>
    <w:rsid w:val="00D55AF7"/>
    <w:rsid w:val="00D55C30"/>
    <w:rsid w:val="00D55F64"/>
    <w:rsid w:val="00D56242"/>
    <w:rsid w:val="00D56793"/>
    <w:rsid w:val="00D569EB"/>
    <w:rsid w:val="00D56A84"/>
    <w:rsid w:val="00D57068"/>
    <w:rsid w:val="00D578F5"/>
    <w:rsid w:val="00D57B09"/>
    <w:rsid w:val="00D57D36"/>
    <w:rsid w:val="00D6163D"/>
    <w:rsid w:val="00D61708"/>
    <w:rsid w:val="00D617F4"/>
    <w:rsid w:val="00D62A6F"/>
    <w:rsid w:val="00D63991"/>
    <w:rsid w:val="00D63ACD"/>
    <w:rsid w:val="00D63D54"/>
    <w:rsid w:val="00D63E33"/>
    <w:rsid w:val="00D64560"/>
    <w:rsid w:val="00D6496B"/>
    <w:rsid w:val="00D651B2"/>
    <w:rsid w:val="00D666D8"/>
    <w:rsid w:val="00D673C0"/>
    <w:rsid w:val="00D67DEE"/>
    <w:rsid w:val="00D70540"/>
    <w:rsid w:val="00D7056F"/>
    <w:rsid w:val="00D708E6"/>
    <w:rsid w:val="00D71B9B"/>
    <w:rsid w:val="00D71DDB"/>
    <w:rsid w:val="00D729A0"/>
    <w:rsid w:val="00D72B88"/>
    <w:rsid w:val="00D73AB9"/>
    <w:rsid w:val="00D73D96"/>
    <w:rsid w:val="00D73E4C"/>
    <w:rsid w:val="00D743A8"/>
    <w:rsid w:val="00D75278"/>
    <w:rsid w:val="00D754B7"/>
    <w:rsid w:val="00D75830"/>
    <w:rsid w:val="00D763B7"/>
    <w:rsid w:val="00D76567"/>
    <w:rsid w:val="00D766F5"/>
    <w:rsid w:val="00D76787"/>
    <w:rsid w:val="00D771AD"/>
    <w:rsid w:val="00D77B16"/>
    <w:rsid w:val="00D77C11"/>
    <w:rsid w:val="00D801E0"/>
    <w:rsid w:val="00D80222"/>
    <w:rsid w:val="00D80E0C"/>
    <w:rsid w:val="00D8141C"/>
    <w:rsid w:val="00D81593"/>
    <w:rsid w:val="00D81949"/>
    <w:rsid w:val="00D819D0"/>
    <w:rsid w:val="00D8208F"/>
    <w:rsid w:val="00D823D3"/>
    <w:rsid w:val="00D82827"/>
    <w:rsid w:val="00D82FF7"/>
    <w:rsid w:val="00D8301E"/>
    <w:rsid w:val="00D83BBA"/>
    <w:rsid w:val="00D83D0F"/>
    <w:rsid w:val="00D841DF"/>
    <w:rsid w:val="00D845E0"/>
    <w:rsid w:val="00D849CF"/>
    <w:rsid w:val="00D84ED1"/>
    <w:rsid w:val="00D84FAB"/>
    <w:rsid w:val="00D858AA"/>
    <w:rsid w:val="00D85BAB"/>
    <w:rsid w:val="00D85C8D"/>
    <w:rsid w:val="00D85F5E"/>
    <w:rsid w:val="00D86C38"/>
    <w:rsid w:val="00D87771"/>
    <w:rsid w:val="00D877D4"/>
    <w:rsid w:val="00D87A85"/>
    <w:rsid w:val="00D87E89"/>
    <w:rsid w:val="00D90010"/>
    <w:rsid w:val="00D90F23"/>
    <w:rsid w:val="00D9120F"/>
    <w:rsid w:val="00D9165C"/>
    <w:rsid w:val="00D9259A"/>
    <w:rsid w:val="00D92F77"/>
    <w:rsid w:val="00D93903"/>
    <w:rsid w:val="00D93A46"/>
    <w:rsid w:val="00D93B83"/>
    <w:rsid w:val="00D93BAF"/>
    <w:rsid w:val="00D93BD5"/>
    <w:rsid w:val="00D93DCA"/>
    <w:rsid w:val="00D954D8"/>
    <w:rsid w:val="00D955CE"/>
    <w:rsid w:val="00D95834"/>
    <w:rsid w:val="00D96688"/>
    <w:rsid w:val="00D968E1"/>
    <w:rsid w:val="00D96B68"/>
    <w:rsid w:val="00D96BEC"/>
    <w:rsid w:val="00D97EFF"/>
    <w:rsid w:val="00D97F6B"/>
    <w:rsid w:val="00DA0154"/>
    <w:rsid w:val="00DA03D9"/>
    <w:rsid w:val="00DA0532"/>
    <w:rsid w:val="00DA0801"/>
    <w:rsid w:val="00DA0B0A"/>
    <w:rsid w:val="00DA1487"/>
    <w:rsid w:val="00DA1DB3"/>
    <w:rsid w:val="00DA28BF"/>
    <w:rsid w:val="00DA2D54"/>
    <w:rsid w:val="00DA2DF7"/>
    <w:rsid w:val="00DA3BB5"/>
    <w:rsid w:val="00DA45E4"/>
    <w:rsid w:val="00DA4720"/>
    <w:rsid w:val="00DA4F4D"/>
    <w:rsid w:val="00DA582D"/>
    <w:rsid w:val="00DA60A6"/>
    <w:rsid w:val="00DA64B0"/>
    <w:rsid w:val="00DA6A49"/>
    <w:rsid w:val="00DA7C2D"/>
    <w:rsid w:val="00DA7DF6"/>
    <w:rsid w:val="00DA7F3C"/>
    <w:rsid w:val="00DB023C"/>
    <w:rsid w:val="00DB0836"/>
    <w:rsid w:val="00DB0EF8"/>
    <w:rsid w:val="00DB2122"/>
    <w:rsid w:val="00DB290B"/>
    <w:rsid w:val="00DB29C0"/>
    <w:rsid w:val="00DB2EB3"/>
    <w:rsid w:val="00DB39E6"/>
    <w:rsid w:val="00DB3D10"/>
    <w:rsid w:val="00DB448C"/>
    <w:rsid w:val="00DB4BBC"/>
    <w:rsid w:val="00DB54C5"/>
    <w:rsid w:val="00DB55EA"/>
    <w:rsid w:val="00DB59ED"/>
    <w:rsid w:val="00DB60A1"/>
    <w:rsid w:val="00DB6462"/>
    <w:rsid w:val="00DB6864"/>
    <w:rsid w:val="00DC01BD"/>
    <w:rsid w:val="00DC06F4"/>
    <w:rsid w:val="00DC09C2"/>
    <w:rsid w:val="00DC14F0"/>
    <w:rsid w:val="00DC250C"/>
    <w:rsid w:val="00DC275C"/>
    <w:rsid w:val="00DC27E9"/>
    <w:rsid w:val="00DC31B3"/>
    <w:rsid w:val="00DC334A"/>
    <w:rsid w:val="00DC4742"/>
    <w:rsid w:val="00DC48AE"/>
    <w:rsid w:val="00DC49D7"/>
    <w:rsid w:val="00DC5088"/>
    <w:rsid w:val="00DC5663"/>
    <w:rsid w:val="00DC58B2"/>
    <w:rsid w:val="00DC58E7"/>
    <w:rsid w:val="00DC5E66"/>
    <w:rsid w:val="00DC6AA0"/>
    <w:rsid w:val="00DC756E"/>
    <w:rsid w:val="00DC7A06"/>
    <w:rsid w:val="00DD1AFE"/>
    <w:rsid w:val="00DD203B"/>
    <w:rsid w:val="00DD25F4"/>
    <w:rsid w:val="00DD2C00"/>
    <w:rsid w:val="00DD2F34"/>
    <w:rsid w:val="00DD35D5"/>
    <w:rsid w:val="00DD3FA7"/>
    <w:rsid w:val="00DD46A7"/>
    <w:rsid w:val="00DD4902"/>
    <w:rsid w:val="00DD4A06"/>
    <w:rsid w:val="00DD52E4"/>
    <w:rsid w:val="00DD537D"/>
    <w:rsid w:val="00DD53CC"/>
    <w:rsid w:val="00DD53DF"/>
    <w:rsid w:val="00DD591B"/>
    <w:rsid w:val="00DD6662"/>
    <w:rsid w:val="00DD6A69"/>
    <w:rsid w:val="00DD7CCE"/>
    <w:rsid w:val="00DE098C"/>
    <w:rsid w:val="00DE09DD"/>
    <w:rsid w:val="00DE0D93"/>
    <w:rsid w:val="00DE0EBD"/>
    <w:rsid w:val="00DE21F8"/>
    <w:rsid w:val="00DE2DAF"/>
    <w:rsid w:val="00DE3447"/>
    <w:rsid w:val="00DE365D"/>
    <w:rsid w:val="00DE3DD4"/>
    <w:rsid w:val="00DE3DDF"/>
    <w:rsid w:val="00DE3E82"/>
    <w:rsid w:val="00DE3F7E"/>
    <w:rsid w:val="00DE42D8"/>
    <w:rsid w:val="00DE46C2"/>
    <w:rsid w:val="00DE4990"/>
    <w:rsid w:val="00DE4C59"/>
    <w:rsid w:val="00DE5661"/>
    <w:rsid w:val="00DE580C"/>
    <w:rsid w:val="00DE5F7B"/>
    <w:rsid w:val="00DE6194"/>
    <w:rsid w:val="00DE7401"/>
    <w:rsid w:val="00DE752C"/>
    <w:rsid w:val="00DE75AC"/>
    <w:rsid w:val="00DE7957"/>
    <w:rsid w:val="00DE7F65"/>
    <w:rsid w:val="00DF0808"/>
    <w:rsid w:val="00DF09FA"/>
    <w:rsid w:val="00DF1064"/>
    <w:rsid w:val="00DF147E"/>
    <w:rsid w:val="00DF16E7"/>
    <w:rsid w:val="00DF25D5"/>
    <w:rsid w:val="00DF2874"/>
    <w:rsid w:val="00DF28E1"/>
    <w:rsid w:val="00DF28EC"/>
    <w:rsid w:val="00DF2CBA"/>
    <w:rsid w:val="00DF36FB"/>
    <w:rsid w:val="00DF39AE"/>
    <w:rsid w:val="00DF4B98"/>
    <w:rsid w:val="00DF4BA9"/>
    <w:rsid w:val="00DF510D"/>
    <w:rsid w:val="00DF51AD"/>
    <w:rsid w:val="00DF5268"/>
    <w:rsid w:val="00DF52C3"/>
    <w:rsid w:val="00DF5B7F"/>
    <w:rsid w:val="00DF5C0E"/>
    <w:rsid w:val="00DF5F10"/>
    <w:rsid w:val="00DF6F9A"/>
    <w:rsid w:val="00DF735F"/>
    <w:rsid w:val="00DF7B9C"/>
    <w:rsid w:val="00E0080C"/>
    <w:rsid w:val="00E00A92"/>
    <w:rsid w:val="00E00C5E"/>
    <w:rsid w:val="00E01B1C"/>
    <w:rsid w:val="00E01B2C"/>
    <w:rsid w:val="00E01F40"/>
    <w:rsid w:val="00E022DB"/>
    <w:rsid w:val="00E02850"/>
    <w:rsid w:val="00E028EE"/>
    <w:rsid w:val="00E02E44"/>
    <w:rsid w:val="00E031BA"/>
    <w:rsid w:val="00E03568"/>
    <w:rsid w:val="00E03577"/>
    <w:rsid w:val="00E03725"/>
    <w:rsid w:val="00E03ABD"/>
    <w:rsid w:val="00E04F65"/>
    <w:rsid w:val="00E053EB"/>
    <w:rsid w:val="00E0565F"/>
    <w:rsid w:val="00E06117"/>
    <w:rsid w:val="00E06681"/>
    <w:rsid w:val="00E06F00"/>
    <w:rsid w:val="00E070F3"/>
    <w:rsid w:val="00E07262"/>
    <w:rsid w:val="00E10428"/>
    <w:rsid w:val="00E11263"/>
    <w:rsid w:val="00E11DB8"/>
    <w:rsid w:val="00E12348"/>
    <w:rsid w:val="00E12375"/>
    <w:rsid w:val="00E123A4"/>
    <w:rsid w:val="00E12471"/>
    <w:rsid w:val="00E1294A"/>
    <w:rsid w:val="00E12A45"/>
    <w:rsid w:val="00E12AEA"/>
    <w:rsid w:val="00E12BE2"/>
    <w:rsid w:val="00E1311B"/>
    <w:rsid w:val="00E14688"/>
    <w:rsid w:val="00E14EAE"/>
    <w:rsid w:val="00E15DA4"/>
    <w:rsid w:val="00E16184"/>
    <w:rsid w:val="00E1689C"/>
    <w:rsid w:val="00E16FD9"/>
    <w:rsid w:val="00E1727C"/>
    <w:rsid w:val="00E173B9"/>
    <w:rsid w:val="00E1768D"/>
    <w:rsid w:val="00E20532"/>
    <w:rsid w:val="00E2060D"/>
    <w:rsid w:val="00E20868"/>
    <w:rsid w:val="00E20C48"/>
    <w:rsid w:val="00E21349"/>
    <w:rsid w:val="00E21ACE"/>
    <w:rsid w:val="00E2215F"/>
    <w:rsid w:val="00E2318E"/>
    <w:rsid w:val="00E23197"/>
    <w:rsid w:val="00E231D8"/>
    <w:rsid w:val="00E238FF"/>
    <w:rsid w:val="00E23D5F"/>
    <w:rsid w:val="00E23DE7"/>
    <w:rsid w:val="00E240B1"/>
    <w:rsid w:val="00E24E80"/>
    <w:rsid w:val="00E250E6"/>
    <w:rsid w:val="00E2598B"/>
    <w:rsid w:val="00E25B06"/>
    <w:rsid w:val="00E25BCC"/>
    <w:rsid w:val="00E26A1E"/>
    <w:rsid w:val="00E27B23"/>
    <w:rsid w:val="00E27EC4"/>
    <w:rsid w:val="00E30ED0"/>
    <w:rsid w:val="00E31185"/>
    <w:rsid w:val="00E31432"/>
    <w:rsid w:val="00E316E3"/>
    <w:rsid w:val="00E31A43"/>
    <w:rsid w:val="00E31B9D"/>
    <w:rsid w:val="00E31C13"/>
    <w:rsid w:val="00E31D79"/>
    <w:rsid w:val="00E32263"/>
    <w:rsid w:val="00E3246F"/>
    <w:rsid w:val="00E324B7"/>
    <w:rsid w:val="00E32739"/>
    <w:rsid w:val="00E32AB1"/>
    <w:rsid w:val="00E3386E"/>
    <w:rsid w:val="00E33E2D"/>
    <w:rsid w:val="00E34914"/>
    <w:rsid w:val="00E358AC"/>
    <w:rsid w:val="00E36468"/>
    <w:rsid w:val="00E366DC"/>
    <w:rsid w:val="00E368E4"/>
    <w:rsid w:val="00E3696B"/>
    <w:rsid w:val="00E36B7A"/>
    <w:rsid w:val="00E36F0F"/>
    <w:rsid w:val="00E3793E"/>
    <w:rsid w:val="00E37D04"/>
    <w:rsid w:val="00E409C6"/>
    <w:rsid w:val="00E40B3B"/>
    <w:rsid w:val="00E4149B"/>
    <w:rsid w:val="00E4169F"/>
    <w:rsid w:val="00E41B53"/>
    <w:rsid w:val="00E41BF2"/>
    <w:rsid w:val="00E41E38"/>
    <w:rsid w:val="00E42321"/>
    <w:rsid w:val="00E42A67"/>
    <w:rsid w:val="00E42BFB"/>
    <w:rsid w:val="00E42F02"/>
    <w:rsid w:val="00E438FD"/>
    <w:rsid w:val="00E448AB"/>
    <w:rsid w:val="00E453CF"/>
    <w:rsid w:val="00E4548D"/>
    <w:rsid w:val="00E456D0"/>
    <w:rsid w:val="00E459C3"/>
    <w:rsid w:val="00E45F0E"/>
    <w:rsid w:val="00E4781C"/>
    <w:rsid w:val="00E5032F"/>
    <w:rsid w:val="00E50542"/>
    <w:rsid w:val="00E50716"/>
    <w:rsid w:val="00E50A22"/>
    <w:rsid w:val="00E50A73"/>
    <w:rsid w:val="00E50C4A"/>
    <w:rsid w:val="00E50C57"/>
    <w:rsid w:val="00E50D29"/>
    <w:rsid w:val="00E5132B"/>
    <w:rsid w:val="00E52E2C"/>
    <w:rsid w:val="00E535B2"/>
    <w:rsid w:val="00E537BF"/>
    <w:rsid w:val="00E543DB"/>
    <w:rsid w:val="00E54477"/>
    <w:rsid w:val="00E54895"/>
    <w:rsid w:val="00E54B0C"/>
    <w:rsid w:val="00E54F53"/>
    <w:rsid w:val="00E55323"/>
    <w:rsid w:val="00E5635F"/>
    <w:rsid w:val="00E56382"/>
    <w:rsid w:val="00E5684E"/>
    <w:rsid w:val="00E56BE9"/>
    <w:rsid w:val="00E56C71"/>
    <w:rsid w:val="00E56E7C"/>
    <w:rsid w:val="00E56F79"/>
    <w:rsid w:val="00E570B2"/>
    <w:rsid w:val="00E57558"/>
    <w:rsid w:val="00E57591"/>
    <w:rsid w:val="00E57679"/>
    <w:rsid w:val="00E57BDA"/>
    <w:rsid w:val="00E57CE3"/>
    <w:rsid w:val="00E61D02"/>
    <w:rsid w:val="00E627E5"/>
    <w:rsid w:val="00E628BE"/>
    <w:rsid w:val="00E6297B"/>
    <w:rsid w:val="00E62AB0"/>
    <w:rsid w:val="00E6325B"/>
    <w:rsid w:val="00E6371A"/>
    <w:rsid w:val="00E639E0"/>
    <w:rsid w:val="00E63A13"/>
    <w:rsid w:val="00E63FA5"/>
    <w:rsid w:val="00E63FCC"/>
    <w:rsid w:val="00E64D08"/>
    <w:rsid w:val="00E6530C"/>
    <w:rsid w:val="00E65548"/>
    <w:rsid w:val="00E6588C"/>
    <w:rsid w:val="00E65AEF"/>
    <w:rsid w:val="00E65B0D"/>
    <w:rsid w:val="00E65FA8"/>
    <w:rsid w:val="00E661CC"/>
    <w:rsid w:val="00E664EE"/>
    <w:rsid w:val="00E66613"/>
    <w:rsid w:val="00E6673D"/>
    <w:rsid w:val="00E66CC6"/>
    <w:rsid w:val="00E66D1A"/>
    <w:rsid w:val="00E67C08"/>
    <w:rsid w:val="00E7092B"/>
    <w:rsid w:val="00E709E7"/>
    <w:rsid w:val="00E71D8E"/>
    <w:rsid w:val="00E72A0A"/>
    <w:rsid w:val="00E72B19"/>
    <w:rsid w:val="00E72B61"/>
    <w:rsid w:val="00E73082"/>
    <w:rsid w:val="00E7337B"/>
    <w:rsid w:val="00E733EF"/>
    <w:rsid w:val="00E735BA"/>
    <w:rsid w:val="00E73666"/>
    <w:rsid w:val="00E73DC4"/>
    <w:rsid w:val="00E7460C"/>
    <w:rsid w:val="00E74CB9"/>
    <w:rsid w:val="00E74D66"/>
    <w:rsid w:val="00E751AD"/>
    <w:rsid w:val="00E752D3"/>
    <w:rsid w:val="00E75E61"/>
    <w:rsid w:val="00E76233"/>
    <w:rsid w:val="00E7625D"/>
    <w:rsid w:val="00E77084"/>
    <w:rsid w:val="00E7733A"/>
    <w:rsid w:val="00E7779B"/>
    <w:rsid w:val="00E77A56"/>
    <w:rsid w:val="00E77A69"/>
    <w:rsid w:val="00E77AB2"/>
    <w:rsid w:val="00E77BD8"/>
    <w:rsid w:val="00E77DFF"/>
    <w:rsid w:val="00E80175"/>
    <w:rsid w:val="00E808B0"/>
    <w:rsid w:val="00E80CDB"/>
    <w:rsid w:val="00E8122D"/>
    <w:rsid w:val="00E81398"/>
    <w:rsid w:val="00E82635"/>
    <w:rsid w:val="00E82D1D"/>
    <w:rsid w:val="00E82E0D"/>
    <w:rsid w:val="00E833F2"/>
    <w:rsid w:val="00E83529"/>
    <w:rsid w:val="00E837D6"/>
    <w:rsid w:val="00E84004"/>
    <w:rsid w:val="00E842B9"/>
    <w:rsid w:val="00E84D9F"/>
    <w:rsid w:val="00E852B5"/>
    <w:rsid w:val="00E852F3"/>
    <w:rsid w:val="00E85664"/>
    <w:rsid w:val="00E85DF9"/>
    <w:rsid w:val="00E86B25"/>
    <w:rsid w:val="00E871F4"/>
    <w:rsid w:val="00E872C5"/>
    <w:rsid w:val="00E87FAF"/>
    <w:rsid w:val="00E90135"/>
    <w:rsid w:val="00E90A1E"/>
    <w:rsid w:val="00E91225"/>
    <w:rsid w:val="00E9136E"/>
    <w:rsid w:val="00E9150E"/>
    <w:rsid w:val="00E92A33"/>
    <w:rsid w:val="00E92C99"/>
    <w:rsid w:val="00E92FAD"/>
    <w:rsid w:val="00E93682"/>
    <w:rsid w:val="00E93708"/>
    <w:rsid w:val="00E9381C"/>
    <w:rsid w:val="00E940BA"/>
    <w:rsid w:val="00E942E4"/>
    <w:rsid w:val="00E94534"/>
    <w:rsid w:val="00E946B2"/>
    <w:rsid w:val="00E9490D"/>
    <w:rsid w:val="00E9579A"/>
    <w:rsid w:val="00E95DC6"/>
    <w:rsid w:val="00E95E6D"/>
    <w:rsid w:val="00E9640E"/>
    <w:rsid w:val="00E96D56"/>
    <w:rsid w:val="00E97B6F"/>
    <w:rsid w:val="00EA0B3C"/>
    <w:rsid w:val="00EA0DD1"/>
    <w:rsid w:val="00EA16E1"/>
    <w:rsid w:val="00EA18ED"/>
    <w:rsid w:val="00EA1D6D"/>
    <w:rsid w:val="00EA1DF6"/>
    <w:rsid w:val="00EA22D1"/>
    <w:rsid w:val="00EA2A83"/>
    <w:rsid w:val="00EA2B49"/>
    <w:rsid w:val="00EA2C22"/>
    <w:rsid w:val="00EA33E3"/>
    <w:rsid w:val="00EA353D"/>
    <w:rsid w:val="00EA371F"/>
    <w:rsid w:val="00EA4113"/>
    <w:rsid w:val="00EA58A8"/>
    <w:rsid w:val="00EA5975"/>
    <w:rsid w:val="00EA5F8C"/>
    <w:rsid w:val="00EA7330"/>
    <w:rsid w:val="00EA7E7B"/>
    <w:rsid w:val="00EB08E7"/>
    <w:rsid w:val="00EB0C2C"/>
    <w:rsid w:val="00EB0F35"/>
    <w:rsid w:val="00EB1154"/>
    <w:rsid w:val="00EB120E"/>
    <w:rsid w:val="00EB12D0"/>
    <w:rsid w:val="00EB19A5"/>
    <w:rsid w:val="00EB1B57"/>
    <w:rsid w:val="00EB1D8D"/>
    <w:rsid w:val="00EB1DA6"/>
    <w:rsid w:val="00EB2189"/>
    <w:rsid w:val="00EB2AD5"/>
    <w:rsid w:val="00EB2CCD"/>
    <w:rsid w:val="00EB2D8D"/>
    <w:rsid w:val="00EB377A"/>
    <w:rsid w:val="00EB3D7E"/>
    <w:rsid w:val="00EB4861"/>
    <w:rsid w:val="00EB49B6"/>
    <w:rsid w:val="00EB4F8C"/>
    <w:rsid w:val="00EB512B"/>
    <w:rsid w:val="00EB57DE"/>
    <w:rsid w:val="00EB5A47"/>
    <w:rsid w:val="00EB62AE"/>
    <w:rsid w:val="00EB632E"/>
    <w:rsid w:val="00EB6A39"/>
    <w:rsid w:val="00EB6AEA"/>
    <w:rsid w:val="00EB7473"/>
    <w:rsid w:val="00EC017D"/>
    <w:rsid w:val="00EC0588"/>
    <w:rsid w:val="00EC0B05"/>
    <w:rsid w:val="00EC1113"/>
    <w:rsid w:val="00EC12F4"/>
    <w:rsid w:val="00EC22D9"/>
    <w:rsid w:val="00EC250B"/>
    <w:rsid w:val="00EC2579"/>
    <w:rsid w:val="00EC2CF4"/>
    <w:rsid w:val="00EC2E06"/>
    <w:rsid w:val="00EC4364"/>
    <w:rsid w:val="00EC4372"/>
    <w:rsid w:val="00EC4AB9"/>
    <w:rsid w:val="00EC4CD9"/>
    <w:rsid w:val="00EC5461"/>
    <w:rsid w:val="00EC5551"/>
    <w:rsid w:val="00EC598C"/>
    <w:rsid w:val="00EC5B23"/>
    <w:rsid w:val="00EC620F"/>
    <w:rsid w:val="00EC6570"/>
    <w:rsid w:val="00EC6632"/>
    <w:rsid w:val="00EC732D"/>
    <w:rsid w:val="00EC76E3"/>
    <w:rsid w:val="00ED0958"/>
    <w:rsid w:val="00ED0C08"/>
    <w:rsid w:val="00ED1291"/>
    <w:rsid w:val="00ED1822"/>
    <w:rsid w:val="00ED1847"/>
    <w:rsid w:val="00ED27D8"/>
    <w:rsid w:val="00ED2832"/>
    <w:rsid w:val="00ED291D"/>
    <w:rsid w:val="00ED2CF6"/>
    <w:rsid w:val="00ED2DBD"/>
    <w:rsid w:val="00ED2F94"/>
    <w:rsid w:val="00ED354A"/>
    <w:rsid w:val="00ED3EB2"/>
    <w:rsid w:val="00ED408E"/>
    <w:rsid w:val="00ED4AA7"/>
    <w:rsid w:val="00ED50FC"/>
    <w:rsid w:val="00ED513A"/>
    <w:rsid w:val="00ED51D8"/>
    <w:rsid w:val="00ED54FF"/>
    <w:rsid w:val="00ED5639"/>
    <w:rsid w:val="00ED6431"/>
    <w:rsid w:val="00ED65EC"/>
    <w:rsid w:val="00ED6D7D"/>
    <w:rsid w:val="00ED6E04"/>
    <w:rsid w:val="00EE013D"/>
    <w:rsid w:val="00EE01EF"/>
    <w:rsid w:val="00EE02AA"/>
    <w:rsid w:val="00EE0410"/>
    <w:rsid w:val="00EE0D7A"/>
    <w:rsid w:val="00EE10DC"/>
    <w:rsid w:val="00EE11D9"/>
    <w:rsid w:val="00EE12D7"/>
    <w:rsid w:val="00EE181F"/>
    <w:rsid w:val="00EE1A44"/>
    <w:rsid w:val="00EE1C4D"/>
    <w:rsid w:val="00EE1D3E"/>
    <w:rsid w:val="00EE25F8"/>
    <w:rsid w:val="00EE2823"/>
    <w:rsid w:val="00EE30B5"/>
    <w:rsid w:val="00EE318F"/>
    <w:rsid w:val="00EE32CD"/>
    <w:rsid w:val="00EE34F4"/>
    <w:rsid w:val="00EE4082"/>
    <w:rsid w:val="00EE432C"/>
    <w:rsid w:val="00EE44DE"/>
    <w:rsid w:val="00EE4A16"/>
    <w:rsid w:val="00EE4B79"/>
    <w:rsid w:val="00EE4B93"/>
    <w:rsid w:val="00EE4F53"/>
    <w:rsid w:val="00EE50C9"/>
    <w:rsid w:val="00EE6046"/>
    <w:rsid w:val="00EE619D"/>
    <w:rsid w:val="00EE623B"/>
    <w:rsid w:val="00EE6A66"/>
    <w:rsid w:val="00EE7BDE"/>
    <w:rsid w:val="00EE7FE1"/>
    <w:rsid w:val="00EF0094"/>
    <w:rsid w:val="00EF03C9"/>
    <w:rsid w:val="00EF0691"/>
    <w:rsid w:val="00EF0A74"/>
    <w:rsid w:val="00EF0FD9"/>
    <w:rsid w:val="00EF1027"/>
    <w:rsid w:val="00EF140C"/>
    <w:rsid w:val="00EF1826"/>
    <w:rsid w:val="00EF1AD5"/>
    <w:rsid w:val="00EF1F49"/>
    <w:rsid w:val="00EF2295"/>
    <w:rsid w:val="00EF23D1"/>
    <w:rsid w:val="00EF258D"/>
    <w:rsid w:val="00EF3DA0"/>
    <w:rsid w:val="00EF41AA"/>
    <w:rsid w:val="00EF45DB"/>
    <w:rsid w:val="00EF4A37"/>
    <w:rsid w:val="00EF4C0C"/>
    <w:rsid w:val="00EF540C"/>
    <w:rsid w:val="00EF580E"/>
    <w:rsid w:val="00EF610B"/>
    <w:rsid w:val="00EF65B6"/>
    <w:rsid w:val="00EF674F"/>
    <w:rsid w:val="00EF6D32"/>
    <w:rsid w:val="00EF6DE1"/>
    <w:rsid w:val="00EF7398"/>
    <w:rsid w:val="00EF75AE"/>
    <w:rsid w:val="00EF787B"/>
    <w:rsid w:val="00EF78E6"/>
    <w:rsid w:val="00EF7B92"/>
    <w:rsid w:val="00F00DFA"/>
    <w:rsid w:val="00F010BF"/>
    <w:rsid w:val="00F0268D"/>
    <w:rsid w:val="00F0270A"/>
    <w:rsid w:val="00F02C0B"/>
    <w:rsid w:val="00F0369B"/>
    <w:rsid w:val="00F036CD"/>
    <w:rsid w:val="00F03800"/>
    <w:rsid w:val="00F03901"/>
    <w:rsid w:val="00F03A8B"/>
    <w:rsid w:val="00F03E58"/>
    <w:rsid w:val="00F04230"/>
    <w:rsid w:val="00F04903"/>
    <w:rsid w:val="00F04C82"/>
    <w:rsid w:val="00F05377"/>
    <w:rsid w:val="00F0574C"/>
    <w:rsid w:val="00F05F2D"/>
    <w:rsid w:val="00F06895"/>
    <w:rsid w:val="00F073F9"/>
    <w:rsid w:val="00F07C32"/>
    <w:rsid w:val="00F07D2B"/>
    <w:rsid w:val="00F10131"/>
    <w:rsid w:val="00F10149"/>
    <w:rsid w:val="00F10558"/>
    <w:rsid w:val="00F10871"/>
    <w:rsid w:val="00F10A10"/>
    <w:rsid w:val="00F10CF6"/>
    <w:rsid w:val="00F11163"/>
    <w:rsid w:val="00F11ADF"/>
    <w:rsid w:val="00F12328"/>
    <w:rsid w:val="00F123A6"/>
    <w:rsid w:val="00F12A0D"/>
    <w:rsid w:val="00F132A1"/>
    <w:rsid w:val="00F133AF"/>
    <w:rsid w:val="00F1377A"/>
    <w:rsid w:val="00F138FC"/>
    <w:rsid w:val="00F148DA"/>
    <w:rsid w:val="00F14A0D"/>
    <w:rsid w:val="00F1541C"/>
    <w:rsid w:val="00F15582"/>
    <w:rsid w:val="00F15A01"/>
    <w:rsid w:val="00F15D8B"/>
    <w:rsid w:val="00F15FCA"/>
    <w:rsid w:val="00F16097"/>
    <w:rsid w:val="00F17434"/>
    <w:rsid w:val="00F20043"/>
    <w:rsid w:val="00F20176"/>
    <w:rsid w:val="00F20356"/>
    <w:rsid w:val="00F20B8F"/>
    <w:rsid w:val="00F22328"/>
    <w:rsid w:val="00F22353"/>
    <w:rsid w:val="00F224E3"/>
    <w:rsid w:val="00F22957"/>
    <w:rsid w:val="00F231B5"/>
    <w:rsid w:val="00F232A9"/>
    <w:rsid w:val="00F23664"/>
    <w:rsid w:val="00F23C05"/>
    <w:rsid w:val="00F23EA2"/>
    <w:rsid w:val="00F240EA"/>
    <w:rsid w:val="00F242CA"/>
    <w:rsid w:val="00F246F3"/>
    <w:rsid w:val="00F24B9D"/>
    <w:rsid w:val="00F24E48"/>
    <w:rsid w:val="00F251DD"/>
    <w:rsid w:val="00F25446"/>
    <w:rsid w:val="00F262B0"/>
    <w:rsid w:val="00F26464"/>
    <w:rsid w:val="00F264D3"/>
    <w:rsid w:val="00F267C9"/>
    <w:rsid w:val="00F26F62"/>
    <w:rsid w:val="00F27F7F"/>
    <w:rsid w:val="00F30B4A"/>
    <w:rsid w:val="00F3136B"/>
    <w:rsid w:val="00F3172D"/>
    <w:rsid w:val="00F31736"/>
    <w:rsid w:val="00F31BF5"/>
    <w:rsid w:val="00F31CBA"/>
    <w:rsid w:val="00F31FE4"/>
    <w:rsid w:val="00F32099"/>
    <w:rsid w:val="00F324E6"/>
    <w:rsid w:val="00F32C58"/>
    <w:rsid w:val="00F331FF"/>
    <w:rsid w:val="00F33774"/>
    <w:rsid w:val="00F3397F"/>
    <w:rsid w:val="00F339E3"/>
    <w:rsid w:val="00F33A25"/>
    <w:rsid w:val="00F33CC7"/>
    <w:rsid w:val="00F33F79"/>
    <w:rsid w:val="00F34EF7"/>
    <w:rsid w:val="00F35A90"/>
    <w:rsid w:val="00F35B71"/>
    <w:rsid w:val="00F36298"/>
    <w:rsid w:val="00F3643A"/>
    <w:rsid w:val="00F36572"/>
    <w:rsid w:val="00F367B2"/>
    <w:rsid w:val="00F36A0D"/>
    <w:rsid w:val="00F36B43"/>
    <w:rsid w:val="00F37074"/>
    <w:rsid w:val="00F3748B"/>
    <w:rsid w:val="00F3794B"/>
    <w:rsid w:val="00F37B10"/>
    <w:rsid w:val="00F4014A"/>
    <w:rsid w:val="00F406A8"/>
    <w:rsid w:val="00F408A9"/>
    <w:rsid w:val="00F40C7E"/>
    <w:rsid w:val="00F4250A"/>
    <w:rsid w:val="00F4254B"/>
    <w:rsid w:val="00F42572"/>
    <w:rsid w:val="00F42765"/>
    <w:rsid w:val="00F42BD7"/>
    <w:rsid w:val="00F434D7"/>
    <w:rsid w:val="00F4392F"/>
    <w:rsid w:val="00F43A4A"/>
    <w:rsid w:val="00F43B6F"/>
    <w:rsid w:val="00F43E65"/>
    <w:rsid w:val="00F43ECE"/>
    <w:rsid w:val="00F44441"/>
    <w:rsid w:val="00F44A1B"/>
    <w:rsid w:val="00F4533C"/>
    <w:rsid w:val="00F45378"/>
    <w:rsid w:val="00F4556B"/>
    <w:rsid w:val="00F45B95"/>
    <w:rsid w:val="00F45C5F"/>
    <w:rsid w:val="00F464F5"/>
    <w:rsid w:val="00F4690C"/>
    <w:rsid w:val="00F46DAB"/>
    <w:rsid w:val="00F47613"/>
    <w:rsid w:val="00F47A2A"/>
    <w:rsid w:val="00F47B95"/>
    <w:rsid w:val="00F47FE6"/>
    <w:rsid w:val="00F504D5"/>
    <w:rsid w:val="00F50652"/>
    <w:rsid w:val="00F507B0"/>
    <w:rsid w:val="00F51630"/>
    <w:rsid w:val="00F51ADA"/>
    <w:rsid w:val="00F51DB0"/>
    <w:rsid w:val="00F51E47"/>
    <w:rsid w:val="00F51FB5"/>
    <w:rsid w:val="00F5254F"/>
    <w:rsid w:val="00F52834"/>
    <w:rsid w:val="00F52CE6"/>
    <w:rsid w:val="00F531A4"/>
    <w:rsid w:val="00F53E40"/>
    <w:rsid w:val="00F53F14"/>
    <w:rsid w:val="00F54168"/>
    <w:rsid w:val="00F546BD"/>
    <w:rsid w:val="00F54838"/>
    <w:rsid w:val="00F54A02"/>
    <w:rsid w:val="00F554E6"/>
    <w:rsid w:val="00F56786"/>
    <w:rsid w:val="00F5682B"/>
    <w:rsid w:val="00F56934"/>
    <w:rsid w:val="00F56C1C"/>
    <w:rsid w:val="00F5774D"/>
    <w:rsid w:val="00F61A7E"/>
    <w:rsid w:val="00F61E6C"/>
    <w:rsid w:val="00F621A4"/>
    <w:rsid w:val="00F626CE"/>
    <w:rsid w:val="00F62BF3"/>
    <w:rsid w:val="00F62FB7"/>
    <w:rsid w:val="00F634B2"/>
    <w:rsid w:val="00F63A64"/>
    <w:rsid w:val="00F6425C"/>
    <w:rsid w:val="00F64812"/>
    <w:rsid w:val="00F64BF3"/>
    <w:rsid w:val="00F64F81"/>
    <w:rsid w:val="00F659DB"/>
    <w:rsid w:val="00F67122"/>
    <w:rsid w:val="00F673A0"/>
    <w:rsid w:val="00F67530"/>
    <w:rsid w:val="00F67FFE"/>
    <w:rsid w:val="00F703AA"/>
    <w:rsid w:val="00F70F1F"/>
    <w:rsid w:val="00F7154D"/>
    <w:rsid w:val="00F72721"/>
    <w:rsid w:val="00F72BCE"/>
    <w:rsid w:val="00F72CAD"/>
    <w:rsid w:val="00F73294"/>
    <w:rsid w:val="00F73314"/>
    <w:rsid w:val="00F73DD4"/>
    <w:rsid w:val="00F73F1C"/>
    <w:rsid w:val="00F74939"/>
    <w:rsid w:val="00F74B3E"/>
    <w:rsid w:val="00F74F17"/>
    <w:rsid w:val="00F7592C"/>
    <w:rsid w:val="00F759EF"/>
    <w:rsid w:val="00F7672F"/>
    <w:rsid w:val="00F76916"/>
    <w:rsid w:val="00F77268"/>
    <w:rsid w:val="00F77426"/>
    <w:rsid w:val="00F8003D"/>
    <w:rsid w:val="00F8038A"/>
    <w:rsid w:val="00F80850"/>
    <w:rsid w:val="00F82506"/>
    <w:rsid w:val="00F82587"/>
    <w:rsid w:val="00F82B4B"/>
    <w:rsid w:val="00F8300F"/>
    <w:rsid w:val="00F838CC"/>
    <w:rsid w:val="00F83B08"/>
    <w:rsid w:val="00F83C96"/>
    <w:rsid w:val="00F83DC2"/>
    <w:rsid w:val="00F84D49"/>
    <w:rsid w:val="00F8503D"/>
    <w:rsid w:val="00F851B5"/>
    <w:rsid w:val="00F8574E"/>
    <w:rsid w:val="00F85BAE"/>
    <w:rsid w:val="00F85BAF"/>
    <w:rsid w:val="00F85FF9"/>
    <w:rsid w:val="00F869BF"/>
    <w:rsid w:val="00F87010"/>
    <w:rsid w:val="00F87511"/>
    <w:rsid w:val="00F87558"/>
    <w:rsid w:val="00F87D3B"/>
    <w:rsid w:val="00F90138"/>
    <w:rsid w:val="00F903EE"/>
    <w:rsid w:val="00F92172"/>
    <w:rsid w:val="00F924A1"/>
    <w:rsid w:val="00F92785"/>
    <w:rsid w:val="00F92810"/>
    <w:rsid w:val="00F92D9D"/>
    <w:rsid w:val="00F9311B"/>
    <w:rsid w:val="00F94400"/>
    <w:rsid w:val="00F94ACD"/>
    <w:rsid w:val="00F94C27"/>
    <w:rsid w:val="00F953CE"/>
    <w:rsid w:val="00F9570A"/>
    <w:rsid w:val="00F95FCE"/>
    <w:rsid w:val="00F963E1"/>
    <w:rsid w:val="00F9644C"/>
    <w:rsid w:val="00F964BD"/>
    <w:rsid w:val="00F9708B"/>
    <w:rsid w:val="00F971C8"/>
    <w:rsid w:val="00F975E7"/>
    <w:rsid w:val="00F9784C"/>
    <w:rsid w:val="00F97EF0"/>
    <w:rsid w:val="00FA193E"/>
    <w:rsid w:val="00FA1A9F"/>
    <w:rsid w:val="00FA1EC7"/>
    <w:rsid w:val="00FA27C3"/>
    <w:rsid w:val="00FA37C7"/>
    <w:rsid w:val="00FA3A03"/>
    <w:rsid w:val="00FA3A89"/>
    <w:rsid w:val="00FA3BD6"/>
    <w:rsid w:val="00FA47E1"/>
    <w:rsid w:val="00FA505B"/>
    <w:rsid w:val="00FA59CD"/>
    <w:rsid w:val="00FA5A82"/>
    <w:rsid w:val="00FA60C2"/>
    <w:rsid w:val="00FA619E"/>
    <w:rsid w:val="00FA66DC"/>
    <w:rsid w:val="00FA67FA"/>
    <w:rsid w:val="00FA7252"/>
    <w:rsid w:val="00FA79C4"/>
    <w:rsid w:val="00FB0860"/>
    <w:rsid w:val="00FB0964"/>
    <w:rsid w:val="00FB13DC"/>
    <w:rsid w:val="00FB154B"/>
    <w:rsid w:val="00FB17D7"/>
    <w:rsid w:val="00FB1F32"/>
    <w:rsid w:val="00FB2883"/>
    <w:rsid w:val="00FB2891"/>
    <w:rsid w:val="00FB37A6"/>
    <w:rsid w:val="00FB38D5"/>
    <w:rsid w:val="00FB3F27"/>
    <w:rsid w:val="00FB40CA"/>
    <w:rsid w:val="00FB4694"/>
    <w:rsid w:val="00FB4CA4"/>
    <w:rsid w:val="00FB4E5C"/>
    <w:rsid w:val="00FB55B3"/>
    <w:rsid w:val="00FB55E2"/>
    <w:rsid w:val="00FB5757"/>
    <w:rsid w:val="00FB5788"/>
    <w:rsid w:val="00FB5B75"/>
    <w:rsid w:val="00FB6791"/>
    <w:rsid w:val="00FB69DF"/>
    <w:rsid w:val="00FB6CA0"/>
    <w:rsid w:val="00FB7E91"/>
    <w:rsid w:val="00FB7FF9"/>
    <w:rsid w:val="00FC0751"/>
    <w:rsid w:val="00FC096B"/>
    <w:rsid w:val="00FC0B3D"/>
    <w:rsid w:val="00FC0E72"/>
    <w:rsid w:val="00FC1A51"/>
    <w:rsid w:val="00FC2444"/>
    <w:rsid w:val="00FC26E3"/>
    <w:rsid w:val="00FC3030"/>
    <w:rsid w:val="00FC3393"/>
    <w:rsid w:val="00FC430A"/>
    <w:rsid w:val="00FC4736"/>
    <w:rsid w:val="00FC4D06"/>
    <w:rsid w:val="00FC510B"/>
    <w:rsid w:val="00FC547D"/>
    <w:rsid w:val="00FC5A0C"/>
    <w:rsid w:val="00FC5F04"/>
    <w:rsid w:val="00FC67BF"/>
    <w:rsid w:val="00FC76B2"/>
    <w:rsid w:val="00FD01C0"/>
    <w:rsid w:val="00FD0E55"/>
    <w:rsid w:val="00FD12E9"/>
    <w:rsid w:val="00FD1B5C"/>
    <w:rsid w:val="00FD1D12"/>
    <w:rsid w:val="00FD1D82"/>
    <w:rsid w:val="00FD1E7D"/>
    <w:rsid w:val="00FD22CD"/>
    <w:rsid w:val="00FD25E5"/>
    <w:rsid w:val="00FD32C7"/>
    <w:rsid w:val="00FD32FB"/>
    <w:rsid w:val="00FD39F5"/>
    <w:rsid w:val="00FD3E72"/>
    <w:rsid w:val="00FD41B8"/>
    <w:rsid w:val="00FD41B9"/>
    <w:rsid w:val="00FD48F0"/>
    <w:rsid w:val="00FD49AF"/>
    <w:rsid w:val="00FD4ED4"/>
    <w:rsid w:val="00FD5128"/>
    <w:rsid w:val="00FD5893"/>
    <w:rsid w:val="00FD59C4"/>
    <w:rsid w:val="00FD6253"/>
    <w:rsid w:val="00FD6B55"/>
    <w:rsid w:val="00FD7078"/>
    <w:rsid w:val="00FD7380"/>
    <w:rsid w:val="00FD7CFC"/>
    <w:rsid w:val="00FE0053"/>
    <w:rsid w:val="00FE0183"/>
    <w:rsid w:val="00FE03B2"/>
    <w:rsid w:val="00FE0950"/>
    <w:rsid w:val="00FE0F2B"/>
    <w:rsid w:val="00FE106B"/>
    <w:rsid w:val="00FE1906"/>
    <w:rsid w:val="00FE1A4E"/>
    <w:rsid w:val="00FE224F"/>
    <w:rsid w:val="00FE3972"/>
    <w:rsid w:val="00FE3A23"/>
    <w:rsid w:val="00FE4B78"/>
    <w:rsid w:val="00FE4E18"/>
    <w:rsid w:val="00FE4E61"/>
    <w:rsid w:val="00FE4ECA"/>
    <w:rsid w:val="00FE4FB5"/>
    <w:rsid w:val="00FE53AD"/>
    <w:rsid w:val="00FE5410"/>
    <w:rsid w:val="00FE5412"/>
    <w:rsid w:val="00FE55C8"/>
    <w:rsid w:val="00FE5641"/>
    <w:rsid w:val="00FE6042"/>
    <w:rsid w:val="00FE6250"/>
    <w:rsid w:val="00FE7859"/>
    <w:rsid w:val="00FF0683"/>
    <w:rsid w:val="00FF0758"/>
    <w:rsid w:val="00FF17D5"/>
    <w:rsid w:val="00FF2BA2"/>
    <w:rsid w:val="00FF2F66"/>
    <w:rsid w:val="00FF3DA9"/>
    <w:rsid w:val="00FF3E5B"/>
    <w:rsid w:val="00FF420E"/>
    <w:rsid w:val="00FF487F"/>
    <w:rsid w:val="00FF4BB4"/>
    <w:rsid w:val="00FF4DA8"/>
    <w:rsid w:val="00FF4E9E"/>
    <w:rsid w:val="00FF4FA6"/>
    <w:rsid w:val="00FF5771"/>
    <w:rsid w:val="00FF59BE"/>
    <w:rsid w:val="00FF5D0E"/>
    <w:rsid w:val="00FF674C"/>
    <w:rsid w:val="00FF6FBF"/>
    <w:rsid w:val="00FF7755"/>
    <w:rsid w:val="00FF7856"/>
    <w:rsid w:val="00FF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20CC5"/>
  <w15:docId w15:val="{28700105-D97C-4F48-BB15-EB8BF52F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826"/>
    <w:rPr>
      <w:lang w:val="es-EC"/>
    </w:rPr>
  </w:style>
  <w:style w:type="paragraph" w:styleId="Heading1">
    <w:name w:val="heading 1"/>
    <w:basedOn w:val="Normal"/>
    <w:next w:val="Normal"/>
    <w:link w:val="Heading1Char"/>
    <w:qFormat/>
    <w:rsid w:val="005A5DA3"/>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paragraph" w:styleId="Heading2">
    <w:name w:val="heading 2"/>
    <w:basedOn w:val="Normal"/>
    <w:next w:val="Normal"/>
    <w:link w:val="Heading2Char"/>
    <w:qFormat/>
    <w:rsid w:val="005A5DA3"/>
    <w:pPr>
      <w:keepNext/>
      <w:pBdr>
        <w:bottom w:val="single" w:sz="6" w:space="1" w:color="auto"/>
      </w:pBdr>
      <w:tabs>
        <w:tab w:val="left" w:pos="7080"/>
        <w:tab w:val="left" w:pos="8280"/>
      </w:tabs>
      <w:spacing w:after="0" w:line="240" w:lineRule="auto"/>
      <w:outlineLvl w:val="1"/>
    </w:pPr>
    <w:rPr>
      <w:rFonts w:ascii="Univers (W1)" w:eastAsia="Times New Roman" w:hAnsi="Univers (W1)" w:cs="Times New Roman"/>
      <w:b/>
      <w:szCs w:val="20"/>
      <w:lang w:val="es-ES_tradnl"/>
    </w:rPr>
  </w:style>
  <w:style w:type="paragraph" w:styleId="Heading3">
    <w:name w:val="heading 3"/>
    <w:basedOn w:val="Normal"/>
    <w:next w:val="Normal"/>
    <w:link w:val="Heading3Char"/>
    <w:qFormat/>
    <w:rsid w:val="005A5DA3"/>
    <w:pPr>
      <w:keepNext/>
      <w:tabs>
        <w:tab w:val="left" w:pos="480"/>
        <w:tab w:val="left" w:pos="6960"/>
        <w:tab w:val="left" w:pos="8280"/>
      </w:tabs>
      <w:spacing w:after="0" w:line="240" w:lineRule="auto"/>
      <w:ind w:left="480" w:hanging="480"/>
      <w:jc w:val="center"/>
      <w:outlineLvl w:val="2"/>
    </w:pPr>
    <w:rPr>
      <w:rFonts w:ascii="Times New Roman" w:eastAsia="Times New Roman" w:hAnsi="Times New Roman" w:cs="Times New Roman"/>
      <w:b/>
      <w:i/>
      <w:szCs w:val="20"/>
      <w:u w:val="single"/>
      <w:lang w:val="es-ES_tradnl"/>
    </w:rPr>
  </w:style>
  <w:style w:type="paragraph" w:styleId="Heading4">
    <w:name w:val="heading 4"/>
    <w:basedOn w:val="Normal"/>
    <w:next w:val="Normal"/>
    <w:link w:val="Heading4Char"/>
    <w:qFormat/>
    <w:rsid w:val="005A5DA3"/>
    <w:pPr>
      <w:keepNext/>
      <w:tabs>
        <w:tab w:val="left" w:pos="6802"/>
        <w:tab w:val="left" w:pos="7666"/>
        <w:tab w:val="left" w:pos="8530"/>
      </w:tabs>
      <w:spacing w:after="0" w:line="240" w:lineRule="auto"/>
      <w:outlineLvl w:val="3"/>
    </w:pPr>
    <w:rPr>
      <w:rFonts w:ascii="Times New Roman" w:eastAsia="Times New Roman" w:hAnsi="Times New Roman" w:cs="Times New Roman"/>
      <w:b/>
      <w:sz w:val="24"/>
      <w:szCs w:val="20"/>
      <w:lang w:eastAsia="x-none"/>
    </w:rPr>
  </w:style>
  <w:style w:type="paragraph" w:styleId="Heading5">
    <w:name w:val="heading 5"/>
    <w:basedOn w:val="Normal"/>
    <w:next w:val="Normal"/>
    <w:link w:val="Heading5Char"/>
    <w:qFormat/>
    <w:rsid w:val="005A5DA3"/>
    <w:pPr>
      <w:keepNext/>
      <w:tabs>
        <w:tab w:val="right" w:pos="8640"/>
      </w:tabs>
      <w:suppressAutoHyphens/>
      <w:spacing w:after="0" w:line="264" w:lineRule="auto"/>
      <w:outlineLvl w:val="4"/>
    </w:pPr>
    <w:rPr>
      <w:rFonts w:ascii="Univers (W1)" w:eastAsia="Times New Roman" w:hAnsi="Univers (W1)" w:cs="Times New Roman"/>
      <w:b/>
      <w:sz w:val="16"/>
      <w:szCs w:val="20"/>
      <w:lang w:eastAsia="x-none"/>
    </w:rPr>
  </w:style>
  <w:style w:type="paragraph" w:styleId="Heading6">
    <w:name w:val="heading 6"/>
    <w:basedOn w:val="Normal"/>
    <w:next w:val="Normal"/>
    <w:link w:val="Heading6Char"/>
    <w:qFormat/>
    <w:rsid w:val="005A5DA3"/>
    <w:pPr>
      <w:keepNext/>
      <w:tabs>
        <w:tab w:val="left" w:pos="2268"/>
        <w:tab w:val="left" w:pos="3261"/>
        <w:tab w:val="right" w:pos="3828"/>
        <w:tab w:val="left" w:pos="4536"/>
        <w:tab w:val="left" w:pos="5670"/>
        <w:tab w:val="left" w:pos="6237"/>
        <w:tab w:val="left" w:pos="6379"/>
        <w:tab w:val="left" w:pos="7230"/>
        <w:tab w:val="left" w:pos="8647"/>
      </w:tabs>
      <w:spacing w:after="0" w:line="240" w:lineRule="auto"/>
      <w:ind w:right="-216"/>
      <w:outlineLvl w:val="5"/>
    </w:pPr>
    <w:rPr>
      <w:rFonts w:ascii="Times New Roman" w:eastAsia="Times New Roman" w:hAnsi="Times New Roman" w:cs="Times New Roman"/>
      <w:b/>
      <w:spacing w:val="-2"/>
      <w:szCs w:val="20"/>
    </w:rPr>
  </w:style>
  <w:style w:type="paragraph" w:styleId="Heading7">
    <w:name w:val="heading 7"/>
    <w:basedOn w:val="Normal"/>
    <w:next w:val="Normal"/>
    <w:link w:val="Heading7Char"/>
    <w:qFormat/>
    <w:rsid w:val="005A5DA3"/>
    <w:pPr>
      <w:keepNext/>
      <w:spacing w:after="0" w:line="240" w:lineRule="auto"/>
      <w:jc w:val="cente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5A5DA3"/>
    <w:pPr>
      <w:keepNext/>
      <w:spacing w:after="0" w:line="240" w:lineRule="auto"/>
      <w:jc w:val="center"/>
      <w:outlineLvl w:val="7"/>
    </w:pPr>
    <w:rPr>
      <w:rFonts w:ascii="Times New Roman" w:eastAsia="Times New Roman" w:hAnsi="Times New Roman" w:cs="Times New Roman"/>
      <w:sz w:val="20"/>
      <w:szCs w:val="20"/>
      <w:u w:val="single"/>
    </w:rPr>
  </w:style>
  <w:style w:type="paragraph" w:styleId="Heading9">
    <w:name w:val="heading 9"/>
    <w:basedOn w:val="Normal"/>
    <w:next w:val="Normal"/>
    <w:link w:val="Heading9Char"/>
    <w:qFormat/>
    <w:rsid w:val="005A5DA3"/>
    <w:pPr>
      <w:keepNext/>
      <w:numPr>
        <w:ilvl w:val="12"/>
      </w:numPr>
      <w:tabs>
        <w:tab w:val="left" w:pos="480"/>
        <w:tab w:val="left" w:pos="7938"/>
      </w:tabs>
      <w:spacing w:after="0" w:line="240" w:lineRule="auto"/>
      <w:ind w:left="480" w:right="-136" w:hanging="600"/>
      <w:outlineLvl w:val="8"/>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5DA3"/>
    <w:rPr>
      <w:rFonts w:ascii="Times New Roman" w:eastAsia="Times New Roman" w:hAnsi="Times New Roman" w:cs="Times New Roman"/>
      <w:b/>
      <w:szCs w:val="20"/>
      <w:lang w:val="es-ES_tradnl"/>
    </w:rPr>
  </w:style>
  <w:style w:type="character" w:customStyle="1" w:styleId="Heading2Char">
    <w:name w:val="Heading 2 Char"/>
    <w:basedOn w:val="DefaultParagraphFont"/>
    <w:link w:val="Heading2"/>
    <w:rsid w:val="005A5DA3"/>
    <w:rPr>
      <w:rFonts w:ascii="Univers (W1)" w:eastAsia="Times New Roman" w:hAnsi="Univers (W1)" w:cs="Times New Roman"/>
      <w:b/>
      <w:szCs w:val="20"/>
      <w:lang w:val="es-ES_tradnl"/>
    </w:rPr>
  </w:style>
  <w:style w:type="character" w:customStyle="1" w:styleId="Heading3Char">
    <w:name w:val="Heading 3 Char"/>
    <w:basedOn w:val="DefaultParagraphFont"/>
    <w:link w:val="Heading3"/>
    <w:rsid w:val="005A5DA3"/>
    <w:rPr>
      <w:rFonts w:ascii="Times New Roman" w:eastAsia="Times New Roman" w:hAnsi="Times New Roman" w:cs="Times New Roman"/>
      <w:b/>
      <w:i/>
      <w:szCs w:val="20"/>
      <w:u w:val="single"/>
      <w:lang w:val="es-ES_tradnl"/>
    </w:rPr>
  </w:style>
  <w:style w:type="character" w:customStyle="1" w:styleId="Heading4Char">
    <w:name w:val="Heading 4 Char"/>
    <w:basedOn w:val="DefaultParagraphFont"/>
    <w:link w:val="Heading4"/>
    <w:rsid w:val="005A5DA3"/>
    <w:rPr>
      <w:rFonts w:ascii="Times New Roman" w:eastAsia="Times New Roman" w:hAnsi="Times New Roman" w:cs="Times New Roman"/>
      <w:b/>
      <w:sz w:val="24"/>
      <w:szCs w:val="20"/>
      <w:lang w:val="es-EC" w:eastAsia="x-none"/>
    </w:rPr>
  </w:style>
  <w:style w:type="character" w:customStyle="1" w:styleId="Heading5Char">
    <w:name w:val="Heading 5 Char"/>
    <w:basedOn w:val="DefaultParagraphFont"/>
    <w:link w:val="Heading5"/>
    <w:rsid w:val="005A5DA3"/>
    <w:rPr>
      <w:rFonts w:ascii="Univers (W1)" w:eastAsia="Times New Roman" w:hAnsi="Univers (W1)" w:cs="Times New Roman"/>
      <w:b/>
      <w:sz w:val="16"/>
      <w:szCs w:val="20"/>
      <w:lang w:val="es-EC" w:eastAsia="x-none"/>
    </w:rPr>
  </w:style>
  <w:style w:type="character" w:customStyle="1" w:styleId="Heading6Char">
    <w:name w:val="Heading 6 Char"/>
    <w:basedOn w:val="DefaultParagraphFont"/>
    <w:link w:val="Heading6"/>
    <w:rsid w:val="005A5DA3"/>
    <w:rPr>
      <w:rFonts w:ascii="Times New Roman" w:eastAsia="Times New Roman" w:hAnsi="Times New Roman" w:cs="Times New Roman"/>
      <w:b/>
      <w:spacing w:val="-2"/>
      <w:szCs w:val="20"/>
      <w:lang w:val="es-EC"/>
    </w:rPr>
  </w:style>
  <w:style w:type="character" w:customStyle="1" w:styleId="Heading7Char">
    <w:name w:val="Heading 7 Char"/>
    <w:basedOn w:val="DefaultParagraphFont"/>
    <w:link w:val="Heading7"/>
    <w:rsid w:val="005A5DA3"/>
    <w:rPr>
      <w:rFonts w:ascii="Times New Roman" w:eastAsia="Times New Roman" w:hAnsi="Times New Roman" w:cs="Times New Roman"/>
      <w:b/>
      <w:szCs w:val="20"/>
      <w:lang w:val="es-EC"/>
    </w:rPr>
  </w:style>
  <w:style w:type="character" w:customStyle="1" w:styleId="Heading8Char">
    <w:name w:val="Heading 8 Char"/>
    <w:basedOn w:val="DefaultParagraphFont"/>
    <w:link w:val="Heading8"/>
    <w:rsid w:val="005A5DA3"/>
    <w:rPr>
      <w:rFonts w:ascii="Times New Roman" w:eastAsia="Times New Roman" w:hAnsi="Times New Roman" w:cs="Times New Roman"/>
      <w:sz w:val="20"/>
      <w:szCs w:val="20"/>
      <w:u w:val="single"/>
      <w:lang w:val="es-EC"/>
    </w:rPr>
  </w:style>
  <w:style w:type="character" w:customStyle="1" w:styleId="Heading9Char">
    <w:name w:val="Heading 9 Char"/>
    <w:basedOn w:val="DefaultParagraphFont"/>
    <w:link w:val="Heading9"/>
    <w:rsid w:val="005A5DA3"/>
    <w:rPr>
      <w:rFonts w:ascii="Times New Roman" w:eastAsia="Times New Roman" w:hAnsi="Times New Roman" w:cs="Times New Roman"/>
      <w:b/>
      <w:szCs w:val="20"/>
      <w:lang w:val="es-EC"/>
    </w:rPr>
  </w:style>
  <w:style w:type="paragraph" w:styleId="Header">
    <w:name w:val="header"/>
    <w:basedOn w:val="Normal"/>
    <w:link w:val="HeaderChar"/>
    <w:uiPriority w:val="99"/>
    <w:unhideWhenUsed/>
    <w:rsid w:val="005A5D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5DA3"/>
    <w:rPr>
      <w:lang w:val="es-EC"/>
    </w:rPr>
  </w:style>
  <w:style w:type="paragraph" w:styleId="Footer">
    <w:name w:val="footer"/>
    <w:basedOn w:val="Normal"/>
    <w:link w:val="FooterChar"/>
    <w:uiPriority w:val="99"/>
    <w:unhideWhenUsed/>
    <w:rsid w:val="005A5D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5DA3"/>
    <w:rPr>
      <w:lang w:val="es-EC"/>
    </w:rPr>
  </w:style>
  <w:style w:type="paragraph" w:styleId="NoSpacing">
    <w:name w:val="No Spacing"/>
    <w:uiPriority w:val="1"/>
    <w:qFormat/>
    <w:rsid w:val="005A5DA3"/>
    <w:pPr>
      <w:spacing w:after="0" w:line="240" w:lineRule="auto"/>
    </w:pPr>
    <w:rPr>
      <w:lang w:val="es-EC"/>
    </w:rPr>
  </w:style>
  <w:style w:type="paragraph" w:styleId="FootnoteText">
    <w:name w:val="footnote text"/>
    <w:basedOn w:val="Normal"/>
    <w:link w:val="FootnoteTextChar"/>
    <w:semiHidden/>
    <w:unhideWhenUsed/>
    <w:rsid w:val="005A5DA3"/>
    <w:pPr>
      <w:spacing w:after="0" w:line="240" w:lineRule="auto"/>
    </w:pPr>
    <w:rPr>
      <w:sz w:val="20"/>
      <w:szCs w:val="20"/>
    </w:rPr>
  </w:style>
  <w:style w:type="character" w:customStyle="1" w:styleId="FootnoteTextChar">
    <w:name w:val="Footnote Text Char"/>
    <w:basedOn w:val="DefaultParagraphFont"/>
    <w:link w:val="FootnoteText"/>
    <w:semiHidden/>
    <w:rsid w:val="005A5DA3"/>
    <w:rPr>
      <w:sz w:val="20"/>
      <w:szCs w:val="20"/>
      <w:lang w:val="es-EC"/>
    </w:rPr>
  </w:style>
  <w:style w:type="paragraph" w:customStyle="1" w:styleId="Bodycopy">
    <w:name w:val="Body copy"/>
    <w:link w:val="BodycopyChar"/>
    <w:qFormat/>
    <w:rsid w:val="005A5DA3"/>
    <w:pPr>
      <w:spacing w:before="20" w:after="0" w:line="210" w:lineRule="exact"/>
    </w:pPr>
    <w:rPr>
      <w:rFonts w:ascii="Arial" w:eastAsia="PMingLiU" w:hAnsi="Arial" w:cs="Arial"/>
      <w:color w:val="000000"/>
      <w:sz w:val="17"/>
      <w:szCs w:val="17"/>
    </w:rPr>
  </w:style>
  <w:style w:type="table" w:styleId="TableGrid">
    <w:name w:val="Table Grid"/>
    <w:basedOn w:val="TableNormal"/>
    <w:uiPriority w:val="59"/>
    <w:rsid w:val="005A5DA3"/>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NoList"/>
    <w:semiHidden/>
    <w:rsid w:val="005A5DA3"/>
  </w:style>
  <w:style w:type="paragraph" w:styleId="BodyText">
    <w:name w:val="Body Text"/>
    <w:basedOn w:val="Normal"/>
    <w:link w:val="BodyTextChar"/>
    <w:rsid w:val="005A5DA3"/>
    <w:pPr>
      <w:tabs>
        <w:tab w:val="left" w:pos="1848"/>
        <w:tab w:val="left" w:pos="7440"/>
      </w:tabs>
      <w:spacing w:after="0" w:line="240" w:lineRule="auto"/>
    </w:pPr>
    <w:rPr>
      <w:rFonts w:ascii="Times New Roman" w:eastAsia="Times New Roman" w:hAnsi="Times New Roman" w:cs="Times New Roman"/>
      <w:szCs w:val="20"/>
      <w:lang w:val="es-ES_tradnl" w:eastAsia="x-none"/>
    </w:rPr>
  </w:style>
  <w:style w:type="character" w:customStyle="1" w:styleId="BodyTextChar">
    <w:name w:val="Body Text Char"/>
    <w:basedOn w:val="DefaultParagraphFont"/>
    <w:link w:val="BodyText"/>
    <w:rsid w:val="005A5DA3"/>
    <w:rPr>
      <w:rFonts w:ascii="Times New Roman" w:eastAsia="Times New Roman" w:hAnsi="Times New Roman" w:cs="Times New Roman"/>
      <w:szCs w:val="20"/>
      <w:lang w:val="es-ES_tradnl" w:eastAsia="x-none"/>
    </w:rPr>
  </w:style>
  <w:style w:type="paragraph" w:customStyle="1" w:styleId="blueform">
    <w:name w:val="blueform"/>
    <w:rsid w:val="005A5DA3"/>
    <w:pPr>
      <w:tabs>
        <w:tab w:val="left" w:pos="2160"/>
        <w:tab w:val="left" w:pos="10368"/>
      </w:tabs>
      <w:spacing w:after="0" w:line="240" w:lineRule="auto"/>
    </w:pPr>
    <w:rPr>
      <w:rFonts w:ascii="Arial" w:eastAsia="Times New Roman" w:hAnsi="Arial" w:cs="Times New Roman"/>
      <w:sz w:val="20"/>
      <w:szCs w:val="20"/>
    </w:rPr>
  </w:style>
  <w:style w:type="paragraph" w:customStyle="1" w:styleId="Address">
    <w:name w:val="Address"/>
    <w:basedOn w:val="Normal"/>
    <w:rsid w:val="005A5DA3"/>
    <w:pPr>
      <w:spacing w:after="0" w:line="240" w:lineRule="auto"/>
    </w:pPr>
    <w:rPr>
      <w:rFonts w:ascii="Times New Roman" w:eastAsia="Times New Roman" w:hAnsi="Times New Roman" w:cs="Times New Roman"/>
      <w:noProof/>
      <w:szCs w:val="20"/>
    </w:rPr>
  </w:style>
  <w:style w:type="paragraph" w:styleId="BodyTextIndent2">
    <w:name w:val="Body Text Indent 2"/>
    <w:basedOn w:val="Normal"/>
    <w:link w:val="BodyTextIndent2Char"/>
    <w:rsid w:val="005A5DA3"/>
    <w:pPr>
      <w:tabs>
        <w:tab w:val="left" w:pos="480"/>
        <w:tab w:val="left" w:pos="6960"/>
        <w:tab w:val="left" w:pos="7680"/>
        <w:tab w:val="left" w:pos="8280"/>
      </w:tabs>
      <w:spacing w:after="0" w:line="240" w:lineRule="auto"/>
      <w:ind w:left="480"/>
    </w:pPr>
    <w:rPr>
      <w:rFonts w:ascii="Times New Roman" w:eastAsia="Times New Roman" w:hAnsi="Times New Roman" w:cs="Times New Roman"/>
      <w:szCs w:val="20"/>
      <w:lang w:val="es-ES_tradnl"/>
    </w:rPr>
  </w:style>
  <w:style w:type="character" w:customStyle="1" w:styleId="BodyTextIndent2Char">
    <w:name w:val="Body Text Indent 2 Char"/>
    <w:basedOn w:val="DefaultParagraphFont"/>
    <w:link w:val="BodyTextIndent2"/>
    <w:rsid w:val="005A5DA3"/>
    <w:rPr>
      <w:rFonts w:ascii="Times New Roman" w:eastAsia="Times New Roman" w:hAnsi="Times New Roman" w:cs="Times New Roman"/>
      <w:szCs w:val="20"/>
      <w:lang w:val="es-ES_tradnl"/>
    </w:rPr>
  </w:style>
  <w:style w:type="paragraph" w:styleId="BodyTextIndent3">
    <w:name w:val="Body Text Indent 3"/>
    <w:basedOn w:val="Normal"/>
    <w:link w:val="BodyTextIndent3Char"/>
    <w:rsid w:val="005A5DA3"/>
    <w:pPr>
      <w:tabs>
        <w:tab w:val="left" w:pos="480"/>
        <w:tab w:val="left" w:pos="6960"/>
        <w:tab w:val="left" w:pos="8280"/>
      </w:tabs>
      <w:spacing w:after="0" w:line="240" w:lineRule="auto"/>
      <w:ind w:left="480" w:hanging="480"/>
    </w:pPr>
    <w:rPr>
      <w:rFonts w:ascii="Times New Roman" w:eastAsia="Times New Roman" w:hAnsi="Times New Roman" w:cs="Times New Roman"/>
      <w:szCs w:val="20"/>
      <w:lang w:val="es-ES_tradnl"/>
    </w:rPr>
  </w:style>
  <w:style w:type="character" w:customStyle="1" w:styleId="BodyTextIndent3Char">
    <w:name w:val="Body Text Indent 3 Char"/>
    <w:basedOn w:val="DefaultParagraphFont"/>
    <w:link w:val="BodyTextIndent3"/>
    <w:rsid w:val="005A5DA3"/>
    <w:rPr>
      <w:rFonts w:ascii="Times New Roman" w:eastAsia="Times New Roman" w:hAnsi="Times New Roman" w:cs="Times New Roman"/>
      <w:szCs w:val="20"/>
      <w:lang w:val="es-ES_tradnl"/>
    </w:rPr>
  </w:style>
  <w:style w:type="paragraph" w:styleId="BodyTextIndent">
    <w:name w:val="Body Text Indent"/>
    <w:basedOn w:val="Normal"/>
    <w:link w:val="BodyTextIndentChar"/>
    <w:rsid w:val="005A5DA3"/>
    <w:pPr>
      <w:tabs>
        <w:tab w:val="left" w:pos="480"/>
        <w:tab w:val="left" w:pos="6960"/>
        <w:tab w:val="left" w:pos="7680"/>
        <w:tab w:val="left" w:pos="8280"/>
      </w:tabs>
      <w:spacing w:after="0" w:line="240" w:lineRule="auto"/>
      <w:ind w:left="450" w:hanging="450"/>
    </w:pPr>
    <w:rPr>
      <w:rFonts w:ascii="Times New Roman" w:eastAsia="Times New Roman" w:hAnsi="Times New Roman" w:cs="Times New Roman"/>
      <w:szCs w:val="20"/>
      <w:lang w:val="es-ES_tradnl"/>
    </w:rPr>
  </w:style>
  <w:style w:type="character" w:customStyle="1" w:styleId="BodyTextIndentChar">
    <w:name w:val="Body Text Indent Char"/>
    <w:basedOn w:val="DefaultParagraphFont"/>
    <w:link w:val="BodyTextIndent"/>
    <w:rsid w:val="005A5DA3"/>
    <w:rPr>
      <w:rFonts w:ascii="Times New Roman" w:eastAsia="Times New Roman" w:hAnsi="Times New Roman" w:cs="Times New Roman"/>
      <w:szCs w:val="20"/>
      <w:lang w:val="es-ES_tradnl"/>
    </w:rPr>
  </w:style>
  <w:style w:type="paragraph" w:styleId="BodyText2">
    <w:name w:val="Body Text 2"/>
    <w:basedOn w:val="Normal"/>
    <w:link w:val="BodyText2Char"/>
    <w:rsid w:val="005A5DA3"/>
    <w:pPr>
      <w:tabs>
        <w:tab w:val="left" w:pos="480"/>
        <w:tab w:val="left" w:pos="6960"/>
        <w:tab w:val="left" w:pos="7800"/>
        <w:tab w:val="left" w:pos="8280"/>
      </w:tabs>
      <w:spacing w:after="0" w:line="240" w:lineRule="auto"/>
      <w:jc w:val="center"/>
    </w:pPr>
    <w:rPr>
      <w:rFonts w:ascii="Times New Roman" w:eastAsia="Times New Roman" w:hAnsi="Times New Roman" w:cs="Times New Roman"/>
      <w:b/>
      <w:szCs w:val="20"/>
      <w:lang w:val="es-ES_tradnl" w:eastAsia="x-none"/>
    </w:rPr>
  </w:style>
  <w:style w:type="character" w:customStyle="1" w:styleId="BodyText2Char">
    <w:name w:val="Body Text 2 Char"/>
    <w:basedOn w:val="DefaultParagraphFont"/>
    <w:link w:val="BodyText2"/>
    <w:rsid w:val="005A5DA3"/>
    <w:rPr>
      <w:rFonts w:ascii="Times New Roman" w:eastAsia="Times New Roman" w:hAnsi="Times New Roman" w:cs="Times New Roman"/>
      <w:b/>
      <w:szCs w:val="20"/>
      <w:lang w:val="es-ES_tradnl" w:eastAsia="x-none"/>
    </w:rPr>
  </w:style>
  <w:style w:type="character" w:styleId="PageNumber">
    <w:name w:val="page number"/>
    <w:basedOn w:val="DefaultParagraphFont"/>
    <w:rsid w:val="005A5DA3"/>
  </w:style>
  <w:style w:type="paragraph" w:styleId="TOC1">
    <w:name w:val="toc 1"/>
    <w:basedOn w:val="Normal"/>
    <w:next w:val="Normal"/>
    <w:autoRedefine/>
    <w:semiHidden/>
    <w:rsid w:val="005A5DA3"/>
    <w:pPr>
      <w:tabs>
        <w:tab w:val="left" w:leader="dot" w:pos="9000"/>
        <w:tab w:val="right" w:pos="9360"/>
      </w:tabs>
      <w:suppressAutoHyphens/>
      <w:spacing w:before="480" w:after="0" w:line="240" w:lineRule="auto"/>
      <w:ind w:left="720" w:right="720" w:hanging="720"/>
    </w:pPr>
    <w:rPr>
      <w:rFonts w:ascii="Prestige Elite" w:eastAsia="Times New Roman" w:hAnsi="Prestige Elite" w:cs="Times New Roman"/>
      <w:sz w:val="20"/>
      <w:szCs w:val="20"/>
    </w:rPr>
  </w:style>
  <w:style w:type="paragraph" w:styleId="TOC2">
    <w:name w:val="toc 2"/>
    <w:basedOn w:val="Normal"/>
    <w:next w:val="Normal"/>
    <w:autoRedefine/>
    <w:semiHidden/>
    <w:rsid w:val="005A5DA3"/>
    <w:pPr>
      <w:tabs>
        <w:tab w:val="left" w:leader="dot" w:pos="9000"/>
        <w:tab w:val="right" w:pos="9360"/>
      </w:tabs>
      <w:suppressAutoHyphens/>
      <w:spacing w:after="0" w:line="240" w:lineRule="auto"/>
      <w:ind w:left="1440" w:right="720" w:hanging="720"/>
    </w:pPr>
    <w:rPr>
      <w:rFonts w:ascii="Prestige Elite" w:eastAsia="Times New Roman" w:hAnsi="Prestige Elite" w:cs="Times New Roman"/>
      <w:sz w:val="20"/>
      <w:szCs w:val="20"/>
    </w:rPr>
  </w:style>
  <w:style w:type="paragraph" w:styleId="TOC3">
    <w:name w:val="toc 3"/>
    <w:basedOn w:val="Normal"/>
    <w:next w:val="Normal"/>
    <w:autoRedefine/>
    <w:semiHidden/>
    <w:rsid w:val="005A5DA3"/>
    <w:pPr>
      <w:tabs>
        <w:tab w:val="left" w:leader="dot" w:pos="9000"/>
        <w:tab w:val="right" w:pos="9360"/>
      </w:tabs>
      <w:suppressAutoHyphens/>
      <w:spacing w:after="0" w:line="240" w:lineRule="auto"/>
      <w:ind w:left="2160" w:right="720" w:hanging="720"/>
    </w:pPr>
    <w:rPr>
      <w:rFonts w:ascii="Prestige Elite" w:eastAsia="Times New Roman" w:hAnsi="Prestige Elite" w:cs="Times New Roman"/>
      <w:sz w:val="20"/>
      <w:szCs w:val="20"/>
    </w:rPr>
  </w:style>
  <w:style w:type="paragraph" w:styleId="TOC4">
    <w:name w:val="toc 4"/>
    <w:basedOn w:val="Normal"/>
    <w:next w:val="Normal"/>
    <w:autoRedefine/>
    <w:semiHidden/>
    <w:rsid w:val="005A5DA3"/>
    <w:pPr>
      <w:tabs>
        <w:tab w:val="left" w:leader="dot" w:pos="9000"/>
        <w:tab w:val="right" w:pos="9360"/>
      </w:tabs>
      <w:suppressAutoHyphens/>
      <w:spacing w:after="0" w:line="240" w:lineRule="auto"/>
      <w:ind w:left="2880" w:right="720" w:hanging="720"/>
    </w:pPr>
    <w:rPr>
      <w:rFonts w:ascii="Prestige Elite" w:eastAsia="Times New Roman" w:hAnsi="Prestige Elite" w:cs="Times New Roman"/>
      <w:sz w:val="20"/>
      <w:szCs w:val="20"/>
    </w:rPr>
  </w:style>
  <w:style w:type="paragraph" w:styleId="TOC5">
    <w:name w:val="toc 5"/>
    <w:basedOn w:val="Normal"/>
    <w:next w:val="Normal"/>
    <w:autoRedefine/>
    <w:semiHidden/>
    <w:rsid w:val="005A5DA3"/>
    <w:pPr>
      <w:tabs>
        <w:tab w:val="left" w:leader="dot" w:pos="9000"/>
        <w:tab w:val="right" w:pos="9360"/>
      </w:tabs>
      <w:suppressAutoHyphens/>
      <w:spacing w:after="0" w:line="240" w:lineRule="auto"/>
      <w:ind w:left="3600" w:right="720" w:hanging="720"/>
    </w:pPr>
    <w:rPr>
      <w:rFonts w:ascii="Prestige Elite" w:eastAsia="Times New Roman" w:hAnsi="Prestige Elite" w:cs="Times New Roman"/>
      <w:sz w:val="20"/>
      <w:szCs w:val="20"/>
    </w:rPr>
  </w:style>
  <w:style w:type="paragraph" w:styleId="TOC6">
    <w:name w:val="toc 6"/>
    <w:basedOn w:val="Normal"/>
    <w:next w:val="Normal"/>
    <w:autoRedefine/>
    <w:semiHidden/>
    <w:rsid w:val="005A5DA3"/>
    <w:pPr>
      <w:tabs>
        <w:tab w:val="left" w:pos="9000"/>
        <w:tab w:val="right" w:pos="9360"/>
      </w:tabs>
      <w:suppressAutoHyphens/>
      <w:spacing w:after="0" w:line="240" w:lineRule="auto"/>
      <w:ind w:left="720" w:hanging="720"/>
    </w:pPr>
    <w:rPr>
      <w:rFonts w:ascii="Prestige Elite" w:eastAsia="Times New Roman" w:hAnsi="Prestige Elite" w:cs="Times New Roman"/>
      <w:sz w:val="20"/>
      <w:szCs w:val="20"/>
    </w:rPr>
  </w:style>
  <w:style w:type="paragraph" w:styleId="TOC7">
    <w:name w:val="toc 7"/>
    <w:basedOn w:val="Normal"/>
    <w:next w:val="Normal"/>
    <w:autoRedefine/>
    <w:semiHidden/>
    <w:rsid w:val="005A5DA3"/>
    <w:pPr>
      <w:suppressAutoHyphens/>
      <w:spacing w:after="0" w:line="240" w:lineRule="auto"/>
      <w:ind w:left="720" w:hanging="720"/>
    </w:pPr>
    <w:rPr>
      <w:rFonts w:ascii="Prestige Elite" w:eastAsia="Times New Roman" w:hAnsi="Prestige Elite" w:cs="Times New Roman"/>
      <w:sz w:val="20"/>
      <w:szCs w:val="20"/>
    </w:rPr>
  </w:style>
  <w:style w:type="paragraph" w:styleId="TOC8">
    <w:name w:val="toc 8"/>
    <w:basedOn w:val="Normal"/>
    <w:next w:val="Normal"/>
    <w:autoRedefine/>
    <w:semiHidden/>
    <w:rsid w:val="005A5DA3"/>
    <w:pPr>
      <w:tabs>
        <w:tab w:val="left" w:pos="9000"/>
        <w:tab w:val="right" w:pos="9360"/>
      </w:tabs>
      <w:suppressAutoHyphens/>
      <w:spacing w:after="0" w:line="240" w:lineRule="auto"/>
      <w:ind w:left="720" w:hanging="720"/>
    </w:pPr>
    <w:rPr>
      <w:rFonts w:ascii="Prestige Elite" w:eastAsia="Times New Roman" w:hAnsi="Prestige Elite" w:cs="Times New Roman"/>
      <w:sz w:val="20"/>
      <w:szCs w:val="20"/>
    </w:rPr>
  </w:style>
  <w:style w:type="paragraph" w:styleId="TOC9">
    <w:name w:val="toc 9"/>
    <w:basedOn w:val="Normal"/>
    <w:next w:val="Normal"/>
    <w:autoRedefine/>
    <w:semiHidden/>
    <w:rsid w:val="005A5DA3"/>
    <w:pPr>
      <w:tabs>
        <w:tab w:val="left" w:leader="dot" w:pos="9000"/>
        <w:tab w:val="right" w:pos="9360"/>
      </w:tabs>
      <w:suppressAutoHyphens/>
      <w:spacing w:after="0" w:line="240" w:lineRule="auto"/>
      <w:ind w:left="720" w:hanging="720"/>
    </w:pPr>
    <w:rPr>
      <w:rFonts w:ascii="Prestige Elite" w:eastAsia="Times New Roman" w:hAnsi="Prestige Elite" w:cs="Times New Roman"/>
      <w:sz w:val="20"/>
      <w:szCs w:val="20"/>
    </w:rPr>
  </w:style>
  <w:style w:type="paragraph" w:customStyle="1" w:styleId="ndice1">
    <w:name w:val="índice 1"/>
    <w:basedOn w:val="Normal"/>
    <w:rsid w:val="005A5DA3"/>
    <w:pPr>
      <w:tabs>
        <w:tab w:val="left" w:leader="dot" w:pos="9000"/>
        <w:tab w:val="right" w:pos="9360"/>
      </w:tabs>
      <w:suppressAutoHyphens/>
      <w:spacing w:after="0" w:line="240" w:lineRule="auto"/>
      <w:ind w:left="1440" w:right="720" w:hanging="1440"/>
    </w:pPr>
    <w:rPr>
      <w:rFonts w:ascii="Prestige Elite" w:eastAsia="Times New Roman" w:hAnsi="Prestige Elite" w:cs="Times New Roman"/>
      <w:sz w:val="20"/>
      <w:szCs w:val="20"/>
    </w:rPr>
  </w:style>
  <w:style w:type="paragraph" w:customStyle="1" w:styleId="ndice2">
    <w:name w:val="índice 2"/>
    <w:basedOn w:val="Normal"/>
    <w:rsid w:val="005A5DA3"/>
    <w:pPr>
      <w:tabs>
        <w:tab w:val="left" w:leader="dot" w:pos="9000"/>
        <w:tab w:val="right" w:pos="9360"/>
      </w:tabs>
      <w:suppressAutoHyphens/>
      <w:spacing w:after="0" w:line="240" w:lineRule="auto"/>
      <w:ind w:left="1440" w:right="720" w:hanging="720"/>
    </w:pPr>
    <w:rPr>
      <w:rFonts w:ascii="Prestige Elite" w:eastAsia="Times New Roman" w:hAnsi="Prestige Elite" w:cs="Times New Roman"/>
      <w:sz w:val="20"/>
      <w:szCs w:val="20"/>
    </w:rPr>
  </w:style>
  <w:style w:type="paragraph" w:customStyle="1" w:styleId="toa">
    <w:name w:val="toa"/>
    <w:basedOn w:val="Normal"/>
    <w:rsid w:val="005A5DA3"/>
    <w:pPr>
      <w:tabs>
        <w:tab w:val="left" w:pos="9000"/>
        <w:tab w:val="right" w:pos="9360"/>
      </w:tabs>
      <w:suppressAutoHyphens/>
      <w:spacing w:after="0" w:line="240" w:lineRule="auto"/>
    </w:pPr>
    <w:rPr>
      <w:rFonts w:ascii="Prestige Elite" w:eastAsia="Times New Roman" w:hAnsi="Prestige Elite" w:cs="Times New Roman"/>
      <w:sz w:val="20"/>
      <w:szCs w:val="20"/>
    </w:rPr>
  </w:style>
  <w:style w:type="paragraph" w:customStyle="1" w:styleId="epgrafe">
    <w:name w:val="epígrafe"/>
    <w:basedOn w:val="Normal"/>
    <w:rsid w:val="005A5DA3"/>
    <w:pPr>
      <w:spacing w:after="0" w:line="240" w:lineRule="auto"/>
    </w:pPr>
    <w:rPr>
      <w:rFonts w:ascii="Prestige Elite" w:eastAsia="Times New Roman" w:hAnsi="Prestige Elite" w:cs="Times New Roman"/>
      <w:sz w:val="20"/>
      <w:szCs w:val="20"/>
      <w:lang w:val="es-ES_tradnl"/>
    </w:rPr>
  </w:style>
  <w:style w:type="paragraph" w:styleId="BlockText">
    <w:name w:val="Block Text"/>
    <w:basedOn w:val="Normal"/>
    <w:rsid w:val="005A5DA3"/>
    <w:pPr>
      <w:numPr>
        <w:ilvl w:val="12"/>
      </w:numPr>
      <w:tabs>
        <w:tab w:val="left" w:pos="426"/>
        <w:tab w:val="left" w:pos="7800"/>
        <w:tab w:val="left" w:pos="8280"/>
      </w:tabs>
      <w:spacing w:after="0" w:line="240" w:lineRule="auto"/>
      <w:ind w:left="426" w:right="-136"/>
    </w:pPr>
    <w:rPr>
      <w:rFonts w:ascii="Times New Roman" w:eastAsia="Times New Roman" w:hAnsi="Times New Roman" w:cs="Times New Roman"/>
      <w:szCs w:val="20"/>
      <w:lang w:val="es-ES_tradnl"/>
    </w:rPr>
  </w:style>
  <w:style w:type="paragraph" w:styleId="BodyText3">
    <w:name w:val="Body Text 3"/>
    <w:basedOn w:val="Normal"/>
    <w:link w:val="BodyText3Char"/>
    <w:rsid w:val="005A5DA3"/>
    <w:pPr>
      <w:tabs>
        <w:tab w:val="right" w:pos="3969"/>
        <w:tab w:val="right" w:pos="5310"/>
        <w:tab w:val="right" w:pos="6379"/>
        <w:tab w:val="right" w:pos="6750"/>
        <w:tab w:val="right" w:pos="7938"/>
        <w:tab w:val="right" w:pos="9356"/>
        <w:tab w:val="right" w:pos="9540"/>
      </w:tabs>
      <w:spacing w:after="0" w:line="240" w:lineRule="auto"/>
      <w:ind w:right="-216"/>
    </w:pPr>
    <w:rPr>
      <w:rFonts w:ascii="Times New Roman" w:eastAsia="Times New Roman" w:hAnsi="Times New Roman" w:cs="Times New Roman"/>
      <w:spacing w:val="-2"/>
      <w:szCs w:val="20"/>
      <w:lang w:eastAsia="x-none"/>
    </w:rPr>
  </w:style>
  <w:style w:type="character" w:customStyle="1" w:styleId="BodyText3Char">
    <w:name w:val="Body Text 3 Char"/>
    <w:basedOn w:val="DefaultParagraphFont"/>
    <w:link w:val="BodyText3"/>
    <w:rsid w:val="005A5DA3"/>
    <w:rPr>
      <w:rFonts w:ascii="Times New Roman" w:eastAsia="Times New Roman" w:hAnsi="Times New Roman" w:cs="Times New Roman"/>
      <w:spacing w:val="-2"/>
      <w:szCs w:val="20"/>
      <w:lang w:val="es-EC" w:eastAsia="x-none"/>
    </w:rPr>
  </w:style>
  <w:style w:type="character" w:styleId="FootnoteReference">
    <w:name w:val="footnote reference"/>
    <w:semiHidden/>
    <w:rsid w:val="005A5DA3"/>
    <w:rPr>
      <w:vertAlign w:val="superscript"/>
    </w:rPr>
  </w:style>
  <w:style w:type="table" w:customStyle="1" w:styleId="Tablaconcuadrcula1">
    <w:name w:val="Tabla con cuadrícula1"/>
    <w:basedOn w:val="TableNormal"/>
    <w:next w:val="TableGrid"/>
    <w:uiPriority w:val="59"/>
    <w:rsid w:val="005A5DA3"/>
    <w:pPr>
      <w:spacing w:after="0" w:line="240" w:lineRule="auto"/>
    </w:pPr>
    <w:rPr>
      <w:rFonts w:ascii="Times New Roman" w:eastAsia="Times New Roman" w:hAnsi="Times New Roman" w:cs="Times New Roman"/>
      <w:sz w:val="20"/>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semiHidden/>
    <w:rsid w:val="005A5DA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5A5DA3"/>
    <w:rPr>
      <w:rFonts w:ascii="Courier New" w:eastAsia="Times New Roman" w:hAnsi="Courier New" w:cs="Times New Roman"/>
      <w:sz w:val="20"/>
      <w:szCs w:val="20"/>
    </w:rPr>
  </w:style>
  <w:style w:type="paragraph" w:customStyle="1" w:styleId="260REntry">
    <w:name w:val="260R Entry"/>
    <w:basedOn w:val="Normal"/>
    <w:rsid w:val="005A5DA3"/>
    <w:pPr>
      <w:spacing w:after="0" w:line="240" w:lineRule="atLeast"/>
    </w:pPr>
    <w:rPr>
      <w:rFonts w:ascii="Arial" w:eastAsia="Times New Roman" w:hAnsi="Arial" w:cs="Times New Roman"/>
      <w:i/>
      <w:sz w:val="20"/>
      <w:szCs w:val="20"/>
      <w:lang w:val="en-US"/>
    </w:rPr>
  </w:style>
  <w:style w:type="paragraph" w:styleId="EnvelopeReturn">
    <w:name w:val="envelope return"/>
    <w:basedOn w:val="Normal"/>
    <w:rsid w:val="005A5DA3"/>
    <w:pPr>
      <w:spacing w:after="0" w:line="240" w:lineRule="auto"/>
    </w:pPr>
    <w:rPr>
      <w:rFonts w:ascii="Arial" w:eastAsia="Times New Roman" w:hAnsi="Arial" w:cs="Times New Roman"/>
      <w:sz w:val="24"/>
      <w:szCs w:val="20"/>
      <w:lang w:val="en-US"/>
    </w:rPr>
  </w:style>
  <w:style w:type="paragraph" w:styleId="BalloonText">
    <w:name w:val="Balloon Text"/>
    <w:basedOn w:val="Normal"/>
    <w:link w:val="BalloonTextChar"/>
    <w:semiHidden/>
    <w:rsid w:val="005A5DA3"/>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A5DA3"/>
    <w:rPr>
      <w:rFonts w:ascii="Tahoma" w:eastAsia="Times New Roman" w:hAnsi="Tahoma" w:cs="Tahoma"/>
      <w:sz w:val="16"/>
      <w:szCs w:val="16"/>
      <w:lang w:val="es-EC"/>
    </w:rPr>
  </w:style>
  <w:style w:type="paragraph" w:customStyle="1" w:styleId="TableInput">
    <w:name w:val="Table Input"/>
    <w:basedOn w:val="Normal"/>
    <w:rsid w:val="005A5DA3"/>
    <w:pPr>
      <w:spacing w:before="30" w:after="0" w:line="260" w:lineRule="exact"/>
    </w:pPr>
    <w:rPr>
      <w:rFonts w:ascii="Times New Roman" w:eastAsia="Times New Roman" w:hAnsi="Times New Roman" w:cs="Times New Roman"/>
      <w:szCs w:val="20"/>
    </w:rPr>
  </w:style>
  <w:style w:type="paragraph" w:customStyle="1" w:styleId="sourceref">
    <w:name w:val="source ref"/>
    <w:basedOn w:val="Normal"/>
    <w:rsid w:val="005A5DA3"/>
    <w:pPr>
      <w:spacing w:before="40" w:after="0" w:line="190" w:lineRule="exact"/>
    </w:pPr>
    <w:rPr>
      <w:rFonts w:ascii="Arial" w:eastAsia="PMingLiU" w:hAnsi="Arial" w:cs="Courier New"/>
      <w:color w:val="003399"/>
      <w:sz w:val="15"/>
      <w:szCs w:val="15"/>
      <w:lang w:val="en-AU"/>
    </w:rPr>
  </w:style>
  <w:style w:type="paragraph" w:customStyle="1" w:styleId="bodycopyindent">
    <w:name w:val="body copy indent"/>
    <w:basedOn w:val="Normal"/>
    <w:rsid w:val="005A5DA3"/>
    <w:pPr>
      <w:spacing w:before="20" w:after="0" w:line="210" w:lineRule="exact"/>
      <w:ind w:left="510"/>
    </w:pPr>
    <w:rPr>
      <w:rFonts w:ascii="Arial" w:eastAsia="PMingLiU" w:hAnsi="Arial" w:cs="Arial"/>
      <w:color w:val="000000"/>
      <w:sz w:val="17"/>
      <w:szCs w:val="17"/>
      <w:lang w:val="en-AU"/>
    </w:rPr>
  </w:style>
  <w:style w:type="paragraph" w:styleId="CommentText">
    <w:name w:val="annotation text"/>
    <w:basedOn w:val="Normal"/>
    <w:link w:val="CommentTextChar"/>
    <w:semiHidden/>
    <w:rsid w:val="005A5DA3"/>
    <w:pPr>
      <w:spacing w:after="0" w:line="240" w:lineRule="auto"/>
    </w:pPr>
    <w:rPr>
      <w:rFonts w:ascii="Times New Roman" w:eastAsia="PMingLiU" w:hAnsi="Times New Roman" w:cs="Times New Roman"/>
      <w:sz w:val="20"/>
      <w:szCs w:val="20"/>
      <w:lang w:val="en-AU"/>
    </w:rPr>
  </w:style>
  <w:style w:type="character" w:customStyle="1" w:styleId="CommentTextChar">
    <w:name w:val="Comment Text Char"/>
    <w:basedOn w:val="DefaultParagraphFont"/>
    <w:link w:val="CommentText"/>
    <w:semiHidden/>
    <w:rsid w:val="005A5DA3"/>
    <w:rPr>
      <w:rFonts w:ascii="Times New Roman" w:eastAsia="PMingLiU" w:hAnsi="Times New Roman" w:cs="Times New Roman"/>
      <w:sz w:val="20"/>
      <w:szCs w:val="20"/>
      <w:lang w:val="en-AU"/>
    </w:rPr>
  </w:style>
  <w:style w:type="paragraph" w:customStyle="1" w:styleId="Default">
    <w:name w:val="Default"/>
    <w:rsid w:val="005A5DA3"/>
    <w:pPr>
      <w:autoSpaceDE w:val="0"/>
      <w:autoSpaceDN w:val="0"/>
      <w:adjustRightInd w:val="0"/>
      <w:spacing w:after="0" w:line="240" w:lineRule="auto"/>
    </w:pPr>
    <w:rPr>
      <w:rFonts w:ascii="Times New Roman" w:eastAsia="Arial" w:hAnsi="Times New Roman" w:cs="Times New Roman"/>
      <w:color w:val="000000"/>
      <w:sz w:val="24"/>
      <w:szCs w:val="24"/>
    </w:rPr>
  </w:style>
  <w:style w:type="paragraph" w:styleId="DocumentMap">
    <w:name w:val="Document Map"/>
    <w:basedOn w:val="Normal"/>
    <w:link w:val="DocumentMapChar"/>
    <w:uiPriority w:val="99"/>
    <w:semiHidden/>
    <w:unhideWhenUsed/>
    <w:rsid w:val="005A5DA3"/>
    <w:pPr>
      <w:spacing w:after="0" w:line="240" w:lineRule="auto"/>
    </w:pPr>
    <w:rPr>
      <w:rFonts w:ascii="Tahoma" w:eastAsia="Times New Roman" w:hAnsi="Tahoma" w:cs="Times New Roman"/>
      <w:sz w:val="16"/>
      <w:szCs w:val="16"/>
      <w:lang w:val="x-none"/>
    </w:rPr>
  </w:style>
  <w:style w:type="character" w:customStyle="1" w:styleId="DocumentMapChar">
    <w:name w:val="Document Map Char"/>
    <w:basedOn w:val="DefaultParagraphFont"/>
    <w:link w:val="DocumentMap"/>
    <w:uiPriority w:val="99"/>
    <w:semiHidden/>
    <w:rsid w:val="005A5DA3"/>
    <w:rPr>
      <w:rFonts w:ascii="Tahoma" w:eastAsia="Times New Roman" w:hAnsi="Tahoma" w:cs="Times New Roman"/>
      <w:sz w:val="16"/>
      <w:szCs w:val="16"/>
      <w:lang w:val="x-none"/>
    </w:rPr>
  </w:style>
  <w:style w:type="paragraph" w:customStyle="1" w:styleId="Bodycopyheader1">
    <w:name w:val="Body copy header 1"/>
    <w:basedOn w:val="Bodycopy"/>
    <w:rsid w:val="005A5DA3"/>
    <w:rPr>
      <w:b/>
    </w:rPr>
  </w:style>
  <w:style w:type="paragraph" w:customStyle="1" w:styleId="Bodycopyrightindent">
    <w:name w:val="Body copy right indent"/>
    <w:basedOn w:val="Bodycopy"/>
    <w:rsid w:val="005A5DA3"/>
    <w:pPr>
      <w:jc w:val="right"/>
    </w:pPr>
  </w:style>
  <w:style w:type="paragraph" w:customStyle="1" w:styleId="Bodycopyindentbullet">
    <w:name w:val="Body copy indent bullet"/>
    <w:rsid w:val="005A5DA3"/>
    <w:pPr>
      <w:tabs>
        <w:tab w:val="num" w:pos="1021"/>
      </w:tabs>
      <w:spacing w:before="20" w:after="0" w:line="210" w:lineRule="exact"/>
      <w:ind w:left="1021" w:hanging="511"/>
    </w:pPr>
    <w:rPr>
      <w:rFonts w:ascii="Arial" w:eastAsia="PMingLiU" w:hAnsi="Arial" w:cs="Arial"/>
      <w:color w:val="000000"/>
      <w:sz w:val="17"/>
      <w:szCs w:val="17"/>
      <w:lang w:val="en-AU" w:eastAsia="zh-CN"/>
    </w:rPr>
  </w:style>
  <w:style w:type="character" w:customStyle="1" w:styleId="Bodycopyheader1Char">
    <w:name w:val="Body copy header 1 Char"/>
    <w:rsid w:val="005A5DA3"/>
    <w:rPr>
      <w:rFonts w:ascii="Arial" w:hAnsi="Arial" w:cs="Arial"/>
      <w:b/>
      <w:color w:val="000000"/>
      <w:sz w:val="17"/>
      <w:szCs w:val="17"/>
      <w:lang w:val="en-US" w:eastAsia="en-US" w:bidi="ar-SA"/>
    </w:rPr>
  </w:style>
  <w:style w:type="character" w:styleId="CommentReference">
    <w:name w:val="annotation reference"/>
    <w:uiPriority w:val="99"/>
    <w:semiHidden/>
    <w:unhideWhenUsed/>
    <w:rsid w:val="005A5DA3"/>
    <w:rPr>
      <w:sz w:val="16"/>
      <w:szCs w:val="16"/>
    </w:rPr>
  </w:style>
  <w:style w:type="paragraph" w:styleId="CommentSubject">
    <w:name w:val="annotation subject"/>
    <w:basedOn w:val="CommentText"/>
    <w:next w:val="CommentText"/>
    <w:link w:val="CommentSubjectChar"/>
    <w:semiHidden/>
    <w:unhideWhenUsed/>
    <w:rsid w:val="005A5DA3"/>
    <w:rPr>
      <w:b/>
      <w:bCs/>
      <w:lang w:val="es-EC"/>
    </w:rPr>
  </w:style>
  <w:style w:type="character" w:customStyle="1" w:styleId="CommentSubjectChar">
    <w:name w:val="Comment Subject Char"/>
    <w:basedOn w:val="CommentTextChar"/>
    <w:link w:val="CommentSubject"/>
    <w:semiHidden/>
    <w:rsid w:val="005A5DA3"/>
    <w:rPr>
      <w:rFonts w:ascii="Times New Roman" w:eastAsia="PMingLiU" w:hAnsi="Times New Roman" w:cs="Times New Roman"/>
      <w:b/>
      <w:bCs/>
      <w:sz w:val="20"/>
      <w:szCs w:val="20"/>
      <w:lang w:val="es-EC"/>
    </w:rPr>
  </w:style>
  <w:style w:type="paragraph" w:customStyle="1" w:styleId="Dividerline">
    <w:name w:val="Divider line"/>
    <w:basedOn w:val="Normal"/>
    <w:rsid w:val="005A5DA3"/>
    <w:pPr>
      <w:spacing w:after="0" w:line="240" w:lineRule="auto"/>
    </w:pPr>
    <w:rPr>
      <w:rFonts w:ascii="Arial" w:eastAsia="PMingLiU" w:hAnsi="Arial" w:cs="Courier New"/>
      <w:sz w:val="15"/>
      <w:szCs w:val="15"/>
      <w:lang w:val="en-AU"/>
    </w:rPr>
  </w:style>
  <w:style w:type="character" w:customStyle="1" w:styleId="longtext1">
    <w:name w:val="long_text1"/>
    <w:rsid w:val="005A5DA3"/>
    <w:rPr>
      <w:sz w:val="20"/>
      <w:szCs w:val="20"/>
    </w:rPr>
  </w:style>
  <w:style w:type="paragraph" w:customStyle="1" w:styleId="Bodycopyhanging">
    <w:name w:val="Body copy hanging"/>
    <w:basedOn w:val="Bodycopy"/>
    <w:rsid w:val="005A5DA3"/>
    <w:pPr>
      <w:ind w:left="510" w:hanging="510"/>
    </w:pPr>
    <w:rPr>
      <w:lang w:val="en-AU"/>
    </w:rPr>
  </w:style>
  <w:style w:type="paragraph" w:customStyle="1" w:styleId="Bodycopybullet">
    <w:name w:val="Body copy bullet"/>
    <w:basedOn w:val="Bodycopy"/>
    <w:rsid w:val="005A5DA3"/>
    <w:pPr>
      <w:tabs>
        <w:tab w:val="num" w:pos="540"/>
      </w:tabs>
      <w:ind w:left="537" w:hanging="357"/>
    </w:pPr>
    <w:rPr>
      <w:lang w:val="en-AU"/>
    </w:rPr>
  </w:style>
  <w:style w:type="paragraph" w:styleId="NormalWeb">
    <w:name w:val="Normal (Web)"/>
    <w:basedOn w:val="Normal"/>
    <w:uiPriority w:val="99"/>
    <w:unhideWhenUsed/>
    <w:rsid w:val="005A5D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ongtext">
    <w:name w:val="long_text"/>
    <w:rsid w:val="005A5DA3"/>
  </w:style>
  <w:style w:type="character" w:customStyle="1" w:styleId="hps">
    <w:name w:val="hps"/>
    <w:rsid w:val="005A5DA3"/>
  </w:style>
  <w:style w:type="paragraph" w:styleId="ListParagraph">
    <w:name w:val="List Paragraph"/>
    <w:aliases w:val="Párrafo de asunto"/>
    <w:basedOn w:val="Normal"/>
    <w:link w:val="ListParagraphChar"/>
    <w:uiPriority w:val="34"/>
    <w:qFormat/>
    <w:rsid w:val="005A5DA3"/>
    <w:pPr>
      <w:spacing w:after="200" w:line="276" w:lineRule="auto"/>
      <w:ind w:left="720"/>
      <w:contextualSpacing/>
    </w:pPr>
    <w:rPr>
      <w:rFonts w:ascii="Calibri" w:eastAsia="Times New Roman" w:hAnsi="Calibri" w:cs="Times New Roman"/>
      <w:lang w:eastAsia="es-EC"/>
    </w:rPr>
  </w:style>
  <w:style w:type="paragraph" w:customStyle="1" w:styleId="MediumGrid1-Accent21">
    <w:name w:val="Medium Grid 1 - Accent 21"/>
    <w:basedOn w:val="Normal"/>
    <w:uiPriority w:val="34"/>
    <w:qFormat/>
    <w:rsid w:val="005A5DA3"/>
    <w:pPr>
      <w:spacing w:after="0" w:line="240" w:lineRule="auto"/>
      <w:ind w:left="720"/>
      <w:contextualSpacing/>
    </w:pPr>
    <w:rPr>
      <w:rFonts w:ascii="Times New Roman" w:eastAsia="PMingLiU" w:hAnsi="Times New Roman" w:cs="Times New Roman"/>
      <w:sz w:val="21"/>
      <w:szCs w:val="24"/>
      <w:lang w:val="en-AU"/>
    </w:rPr>
  </w:style>
  <w:style w:type="paragraph" w:customStyle="1" w:styleId="ColorfulList-Accent11">
    <w:name w:val="Colorful List - Accent 11"/>
    <w:basedOn w:val="Normal"/>
    <w:uiPriority w:val="34"/>
    <w:qFormat/>
    <w:rsid w:val="005A5DA3"/>
    <w:pPr>
      <w:spacing w:after="200" w:line="276" w:lineRule="auto"/>
      <w:ind w:left="720"/>
      <w:contextualSpacing/>
    </w:pPr>
    <w:rPr>
      <w:rFonts w:ascii="Calibri" w:eastAsia="Times New Roman" w:hAnsi="Calibri" w:cs="Times New Roman"/>
      <w:lang w:eastAsia="es-EC"/>
    </w:rPr>
  </w:style>
  <w:style w:type="paragraph" w:styleId="Revision">
    <w:name w:val="Revision"/>
    <w:hidden/>
    <w:uiPriority w:val="99"/>
    <w:semiHidden/>
    <w:rsid w:val="005A5DA3"/>
    <w:pPr>
      <w:spacing w:after="0" w:line="240" w:lineRule="auto"/>
    </w:pPr>
    <w:rPr>
      <w:rFonts w:ascii="Times New Roman" w:eastAsia="Times New Roman" w:hAnsi="Times New Roman" w:cs="Times New Roman"/>
      <w:sz w:val="20"/>
      <w:szCs w:val="20"/>
      <w:lang w:val="es-EC"/>
    </w:rPr>
  </w:style>
  <w:style w:type="paragraph" w:customStyle="1" w:styleId="Table-Heading1">
    <w:name w:val="Table - Heading 1"/>
    <w:basedOn w:val="Heading2"/>
    <w:autoRedefine/>
    <w:rsid w:val="005A5DA3"/>
    <w:pPr>
      <w:keepNext w:val="0"/>
      <w:pBdr>
        <w:bottom w:val="none" w:sz="0" w:space="0" w:color="auto"/>
      </w:pBdr>
      <w:tabs>
        <w:tab w:val="clear" w:pos="7080"/>
        <w:tab w:val="clear" w:pos="8280"/>
      </w:tabs>
      <w:ind w:left="86"/>
      <w:outlineLvl w:val="9"/>
    </w:pPr>
    <w:rPr>
      <w:rFonts w:ascii="Arial" w:eastAsia="PMingLiU" w:hAnsi="Arial"/>
      <w:b w:val="0"/>
      <w:color w:val="000080"/>
      <w:sz w:val="18"/>
      <w:szCs w:val="18"/>
      <w:lang w:val="en-AU" w:eastAsia="x-none"/>
    </w:rPr>
  </w:style>
  <w:style w:type="paragraph" w:styleId="ListNumber3">
    <w:name w:val="List Number 3"/>
    <w:basedOn w:val="Normal"/>
    <w:rsid w:val="005A5DA3"/>
    <w:pPr>
      <w:tabs>
        <w:tab w:val="num" w:pos="720"/>
      </w:tabs>
      <w:spacing w:after="0" w:line="240" w:lineRule="auto"/>
      <w:ind w:left="720" w:hanging="360"/>
    </w:pPr>
    <w:rPr>
      <w:rFonts w:ascii="Times New Roman" w:eastAsia="PMingLiU" w:hAnsi="Times New Roman" w:cs="Times New Roman"/>
      <w:sz w:val="20"/>
      <w:szCs w:val="20"/>
      <w:lang w:val="en-US"/>
    </w:rPr>
  </w:style>
  <w:style w:type="character" w:customStyle="1" w:styleId="st">
    <w:name w:val="st"/>
    <w:basedOn w:val="DefaultParagraphFont"/>
    <w:rsid w:val="005A5DA3"/>
  </w:style>
  <w:style w:type="paragraph" w:customStyle="1" w:styleId="Textodeglobo1">
    <w:name w:val="Texto de globo1"/>
    <w:basedOn w:val="Normal"/>
    <w:semiHidden/>
    <w:rsid w:val="005A5DA3"/>
    <w:pPr>
      <w:spacing w:after="0" w:line="240" w:lineRule="auto"/>
    </w:pPr>
    <w:rPr>
      <w:rFonts w:ascii="Tahoma" w:eastAsia="Times New Roman" w:hAnsi="Tahoma" w:cs="Tahoma"/>
      <w:sz w:val="16"/>
      <w:szCs w:val="16"/>
    </w:rPr>
  </w:style>
  <w:style w:type="paragraph" w:customStyle="1" w:styleId="Textoindependiente21">
    <w:name w:val="Texto independiente 21"/>
    <w:basedOn w:val="Normal"/>
    <w:rsid w:val="005A5DA3"/>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customStyle="1" w:styleId="Textoindependiente211">
    <w:name w:val="Texto independiente 211"/>
    <w:basedOn w:val="Normal"/>
    <w:uiPriority w:val="99"/>
    <w:rsid w:val="005A5DA3"/>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customStyle="1" w:styleId="BodyText22">
    <w:name w:val="Body Text 22"/>
    <w:basedOn w:val="Normal"/>
    <w:rsid w:val="005A5DA3"/>
    <w:pPr>
      <w:widowControl w:val="0"/>
      <w:tabs>
        <w:tab w:val="left" w:pos="7655"/>
      </w:tabs>
      <w:overflowPunct w:val="0"/>
      <w:autoSpaceDE w:val="0"/>
      <w:autoSpaceDN w:val="0"/>
      <w:adjustRightInd w:val="0"/>
      <w:spacing w:after="0" w:line="240" w:lineRule="auto"/>
      <w:ind w:left="567"/>
      <w:jc w:val="both"/>
      <w:textAlignment w:val="baseline"/>
    </w:pPr>
    <w:rPr>
      <w:rFonts w:ascii="Times New Roman" w:eastAsia="Times New Roman" w:hAnsi="Times New Roman" w:cs="Times New Roman"/>
      <w:sz w:val="24"/>
      <w:szCs w:val="20"/>
      <w:lang w:val="es-ES_tradnl" w:eastAsia="es-ES"/>
    </w:rPr>
  </w:style>
  <w:style w:type="paragraph" w:customStyle="1" w:styleId="TITULO">
    <w:name w:val="TITULO"/>
    <w:basedOn w:val="Normal"/>
    <w:rsid w:val="005A5DA3"/>
    <w:pPr>
      <w:tabs>
        <w:tab w:val="left" w:pos="3119"/>
        <w:tab w:val="left" w:pos="4962"/>
        <w:tab w:val="left" w:pos="6096"/>
        <w:tab w:val="left" w:pos="7797"/>
      </w:tabs>
      <w:overflowPunct w:val="0"/>
      <w:autoSpaceDE w:val="0"/>
      <w:autoSpaceDN w:val="0"/>
      <w:adjustRightInd w:val="0"/>
      <w:spacing w:after="0" w:line="240" w:lineRule="auto"/>
      <w:ind w:left="567"/>
      <w:jc w:val="both"/>
      <w:textAlignment w:val="baseline"/>
    </w:pPr>
    <w:rPr>
      <w:rFonts w:ascii="Times New Roman" w:eastAsia="Times New Roman" w:hAnsi="Times New Roman" w:cs="Times New Roman"/>
      <w:sz w:val="24"/>
      <w:szCs w:val="20"/>
      <w:lang w:val="es-ES" w:eastAsia="es-ES"/>
    </w:rPr>
  </w:style>
  <w:style w:type="character" w:customStyle="1" w:styleId="apple-converted-space">
    <w:name w:val="apple-converted-space"/>
    <w:basedOn w:val="DefaultParagraphFont"/>
    <w:rsid w:val="005A5DA3"/>
  </w:style>
  <w:style w:type="character" w:customStyle="1" w:styleId="BodycopyChar">
    <w:name w:val="Body copy Char"/>
    <w:link w:val="Bodycopy"/>
    <w:rsid w:val="005A5DA3"/>
    <w:rPr>
      <w:rFonts w:ascii="Arial" w:eastAsia="PMingLiU" w:hAnsi="Arial" w:cs="Arial"/>
      <w:color w:val="000000"/>
      <w:sz w:val="17"/>
      <w:szCs w:val="17"/>
    </w:rPr>
  </w:style>
  <w:style w:type="character" w:customStyle="1" w:styleId="Cuerpodeltexto2Negrita">
    <w:name w:val="Cuerpo del texto (2) + Negrita"/>
    <w:basedOn w:val="DefaultParagraphFont"/>
    <w:rsid w:val="005A5DA3"/>
    <w:rPr>
      <w:rFonts w:ascii="Arial" w:hAnsi="Arial" w:cs="Arial" w:hint="default"/>
      <w:b/>
      <w:bCs/>
      <w:i w:val="0"/>
      <w:iCs w:val="0"/>
      <w:smallCaps w:val="0"/>
      <w:strike w:val="0"/>
      <w:dstrike w:val="0"/>
      <w:color w:val="000000"/>
      <w:spacing w:val="0"/>
      <w:position w:val="0"/>
      <w:u w:val="none"/>
      <w:effect w:val="none"/>
      <w:lang w:eastAsia="es-ES"/>
    </w:rPr>
  </w:style>
  <w:style w:type="paragraph" w:customStyle="1" w:styleId="Style8">
    <w:name w:val="Style8"/>
    <w:basedOn w:val="Normal"/>
    <w:uiPriority w:val="99"/>
    <w:rsid w:val="00D578F5"/>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239">
    <w:name w:val="Font Style239"/>
    <w:uiPriority w:val="99"/>
    <w:rsid w:val="00D578F5"/>
    <w:rPr>
      <w:rFonts w:ascii="Verdana" w:hAnsi="Verdana" w:cs="Verdana"/>
      <w:color w:val="000000"/>
      <w:sz w:val="20"/>
      <w:szCs w:val="20"/>
    </w:rPr>
  </w:style>
  <w:style w:type="paragraph" w:customStyle="1" w:styleId="Prrafo192p10">
    <w:name w:val="Párrafo 1.92 p/10"/>
    <w:qFormat/>
    <w:rsid w:val="008A3BE5"/>
    <w:pPr>
      <w:spacing w:after="200" w:line="240" w:lineRule="auto"/>
      <w:ind w:left="1089"/>
      <w:jc w:val="both"/>
    </w:pPr>
    <w:rPr>
      <w:rFonts w:ascii="Times New Roman" w:eastAsia="Times New Roman" w:hAnsi="Times New Roman" w:cs="Times New Roman"/>
      <w:lang w:val="es-MX"/>
    </w:rPr>
  </w:style>
  <w:style w:type="character" w:customStyle="1" w:styleId="Cuerpodeltexto7Exact">
    <w:name w:val="Cuerpo del texto (7) Exact"/>
    <w:basedOn w:val="DefaultParagraphFont"/>
    <w:link w:val="Cuerpodeltexto7"/>
    <w:rsid w:val="009E362C"/>
    <w:rPr>
      <w:rFonts w:ascii="Arial" w:eastAsia="Arial" w:hAnsi="Arial" w:cs="Arial"/>
      <w:sz w:val="26"/>
      <w:szCs w:val="26"/>
      <w:shd w:val="clear" w:color="auto" w:fill="FFFFFF"/>
      <w:lang w:val="it-IT" w:eastAsia="it-IT" w:bidi="it-IT"/>
    </w:rPr>
  </w:style>
  <w:style w:type="paragraph" w:customStyle="1" w:styleId="Cuerpodeltexto7">
    <w:name w:val="Cuerpo del texto (7)"/>
    <w:basedOn w:val="Normal"/>
    <w:link w:val="Cuerpodeltexto7Exact"/>
    <w:rsid w:val="009E362C"/>
    <w:pPr>
      <w:widowControl w:val="0"/>
      <w:shd w:val="clear" w:color="auto" w:fill="FFFFFF"/>
      <w:spacing w:after="0" w:line="0" w:lineRule="atLeast"/>
    </w:pPr>
    <w:rPr>
      <w:rFonts w:ascii="Arial" w:eastAsia="Arial" w:hAnsi="Arial" w:cs="Arial"/>
      <w:sz w:val="26"/>
      <w:szCs w:val="26"/>
      <w:lang w:val="it-IT" w:eastAsia="it-IT" w:bidi="it-IT"/>
    </w:rPr>
  </w:style>
  <w:style w:type="paragraph" w:customStyle="1" w:styleId="Ttulo1">
    <w:name w:val="Título #1"/>
    <w:basedOn w:val="Normal"/>
    <w:link w:val="Ttulo10"/>
    <w:rsid w:val="00FC3030"/>
    <w:pPr>
      <w:widowControl w:val="0"/>
      <w:shd w:val="clear" w:color="auto" w:fill="FFFFFF"/>
      <w:spacing w:after="300" w:line="0" w:lineRule="atLeast"/>
      <w:jc w:val="right"/>
      <w:outlineLvl w:val="0"/>
    </w:pPr>
    <w:rPr>
      <w:rFonts w:ascii="Courier New" w:eastAsia="Courier New" w:hAnsi="Courier New" w:cs="Courier New"/>
      <w:b/>
      <w:bCs/>
      <w:color w:val="000000"/>
      <w:spacing w:val="-20"/>
      <w:sz w:val="82"/>
      <w:szCs w:val="82"/>
      <w:lang w:val="es-ES" w:eastAsia="es-ES" w:bidi="es-ES"/>
    </w:rPr>
  </w:style>
  <w:style w:type="character" w:customStyle="1" w:styleId="Ttulo10">
    <w:name w:val="Título #1_"/>
    <w:basedOn w:val="DefaultParagraphFont"/>
    <w:link w:val="Ttulo1"/>
    <w:rsid w:val="00FC3030"/>
    <w:rPr>
      <w:rFonts w:ascii="Courier New" w:eastAsia="Courier New" w:hAnsi="Courier New" w:cs="Courier New"/>
      <w:b/>
      <w:bCs/>
      <w:color w:val="000000"/>
      <w:spacing w:val="-20"/>
      <w:sz w:val="82"/>
      <w:szCs w:val="82"/>
      <w:shd w:val="clear" w:color="auto" w:fill="FFFFFF"/>
      <w:lang w:val="es-ES" w:eastAsia="es-ES" w:bidi="es-ES"/>
    </w:rPr>
  </w:style>
  <w:style w:type="character" w:customStyle="1" w:styleId="Cuerpodeltexto2">
    <w:name w:val="Cuerpo del texto (2)_"/>
    <w:basedOn w:val="DefaultParagraphFont"/>
    <w:link w:val="Cuerpodeltexto20"/>
    <w:rsid w:val="00E56F79"/>
    <w:rPr>
      <w:rFonts w:ascii="Arial" w:eastAsia="Arial" w:hAnsi="Arial" w:cs="Arial"/>
      <w:shd w:val="clear" w:color="auto" w:fill="FFFFFF"/>
    </w:rPr>
  </w:style>
  <w:style w:type="paragraph" w:customStyle="1" w:styleId="Cuerpodeltexto20">
    <w:name w:val="Cuerpo del texto (2)"/>
    <w:basedOn w:val="Normal"/>
    <w:link w:val="Cuerpodeltexto2"/>
    <w:rsid w:val="00E56F79"/>
    <w:pPr>
      <w:widowControl w:val="0"/>
      <w:shd w:val="clear" w:color="auto" w:fill="FFFFFF"/>
      <w:spacing w:before="780" w:after="0" w:line="254" w:lineRule="exact"/>
      <w:ind w:hanging="400"/>
      <w:jc w:val="both"/>
    </w:pPr>
    <w:rPr>
      <w:rFonts w:ascii="Arial" w:eastAsia="Arial" w:hAnsi="Arial" w:cs="Arial"/>
      <w:lang w:val="en-US"/>
    </w:rPr>
  </w:style>
  <w:style w:type="character" w:styleId="SubtleEmphasis">
    <w:name w:val="Subtle Emphasis"/>
    <w:basedOn w:val="DefaultParagraphFont"/>
    <w:uiPriority w:val="19"/>
    <w:qFormat/>
    <w:rsid w:val="00C50308"/>
    <w:rPr>
      <w:i/>
      <w:iCs/>
      <w:color w:val="404040" w:themeColor="text1" w:themeTint="BF"/>
    </w:rPr>
  </w:style>
  <w:style w:type="paragraph" w:customStyle="1" w:styleId="A-1">
    <w:name w:val="A-1"/>
    <w:basedOn w:val="Normal"/>
    <w:rsid w:val="00444E6B"/>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Cuerpodeltexto21">
    <w:name w:val="Cuerpo del texto (2)1"/>
    <w:basedOn w:val="Normal"/>
    <w:rsid w:val="00444E6B"/>
    <w:pPr>
      <w:widowControl w:val="0"/>
      <w:shd w:val="clear" w:color="auto" w:fill="FFFFFF"/>
      <w:spacing w:before="360" w:after="0" w:line="277" w:lineRule="exact"/>
      <w:ind w:hanging="500"/>
    </w:pPr>
    <w:rPr>
      <w:rFonts w:ascii="Arial" w:eastAsia="Arial" w:hAnsi="Arial" w:cs="Arial"/>
      <w:color w:val="000000"/>
      <w:lang w:val="es-ES" w:eastAsia="es-ES" w:bidi="es-ES"/>
    </w:rPr>
  </w:style>
  <w:style w:type="character" w:customStyle="1" w:styleId="ListParagraphChar">
    <w:name w:val="List Paragraph Char"/>
    <w:aliases w:val="Párrafo de asunto Char"/>
    <w:basedOn w:val="DefaultParagraphFont"/>
    <w:link w:val="ListParagraph"/>
    <w:uiPriority w:val="34"/>
    <w:locked/>
    <w:rsid w:val="000D111B"/>
    <w:rPr>
      <w:rFonts w:ascii="Calibri" w:eastAsia="Times New Roman" w:hAnsi="Calibri" w:cs="Times New Roman"/>
      <w:lang w:val="es-EC" w:eastAsia="es-EC"/>
    </w:rPr>
  </w:style>
  <w:style w:type="character" w:customStyle="1" w:styleId="Cuerpodeltexto29pto">
    <w:name w:val="Cuerpo del texto (2) + 9 pto"/>
    <w:basedOn w:val="Cuerpodeltexto2"/>
    <w:rsid w:val="0078175D"/>
    <w:rPr>
      <w:rFonts w:ascii="Arial" w:eastAsia="Arial" w:hAnsi="Arial" w:cs="Arial"/>
      <w:b w:val="0"/>
      <w:bCs w:val="0"/>
      <w:i w:val="0"/>
      <w:iCs w:val="0"/>
      <w:smallCaps w:val="0"/>
      <w:strike w:val="0"/>
      <w:color w:val="000000"/>
      <w:spacing w:val="0"/>
      <w:w w:val="100"/>
      <w:position w:val="0"/>
      <w:sz w:val="18"/>
      <w:szCs w:val="18"/>
      <w:u w:val="none"/>
      <w:shd w:val="clear" w:color="auto" w:fill="FFFFFF"/>
      <w:lang w:val="es-ES" w:eastAsia="es-ES" w:bidi="es-ES"/>
    </w:rPr>
  </w:style>
  <w:style w:type="character" w:customStyle="1" w:styleId="Cuerpodeltexto14">
    <w:name w:val="Cuerpo del texto (14)_"/>
    <w:basedOn w:val="DefaultParagraphFont"/>
    <w:link w:val="Cuerpodeltexto140"/>
    <w:rsid w:val="00734C49"/>
    <w:rPr>
      <w:rFonts w:ascii="Arial" w:eastAsia="Arial" w:hAnsi="Arial" w:cs="Arial"/>
      <w:b/>
      <w:bCs/>
      <w:sz w:val="38"/>
      <w:szCs w:val="38"/>
      <w:shd w:val="clear" w:color="auto" w:fill="FFFFFF"/>
    </w:rPr>
  </w:style>
  <w:style w:type="paragraph" w:customStyle="1" w:styleId="Cuerpodeltexto140">
    <w:name w:val="Cuerpo del texto (14)"/>
    <w:basedOn w:val="Normal"/>
    <w:link w:val="Cuerpodeltexto14"/>
    <w:rsid w:val="00734C49"/>
    <w:pPr>
      <w:widowControl w:val="0"/>
      <w:shd w:val="clear" w:color="auto" w:fill="FFFFFF"/>
      <w:spacing w:before="120" w:after="600" w:line="0" w:lineRule="atLeast"/>
      <w:jc w:val="both"/>
    </w:pPr>
    <w:rPr>
      <w:rFonts w:ascii="Arial" w:eastAsia="Arial" w:hAnsi="Arial" w:cs="Arial"/>
      <w:b/>
      <w:bCs/>
      <w:sz w:val="38"/>
      <w:szCs w:val="38"/>
      <w:lang w:val="en-US"/>
    </w:rPr>
  </w:style>
  <w:style w:type="paragraph" w:customStyle="1" w:styleId="Cuerpodeltexto23">
    <w:name w:val="Cuerpo del texto (2)3"/>
    <w:basedOn w:val="Normal"/>
    <w:rsid w:val="00D67DEE"/>
    <w:pPr>
      <w:widowControl w:val="0"/>
      <w:shd w:val="clear" w:color="auto" w:fill="FFFFFF"/>
      <w:spacing w:after="180" w:line="509" w:lineRule="exact"/>
      <w:ind w:hanging="520"/>
      <w:jc w:val="center"/>
    </w:pPr>
    <w:rPr>
      <w:rFonts w:ascii="Arial Unicode MS" w:eastAsia="Arial Unicode MS" w:hAnsi="Arial Unicode MS" w:cs="Arial Unicode MS"/>
      <w:color w:val="000000"/>
      <w:lang w:val="es-ES" w:eastAsia="es-ES" w:bidi="es-ES"/>
    </w:rPr>
  </w:style>
  <w:style w:type="character" w:customStyle="1" w:styleId="Cuerpodeltexto22">
    <w:name w:val="Cuerpo del texto (2)2"/>
    <w:basedOn w:val="Cuerpodeltexto2"/>
    <w:rsid w:val="00336494"/>
    <w:rPr>
      <w:rFonts w:ascii="Arial" w:eastAsia="Arial" w:hAnsi="Arial" w:cs="Arial"/>
      <w:b w:val="0"/>
      <w:bCs w:val="0"/>
      <w:i w:val="0"/>
      <w:iCs w:val="0"/>
      <w:smallCaps w:val="0"/>
      <w:strike w:val="0"/>
      <w:color w:val="000000"/>
      <w:spacing w:val="0"/>
      <w:w w:val="100"/>
      <w:position w:val="0"/>
      <w:sz w:val="22"/>
      <w:szCs w:val="22"/>
      <w:u w:val="single"/>
      <w:shd w:val="clear" w:color="auto" w:fill="FFFFFF"/>
      <w:lang w:val="es-ES" w:eastAsia="es-ES" w:bidi="es-ES"/>
    </w:rPr>
  </w:style>
  <w:style w:type="character" w:styleId="Hyperlink">
    <w:name w:val="Hyperlink"/>
    <w:basedOn w:val="DefaultParagraphFont"/>
    <w:uiPriority w:val="99"/>
    <w:semiHidden/>
    <w:unhideWhenUsed/>
    <w:rsid w:val="005211A2"/>
    <w:rPr>
      <w:color w:val="0000FF"/>
      <w:u w:val="single"/>
    </w:rPr>
  </w:style>
  <w:style w:type="character" w:customStyle="1" w:styleId="PrrafodelistaCar1">
    <w:name w:val="Párrafo de lista Car1"/>
    <w:aliases w:val="Párrafo de asunto Car1"/>
    <w:basedOn w:val="DefaultParagraphFont"/>
    <w:uiPriority w:val="34"/>
    <w:locked/>
    <w:rsid w:val="006A1EB9"/>
    <w:rPr>
      <w:rFonts w:ascii="Calibri" w:eastAsia="Times New Roman" w:hAnsi="Calibri" w:cs="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09">
      <w:bodyDiv w:val="1"/>
      <w:marLeft w:val="0"/>
      <w:marRight w:val="0"/>
      <w:marTop w:val="0"/>
      <w:marBottom w:val="0"/>
      <w:divBdr>
        <w:top w:val="none" w:sz="0" w:space="0" w:color="auto"/>
        <w:left w:val="none" w:sz="0" w:space="0" w:color="auto"/>
        <w:bottom w:val="none" w:sz="0" w:space="0" w:color="auto"/>
        <w:right w:val="none" w:sz="0" w:space="0" w:color="auto"/>
      </w:divBdr>
    </w:div>
    <w:div w:id="71125471">
      <w:bodyDiv w:val="1"/>
      <w:marLeft w:val="0"/>
      <w:marRight w:val="0"/>
      <w:marTop w:val="0"/>
      <w:marBottom w:val="0"/>
      <w:divBdr>
        <w:top w:val="none" w:sz="0" w:space="0" w:color="auto"/>
        <w:left w:val="none" w:sz="0" w:space="0" w:color="auto"/>
        <w:bottom w:val="none" w:sz="0" w:space="0" w:color="auto"/>
        <w:right w:val="none" w:sz="0" w:space="0" w:color="auto"/>
      </w:divBdr>
    </w:div>
    <w:div w:id="79186319">
      <w:bodyDiv w:val="1"/>
      <w:marLeft w:val="0"/>
      <w:marRight w:val="0"/>
      <w:marTop w:val="0"/>
      <w:marBottom w:val="0"/>
      <w:divBdr>
        <w:top w:val="none" w:sz="0" w:space="0" w:color="auto"/>
        <w:left w:val="none" w:sz="0" w:space="0" w:color="auto"/>
        <w:bottom w:val="none" w:sz="0" w:space="0" w:color="auto"/>
        <w:right w:val="none" w:sz="0" w:space="0" w:color="auto"/>
      </w:divBdr>
    </w:div>
    <w:div w:id="103693169">
      <w:bodyDiv w:val="1"/>
      <w:marLeft w:val="0"/>
      <w:marRight w:val="0"/>
      <w:marTop w:val="0"/>
      <w:marBottom w:val="0"/>
      <w:divBdr>
        <w:top w:val="none" w:sz="0" w:space="0" w:color="auto"/>
        <w:left w:val="none" w:sz="0" w:space="0" w:color="auto"/>
        <w:bottom w:val="none" w:sz="0" w:space="0" w:color="auto"/>
        <w:right w:val="none" w:sz="0" w:space="0" w:color="auto"/>
      </w:divBdr>
    </w:div>
    <w:div w:id="117529694">
      <w:bodyDiv w:val="1"/>
      <w:marLeft w:val="0"/>
      <w:marRight w:val="0"/>
      <w:marTop w:val="0"/>
      <w:marBottom w:val="0"/>
      <w:divBdr>
        <w:top w:val="none" w:sz="0" w:space="0" w:color="auto"/>
        <w:left w:val="none" w:sz="0" w:space="0" w:color="auto"/>
        <w:bottom w:val="none" w:sz="0" w:space="0" w:color="auto"/>
        <w:right w:val="none" w:sz="0" w:space="0" w:color="auto"/>
      </w:divBdr>
    </w:div>
    <w:div w:id="120732800">
      <w:bodyDiv w:val="1"/>
      <w:marLeft w:val="0"/>
      <w:marRight w:val="0"/>
      <w:marTop w:val="0"/>
      <w:marBottom w:val="0"/>
      <w:divBdr>
        <w:top w:val="none" w:sz="0" w:space="0" w:color="auto"/>
        <w:left w:val="none" w:sz="0" w:space="0" w:color="auto"/>
        <w:bottom w:val="none" w:sz="0" w:space="0" w:color="auto"/>
        <w:right w:val="none" w:sz="0" w:space="0" w:color="auto"/>
      </w:divBdr>
    </w:div>
    <w:div w:id="130907821">
      <w:bodyDiv w:val="1"/>
      <w:marLeft w:val="0"/>
      <w:marRight w:val="0"/>
      <w:marTop w:val="0"/>
      <w:marBottom w:val="0"/>
      <w:divBdr>
        <w:top w:val="none" w:sz="0" w:space="0" w:color="auto"/>
        <w:left w:val="none" w:sz="0" w:space="0" w:color="auto"/>
        <w:bottom w:val="none" w:sz="0" w:space="0" w:color="auto"/>
        <w:right w:val="none" w:sz="0" w:space="0" w:color="auto"/>
      </w:divBdr>
    </w:div>
    <w:div w:id="131556448">
      <w:bodyDiv w:val="1"/>
      <w:marLeft w:val="0"/>
      <w:marRight w:val="0"/>
      <w:marTop w:val="0"/>
      <w:marBottom w:val="0"/>
      <w:divBdr>
        <w:top w:val="none" w:sz="0" w:space="0" w:color="auto"/>
        <w:left w:val="none" w:sz="0" w:space="0" w:color="auto"/>
        <w:bottom w:val="none" w:sz="0" w:space="0" w:color="auto"/>
        <w:right w:val="none" w:sz="0" w:space="0" w:color="auto"/>
      </w:divBdr>
    </w:div>
    <w:div w:id="141626164">
      <w:bodyDiv w:val="1"/>
      <w:marLeft w:val="0"/>
      <w:marRight w:val="0"/>
      <w:marTop w:val="0"/>
      <w:marBottom w:val="0"/>
      <w:divBdr>
        <w:top w:val="none" w:sz="0" w:space="0" w:color="auto"/>
        <w:left w:val="none" w:sz="0" w:space="0" w:color="auto"/>
        <w:bottom w:val="none" w:sz="0" w:space="0" w:color="auto"/>
        <w:right w:val="none" w:sz="0" w:space="0" w:color="auto"/>
      </w:divBdr>
    </w:div>
    <w:div w:id="156651681">
      <w:bodyDiv w:val="1"/>
      <w:marLeft w:val="0"/>
      <w:marRight w:val="0"/>
      <w:marTop w:val="0"/>
      <w:marBottom w:val="0"/>
      <w:divBdr>
        <w:top w:val="none" w:sz="0" w:space="0" w:color="auto"/>
        <w:left w:val="none" w:sz="0" w:space="0" w:color="auto"/>
        <w:bottom w:val="none" w:sz="0" w:space="0" w:color="auto"/>
        <w:right w:val="none" w:sz="0" w:space="0" w:color="auto"/>
      </w:divBdr>
    </w:div>
    <w:div w:id="174616279">
      <w:bodyDiv w:val="1"/>
      <w:marLeft w:val="0"/>
      <w:marRight w:val="0"/>
      <w:marTop w:val="0"/>
      <w:marBottom w:val="0"/>
      <w:divBdr>
        <w:top w:val="none" w:sz="0" w:space="0" w:color="auto"/>
        <w:left w:val="none" w:sz="0" w:space="0" w:color="auto"/>
        <w:bottom w:val="none" w:sz="0" w:space="0" w:color="auto"/>
        <w:right w:val="none" w:sz="0" w:space="0" w:color="auto"/>
      </w:divBdr>
    </w:div>
    <w:div w:id="197742661">
      <w:bodyDiv w:val="1"/>
      <w:marLeft w:val="0"/>
      <w:marRight w:val="0"/>
      <w:marTop w:val="0"/>
      <w:marBottom w:val="0"/>
      <w:divBdr>
        <w:top w:val="none" w:sz="0" w:space="0" w:color="auto"/>
        <w:left w:val="none" w:sz="0" w:space="0" w:color="auto"/>
        <w:bottom w:val="none" w:sz="0" w:space="0" w:color="auto"/>
        <w:right w:val="none" w:sz="0" w:space="0" w:color="auto"/>
      </w:divBdr>
    </w:div>
    <w:div w:id="225645944">
      <w:bodyDiv w:val="1"/>
      <w:marLeft w:val="0"/>
      <w:marRight w:val="0"/>
      <w:marTop w:val="0"/>
      <w:marBottom w:val="0"/>
      <w:divBdr>
        <w:top w:val="none" w:sz="0" w:space="0" w:color="auto"/>
        <w:left w:val="none" w:sz="0" w:space="0" w:color="auto"/>
        <w:bottom w:val="none" w:sz="0" w:space="0" w:color="auto"/>
        <w:right w:val="none" w:sz="0" w:space="0" w:color="auto"/>
      </w:divBdr>
    </w:div>
    <w:div w:id="231085786">
      <w:bodyDiv w:val="1"/>
      <w:marLeft w:val="0"/>
      <w:marRight w:val="0"/>
      <w:marTop w:val="0"/>
      <w:marBottom w:val="0"/>
      <w:divBdr>
        <w:top w:val="none" w:sz="0" w:space="0" w:color="auto"/>
        <w:left w:val="none" w:sz="0" w:space="0" w:color="auto"/>
        <w:bottom w:val="none" w:sz="0" w:space="0" w:color="auto"/>
        <w:right w:val="none" w:sz="0" w:space="0" w:color="auto"/>
      </w:divBdr>
    </w:div>
    <w:div w:id="245044493">
      <w:bodyDiv w:val="1"/>
      <w:marLeft w:val="0"/>
      <w:marRight w:val="0"/>
      <w:marTop w:val="0"/>
      <w:marBottom w:val="0"/>
      <w:divBdr>
        <w:top w:val="none" w:sz="0" w:space="0" w:color="auto"/>
        <w:left w:val="none" w:sz="0" w:space="0" w:color="auto"/>
        <w:bottom w:val="none" w:sz="0" w:space="0" w:color="auto"/>
        <w:right w:val="none" w:sz="0" w:space="0" w:color="auto"/>
      </w:divBdr>
    </w:div>
    <w:div w:id="258492967">
      <w:bodyDiv w:val="1"/>
      <w:marLeft w:val="0"/>
      <w:marRight w:val="0"/>
      <w:marTop w:val="0"/>
      <w:marBottom w:val="0"/>
      <w:divBdr>
        <w:top w:val="none" w:sz="0" w:space="0" w:color="auto"/>
        <w:left w:val="none" w:sz="0" w:space="0" w:color="auto"/>
        <w:bottom w:val="none" w:sz="0" w:space="0" w:color="auto"/>
        <w:right w:val="none" w:sz="0" w:space="0" w:color="auto"/>
      </w:divBdr>
    </w:div>
    <w:div w:id="272708862">
      <w:bodyDiv w:val="1"/>
      <w:marLeft w:val="0"/>
      <w:marRight w:val="0"/>
      <w:marTop w:val="0"/>
      <w:marBottom w:val="0"/>
      <w:divBdr>
        <w:top w:val="none" w:sz="0" w:space="0" w:color="auto"/>
        <w:left w:val="none" w:sz="0" w:space="0" w:color="auto"/>
        <w:bottom w:val="none" w:sz="0" w:space="0" w:color="auto"/>
        <w:right w:val="none" w:sz="0" w:space="0" w:color="auto"/>
      </w:divBdr>
    </w:div>
    <w:div w:id="279535562">
      <w:bodyDiv w:val="1"/>
      <w:marLeft w:val="0"/>
      <w:marRight w:val="0"/>
      <w:marTop w:val="0"/>
      <w:marBottom w:val="0"/>
      <w:divBdr>
        <w:top w:val="none" w:sz="0" w:space="0" w:color="auto"/>
        <w:left w:val="none" w:sz="0" w:space="0" w:color="auto"/>
        <w:bottom w:val="none" w:sz="0" w:space="0" w:color="auto"/>
        <w:right w:val="none" w:sz="0" w:space="0" w:color="auto"/>
      </w:divBdr>
    </w:div>
    <w:div w:id="284196529">
      <w:bodyDiv w:val="1"/>
      <w:marLeft w:val="0"/>
      <w:marRight w:val="0"/>
      <w:marTop w:val="0"/>
      <w:marBottom w:val="0"/>
      <w:divBdr>
        <w:top w:val="none" w:sz="0" w:space="0" w:color="auto"/>
        <w:left w:val="none" w:sz="0" w:space="0" w:color="auto"/>
        <w:bottom w:val="none" w:sz="0" w:space="0" w:color="auto"/>
        <w:right w:val="none" w:sz="0" w:space="0" w:color="auto"/>
      </w:divBdr>
    </w:div>
    <w:div w:id="297999326">
      <w:bodyDiv w:val="1"/>
      <w:marLeft w:val="0"/>
      <w:marRight w:val="0"/>
      <w:marTop w:val="0"/>
      <w:marBottom w:val="0"/>
      <w:divBdr>
        <w:top w:val="none" w:sz="0" w:space="0" w:color="auto"/>
        <w:left w:val="none" w:sz="0" w:space="0" w:color="auto"/>
        <w:bottom w:val="none" w:sz="0" w:space="0" w:color="auto"/>
        <w:right w:val="none" w:sz="0" w:space="0" w:color="auto"/>
      </w:divBdr>
    </w:div>
    <w:div w:id="318729129">
      <w:bodyDiv w:val="1"/>
      <w:marLeft w:val="0"/>
      <w:marRight w:val="0"/>
      <w:marTop w:val="0"/>
      <w:marBottom w:val="0"/>
      <w:divBdr>
        <w:top w:val="none" w:sz="0" w:space="0" w:color="auto"/>
        <w:left w:val="none" w:sz="0" w:space="0" w:color="auto"/>
        <w:bottom w:val="none" w:sz="0" w:space="0" w:color="auto"/>
        <w:right w:val="none" w:sz="0" w:space="0" w:color="auto"/>
      </w:divBdr>
    </w:div>
    <w:div w:id="410002303">
      <w:bodyDiv w:val="1"/>
      <w:marLeft w:val="0"/>
      <w:marRight w:val="0"/>
      <w:marTop w:val="0"/>
      <w:marBottom w:val="0"/>
      <w:divBdr>
        <w:top w:val="none" w:sz="0" w:space="0" w:color="auto"/>
        <w:left w:val="none" w:sz="0" w:space="0" w:color="auto"/>
        <w:bottom w:val="none" w:sz="0" w:space="0" w:color="auto"/>
        <w:right w:val="none" w:sz="0" w:space="0" w:color="auto"/>
      </w:divBdr>
    </w:div>
    <w:div w:id="413212744">
      <w:bodyDiv w:val="1"/>
      <w:marLeft w:val="0"/>
      <w:marRight w:val="0"/>
      <w:marTop w:val="0"/>
      <w:marBottom w:val="0"/>
      <w:divBdr>
        <w:top w:val="none" w:sz="0" w:space="0" w:color="auto"/>
        <w:left w:val="none" w:sz="0" w:space="0" w:color="auto"/>
        <w:bottom w:val="none" w:sz="0" w:space="0" w:color="auto"/>
        <w:right w:val="none" w:sz="0" w:space="0" w:color="auto"/>
      </w:divBdr>
    </w:div>
    <w:div w:id="427432780">
      <w:bodyDiv w:val="1"/>
      <w:marLeft w:val="0"/>
      <w:marRight w:val="0"/>
      <w:marTop w:val="0"/>
      <w:marBottom w:val="0"/>
      <w:divBdr>
        <w:top w:val="none" w:sz="0" w:space="0" w:color="auto"/>
        <w:left w:val="none" w:sz="0" w:space="0" w:color="auto"/>
        <w:bottom w:val="none" w:sz="0" w:space="0" w:color="auto"/>
        <w:right w:val="none" w:sz="0" w:space="0" w:color="auto"/>
      </w:divBdr>
    </w:div>
    <w:div w:id="457187487">
      <w:bodyDiv w:val="1"/>
      <w:marLeft w:val="0"/>
      <w:marRight w:val="0"/>
      <w:marTop w:val="0"/>
      <w:marBottom w:val="0"/>
      <w:divBdr>
        <w:top w:val="none" w:sz="0" w:space="0" w:color="auto"/>
        <w:left w:val="none" w:sz="0" w:space="0" w:color="auto"/>
        <w:bottom w:val="none" w:sz="0" w:space="0" w:color="auto"/>
        <w:right w:val="none" w:sz="0" w:space="0" w:color="auto"/>
      </w:divBdr>
    </w:div>
    <w:div w:id="509107393">
      <w:bodyDiv w:val="1"/>
      <w:marLeft w:val="0"/>
      <w:marRight w:val="0"/>
      <w:marTop w:val="0"/>
      <w:marBottom w:val="0"/>
      <w:divBdr>
        <w:top w:val="none" w:sz="0" w:space="0" w:color="auto"/>
        <w:left w:val="none" w:sz="0" w:space="0" w:color="auto"/>
        <w:bottom w:val="none" w:sz="0" w:space="0" w:color="auto"/>
        <w:right w:val="none" w:sz="0" w:space="0" w:color="auto"/>
      </w:divBdr>
    </w:div>
    <w:div w:id="512183598">
      <w:bodyDiv w:val="1"/>
      <w:marLeft w:val="0"/>
      <w:marRight w:val="0"/>
      <w:marTop w:val="0"/>
      <w:marBottom w:val="0"/>
      <w:divBdr>
        <w:top w:val="none" w:sz="0" w:space="0" w:color="auto"/>
        <w:left w:val="none" w:sz="0" w:space="0" w:color="auto"/>
        <w:bottom w:val="none" w:sz="0" w:space="0" w:color="auto"/>
        <w:right w:val="none" w:sz="0" w:space="0" w:color="auto"/>
      </w:divBdr>
    </w:div>
    <w:div w:id="527642804">
      <w:bodyDiv w:val="1"/>
      <w:marLeft w:val="0"/>
      <w:marRight w:val="0"/>
      <w:marTop w:val="0"/>
      <w:marBottom w:val="0"/>
      <w:divBdr>
        <w:top w:val="none" w:sz="0" w:space="0" w:color="auto"/>
        <w:left w:val="none" w:sz="0" w:space="0" w:color="auto"/>
        <w:bottom w:val="none" w:sz="0" w:space="0" w:color="auto"/>
        <w:right w:val="none" w:sz="0" w:space="0" w:color="auto"/>
      </w:divBdr>
    </w:div>
    <w:div w:id="544492670">
      <w:bodyDiv w:val="1"/>
      <w:marLeft w:val="0"/>
      <w:marRight w:val="0"/>
      <w:marTop w:val="0"/>
      <w:marBottom w:val="0"/>
      <w:divBdr>
        <w:top w:val="none" w:sz="0" w:space="0" w:color="auto"/>
        <w:left w:val="none" w:sz="0" w:space="0" w:color="auto"/>
        <w:bottom w:val="none" w:sz="0" w:space="0" w:color="auto"/>
        <w:right w:val="none" w:sz="0" w:space="0" w:color="auto"/>
      </w:divBdr>
    </w:div>
    <w:div w:id="555706101">
      <w:bodyDiv w:val="1"/>
      <w:marLeft w:val="0"/>
      <w:marRight w:val="0"/>
      <w:marTop w:val="0"/>
      <w:marBottom w:val="0"/>
      <w:divBdr>
        <w:top w:val="none" w:sz="0" w:space="0" w:color="auto"/>
        <w:left w:val="none" w:sz="0" w:space="0" w:color="auto"/>
        <w:bottom w:val="none" w:sz="0" w:space="0" w:color="auto"/>
        <w:right w:val="none" w:sz="0" w:space="0" w:color="auto"/>
      </w:divBdr>
    </w:div>
    <w:div w:id="560336886">
      <w:bodyDiv w:val="1"/>
      <w:marLeft w:val="0"/>
      <w:marRight w:val="0"/>
      <w:marTop w:val="0"/>
      <w:marBottom w:val="0"/>
      <w:divBdr>
        <w:top w:val="none" w:sz="0" w:space="0" w:color="auto"/>
        <w:left w:val="none" w:sz="0" w:space="0" w:color="auto"/>
        <w:bottom w:val="none" w:sz="0" w:space="0" w:color="auto"/>
        <w:right w:val="none" w:sz="0" w:space="0" w:color="auto"/>
      </w:divBdr>
    </w:div>
    <w:div w:id="571278165">
      <w:bodyDiv w:val="1"/>
      <w:marLeft w:val="0"/>
      <w:marRight w:val="0"/>
      <w:marTop w:val="0"/>
      <w:marBottom w:val="0"/>
      <w:divBdr>
        <w:top w:val="none" w:sz="0" w:space="0" w:color="auto"/>
        <w:left w:val="none" w:sz="0" w:space="0" w:color="auto"/>
        <w:bottom w:val="none" w:sz="0" w:space="0" w:color="auto"/>
        <w:right w:val="none" w:sz="0" w:space="0" w:color="auto"/>
      </w:divBdr>
    </w:div>
    <w:div w:id="571356888">
      <w:bodyDiv w:val="1"/>
      <w:marLeft w:val="0"/>
      <w:marRight w:val="0"/>
      <w:marTop w:val="0"/>
      <w:marBottom w:val="0"/>
      <w:divBdr>
        <w:top w:val="none" w:sz="0" w:space="0" w:color="auto"/>
        <w:left w:val="none" w:sz="0" w:space="0" w:color="auto"/>
        <w:bottom w:val="none" w:sz="0" w:space="0" w:color="auto"/>
        <w:right w:val="none" w:sz="0" w:space="0" w:color="auto"/>
      </w:divBdr>
    </w:div>
    <w:div w:id="572396113">
      <w:bodyDiv w:val="1"/>
      <w:marLeft w:val="0"/>
      <w:marRight w:val="0"/>
      <w:marTop w:val="0"/>
      <w:marBottom w:val="0"/>
      <w:divBdr>
        <w:top w:val="none" w:sz="0" w:space="0" w:color="auto"/>
        <w:left w:val="none" w:sz="0" w:space="0" w:color="auto"/>
        <w:bottom w:val="none" w:sz="0" w:space="0" w:color="auto"/>
        <w:right w:val="none" w:sz="0" w:space="0" w:color="auto"/>
      </w:divBdr>
    </w:div>
    <w:div w:id="607663831">
      <w:bodyDiv w:val="1"/>
      <w:marLeft w:val="0"/>
      <w:marRight w:val="0"/>
      <w:marTop w:val="0"/>
      <w:marBottom w:val="0"/>
      <w:divBdr>
        <w:top w:val="none" w:sz="0" w:space="0" w:color="auto"/>
        <w:left w:val="none" w:sz="0" w:space="0" w:color="auto"/>
        <w:bottom w:val="none" w:sz="0" w:space="0" w:color="auto"/>
        <w:right w:val="none" w:sz="0" w:space="0" w:color="auto"/>
      </w:divBdr>
    </w:div>
    <w:div w:id="617487263">
      <w:bodyDiv w:val="1"/>
      <w:marLeft w:val="0"/>
      <w:marRight w:val="0"/>
      <w:marTop w:val="0"/>
      <w:marBottom w:val="0"/>
      <w:divBdr>
        <w:top w:val="none" w:sz="0" w:space="0" w:color="auto"/>
        <w:left w:val="none" w:sz="0" w:space="0" w:color="auto"/>
        <w:bottom w:val="none" w:sz="0" w:space="0" w:color="auto"/>
        <w:right w:val="none" w:sz="0" w:space="0" w:color="auto"/>
      </w:divBdr>
    </w:div>
    <w:div w:id="654382161">
      <w:bodyDiv w:val="1"/>
      <w:marLeft w:val="0"/>
      <w:marRight w:val="0"/>
      <w:marTop w:val="0"/>
      <w:marBottom w:val="0"/>
      <w:divBdr>
        <w:top w:val="none" w:sz="0" w:space="0" w:color="auto"/>
        <w:left w:val="none" w:sz="0" w:space="0" w:color="auto"/>
        <w:bottom w:val="none" w:sz="0" w:space="0" w:color="auto"/>
        <w:right w:val="none" w:sz="0" w:space="0" w:color="auto"/>
      </w:divBdr>
    </w:div>
    <w:div w:id="671834765">
      <w:bodyDiv w:val="1"/>
      <w:marLeft w:val="0"/>
      <w:marRight w:val="0"/>
      <w:marTop w:val="0"/>
      <w:marBottom w:val="0"/>
      <w:divBdr>
        <w:top w:val="none" w:sz="0" w:space="0" w:color="auto"/>
        <w:left w:val="none" w:sz="0" w:space="0" w:color="auto"/>
        <w:bottom w:val="none" w:sz="0" w:space="0" w:color="auto"/>
        <w:right w:val="none" w:sz="0" w:space="0" w:color="auto"/>
      </w:divBdr>
    </w:div>
    <w:div w:id="674693491">
      <w:bodyDiv w:val="1"/>
      <w:marLeft w:val="0"/>
      <w:marRight w:val="0"/>
      <w:marTop w:val="0"/>
      <w:marBottom w:val="0"/>
      <w:divBdr>
        <w:top w:val="none" w:sz="0" w:space="0" w:color="auto"/>
        <w:left w:val="none" w:sz="0" w:space="0" w:color="auto"/>
        <w:bottom w:val="none" w:sz="0" w:space="0" w:color="auto"/>
        <w:right w:val="none" w:sz="0" w:space="0" w:color="auto"/>
      </w:divBdr>
    </w:div>
    <w:div w:id="681585424">
      <w:bodyDiv w:val="1"/>
      <w:marLeft w:val="0"/>
      <w:marRight w:val="0"/>
      <w:marTop w:val="0"/>
      <w:marBottom w:val="0"/>
      <w:divBdr>
        <w:top w:val="none" w:sz="0" w:space="0" w:color="auto"/>
        <w:left w:val="none" w:sz="0" w:space="0" w:color="auto"/>
        <w:bottom w:val="none" w:sz="0" w:space="0" w:color="auto"/>
        <w:right w:val="none" w:sz="0" w:space="0" w:color="auto"/>
      </w:divBdr>
    </w:div>
    <w:div w:id="688144842">
      <w:bodyDiv w:val="1"/>
      <w:marLeft w:val="0"/>
      <w:marRight w:val="0"/>
      <w:marTop w:val="0"/>
      <w:marBottom w:val="0"/>
      <w:divBdr>
        <w:top w:val="none" w:sz="0" w:space="0" w:color="auto"/>
        <w:left w:val="none" w:sz="0" w:space="0" w:color="auto"/>
        <w:bottom w:val="none" w:sz="0" w:space="0" w:color="auto"/>
        <w:right w:val="none" w:sz="0" w:space="0" w:color="auto"/>
      </w:divBdr>
    </w:div>
    <w:div w:id="699934747">
      <w:bodyDiv w:val="1"/>
      <w:marLeft w:val="0"/>
      <w:marRight w:val="0"/>
      <w:marTop w:val="0"/>
      <w:marBottom w:val="0"/>
      <w:divBdr>
        <w:top w:val="none" w:sz="0" w:space="0" w:color="auto"/>
        <w:left w:val="none" w:sz="0" w:space="0" w:color="auto"/>
        <w:bottom w:val="none" w:sz="0" w:space="0" w:color="auto"/>
        <w:right w:val="none" w:sz="0" w:space="0" w:color="auto"/>
      </w:divBdr>
    </w:div>
    <w:div w:id="714698469">
      <w:bodyDiv w:val="1"/>
      <w:marLeft w:val="0"/>
      <w:marRight w:val="0"/>
      <w:marTop w:val="0"/>
      <w:marBottom w:val="0"/>
      <w:divBdr>
        <w:top w:val="none" w:sz="0" w:space="0" w:color="auto"/>
        <w:left w:val="none" w:sz="0" w:space="0" w:color="auto"/>
        <w:bottom w:val="none" w:sz="0" w:space="0" w:color="auto"/>
        <w:right w:val="none" w:sz="0" w:space="0" w:color="auto"/>
      </w:divBdr>
    </w:div>
    <w:div w:id="715860478">
      <w:bodyDiv w:val="1"/>
      <w:marLeft w:val="0"/>
      <w:marRight w:val="0"/>
      <w:marTop w:val="0"/>
      <w:marBottom w:val="0"/>
      <w:divBdr>
        <w:top w:val="none" w:sz="0" w:space="0" w:color="auto"/>
        <w:left w:val="none" w:sz="0" w:space="0" w:color="auto"/>
        <w:bottom w:val="none" w:sz="0" w:space="0" w:color="auto"/>
        <w:right w:val="none" w:sz="0" w:space="0" w:color="auto"/>
      </w:divBdr>
    </w:div>
    <w:div w:id="718676066">
      <w:bodyDiv w:val="1"/>
      <w:marLeft w:val="0"/>
      <w:marRight w:val="0"/>
      <w:marTop w:val="0"/>
      <w:marBottom w:val="0"/>
      <w:divBdr>
        <w:top w:val="none" w:sz="0" w:space="0" w:color="auto"/>
        <w:left w:val="none" w:sz="0" w:space="0" w:color="auto"/>
        <w:bottom w:val="none" w:sz="0" w:space="0" w:color="auto"/>
        <w:right w:val="none" w:sz="0" w:space="0" w:color="auto"/>
      </w:divBdr>
    </w:div>
    <w:div w:id="729231582">
      <w:bodyDiv w:val="1"/>
      <w:marLeft w:val="0"/>
      <w:marRight w:val="0"/>
      <w:marTop w:val="0"/>
      <w:marBottom w:val="0"/>
      <w:divBdr>
        <w:top w:val="none" w:sz="0" w:space="0" w:color="auto"/>
        <w:left w:val="none" w:sz="0" w:space="0" w:color="auto"/>
        <w:bottom w:val="none" w:sz="0" w:space="0" w:color="auto"/>
        <w:right w:val="none" w:sz="0" w:space="0" w:color="auto"/>
      </w:divBdr>
    </w:div>
    <w:div w:id="731663039">
      <w:bodyDiv w:val="1"/>
      <w:marLeft w:val="0"/>
      <w:marRight w:val="0"/>
      <w:marTop w:val="0"/>
      <w:marBottom w:val="0"/>
      <w:divBdr>
        <w:top w:val="none" w:sz="0" w:space="0" w:color="auto"/>
        <w:left w:val="none" w:sz="0" w:space="0" w:color="auto"/>
        <w:bottom w:val="none" w:sz="0" w:space="0" w:color="auto"/>
        <w:right w:val="none" w:sz="0" w:space="0" w:color="auto"/>
      </w:divBdr>
    </w:div>
    <w:div w:id="744762015">
      <w:bodyDiv w:val="1"/>
      <w:marLeft w:val="0"/>
      <w:marRight w:val="0"/>
      <w:marTop w:val="0"/>
      <w:marBottom w:val="0"/>
      <w:divBdr>
        <w:top w:val="none" w:sz="0" w:space="0" w:color="auto"/>
        <w:left w:val="none" w:sz="0" w:space="0" w:color="auto"/>
        <w:bottom w:val="none" w:sz="0" w:space="0" w:color="auto"/>
        <w:right w:val="none" w:sz="0" w:space="0" w:color="auto"/>
      </w:divBdr>
    </w:div>
    <w:div w:id="761990473">
      <w:bodyDiv w:val="1"/>
      <w:marLeft w:val="0"/>
      <w:marRight w:val="0"/>
      <w:marTop w:val="0"/>
      <w:marBottom w:val="0"/>
      <w:divBdr>
        <w:top w:val="none" w:sz="0" w:space="0" w:color="auto"/>
        <w:left w:val="none" w:sz="0" w:space="0" w:color="auto"/>
        <w:bottom w:val="none" w:sz="0" w:space="0" w:color="auto"/>
        <w:right w:val="none" w:sz="0" w:space="0" w:color="auto"/>
      </w:divBdr>
    </w:div>
    <w:div w:id="790436510">
      <w:bodyDiv w:val="1"/>
      <w:marLeft w:val="0"/>
      <w:marRight w:val="0"/>
      <w:marTop w:val="0"/>
      <w:marBottom w:val="0"/>
      <w:divBdr>
        <w:top w:val="none" w:sz="0" w:space="0" w:color="auto"/>
        <w:left w:val="none" w:sz="0" w:space="0" w:color="auto"/>
        <w:bottom w:val="none" w:sz="0" w:space="0" w:color="auto"/>
        <w:right w:val="none" w:sz="0" w:space="0" w:color="auto"/>
      </w:divBdr>
    </w:div>
    <w:div w:id="819924860">
      <w:bodyDiv w:val="1"/>
      <w:marLeft w:val="0"/>
      <w:marRight w:val="0"/>
      <w:marTop w:val="0"/>
      <w:marBottom w:val="0"/>
      <w:divBdr>
        <w:top w:val="none" w:sz="0" w:space="0" w:color="auto"/>
        <w:left w:val="none" w:sz="0" w:space="0" w:color="auto"/>
        <w:bottom w:val="none" w:sz="0" w:space="0" w:color="auto"/>
        <w:right w:val="none" w:sz="0" w:space="0" w:color="auto"/>
      </w:divBdr>
    </w:div>
    <w:div w:id="839078055">
      <w:bodyDiv w:val="1"/>
      <w:marLeft w:val="0"/>
      <w:marRight w:val="0"/>
      <w:marTop w:val="0"/>
      <w:marBottom w:val="0"/>
      <w:divBdr>
        <w:top w:val="none" w:sz="0" w:space="0" w:color="auto"/>
        <w:left w:val="none" w:sz="0" w:space="0" w:color="auto"/>
        <w:bottom w:val="none" w:sz="0" w:space="0" w:color="auto"/>
        <w:right w:val="none" w:sz="0" w:space="0" w:color="auto"/>
      </w:divBdr>
    </w:div>
    <w:div w:id="842088832">
      <w:bodyDiv w:val="1"/>
      <w:marLeft w:val="0"/>
      <w:marRight w:val="0"/>
      <w:marTop w:val="0"/>
      <w:marBottom w:val="0"/>
      <w:divBdr>
        <w:top w:val="none" w:sz="0" w:space="0" w:color="auto"/>
        <w:left w:val="none" w:sz="0" w:space="0" w:color="auto"/>
        <w:bottom w:val="none" w:sz="0" w:space="0" w:color="auto"/>
        <w:right w:val="none" w:sz="0" w:space="0" w:color="auto"/>
      </w:divBdr>
    </w:div>
    <w:div w:id="844902666">
      <w:bodyDiv w:val="1"/>
      <w:marLeft w:val="0"/>
      <w:marRight w:val="0"/>
      <w:marTop w:val="0"/>
      <w:marBottom w:val="0"/>
      <w:divBdr>
        <w:top w:val="none" w:sz="0" w:space="0" w:color="auto"/>
        <w:left w:val="none" w:sz="0" w:space="0" w:color="auto"/>
        <w:bottom w:val="none" w:sz="0" w:space="0" w:color="auto"/>
        <w:right w:val="none" w:sz="0" w:space="0" w:color="auto"/>
      </w:divBdr>
    </w:div>
    <w:div w:id="869999080">
      <w:bodyDiv w:val="1"/>
      <w:marLeft w:val="0"/>
      <w:marRight w:val="0"/>
      <w:marTop w:val="0"/>
      <w:marBottom w:val="0"/>
      <w:divBdr>
        <w:top w:val="none" w:sz="0" w:space="0" w:color="auto"/>
        <w:left w:val="none" w:sz="0" w:space="0" w:color="auto"/>
        <w:bottom w:val="none" w:sz="0" w:space="0" w:color="auto"/>
        <w:right w:val="none" w:sz="0" w:space="0" w:color="auto"/>
      </w:divBdr>
    </w:div>
    <w:div w:id="877547350">
      <w:bodyDiv w:val="1"/>
      <w:marLeft w:val="0"/>
      <w:marRight w:val="0"/>
      <w:marTop w:val="0"/>
      <w:marBottom w:val="0"/>
      <w:divBdr>
        <w:top w:val="none" w:sz="0" w:space="0" w:color="auto"/>
        <w:left w:val="none" w:sz="0" w:space="0" w:color="auto"/>
        <w:bottom w:val="none" w:sz="0" w:space="0" w:color="auto"/>
        <w:right w:val="none" w:sz="0" w:space="0" w:color="auto"/>
      </w:divBdr>
    </w:div>
    <w:div w:id="890506593">
      <w:bodyDiv w:val="1"/>
      <w:marLeft w:val="0"/>
      <w:marRight w:val="0"/>
      <w:marTop w:val="0"/>
      <w:marBottom w:val="0"/>
      <w:divBdr>
        <w:top w:val="none" w:sz="0" w:space="0" w:color="auto"/>
        <w:left w:val="none" w:sz="0" w:space="0" w:color="auto"/>
        <w:bottom w:val="none" w:sz="0" w:space="0" w:color="auto"/>
        <w:right w:val="none" w:sz="0" w:space="0" w:color="auto"/>
      </w:divBdr>
    </w:div>
    <w:div w:id="930742839">
      <w:bodyDiv w:val="1"/>
      <w:marLeft w:val="0"/>
      <w:marRight w:val="0"/>
      <w:marTop w:val="0"/>
      <w:marBottom w:val="0"/>
      <w:divBdr>
        <w:top w:val="none" w:sz="0" w:space="0" w:color="auto"/>
        <w:left w:val="none" w:sz="0" w:space="0" w:color="auto"/>
        <w:bottom w:val="none" w:sz="0" w:space="0" w:color="auto"/>
        <w:right w:val="none" w:sz="0" w:space="0" w:color="auto"/>
      </w:divBdr>
    </w:div>
    <w:div w:id="944113217">
      <w:bodyDiv w:val="1"/>
      <w:marLeft w:val="0"/>
      <w:marRight w:val="0"/>
      <w:marTop w:val="0"/>
      <w:marBottom w:val="0"/>
      <w:divBdr>
        <w:top w:val="none" w:sz="0" w:space="0" w:color="auto"/>
        <w:left w:val="none" w:sz="0" w:space="0" w:color="auto"/>
        <w:bottom w:val="none" w:sz="0" w:space="0" w:color="auto"/>
        <w:right w:val="none" w:sz="0" w:space="0" w:color="auto"/>
      </w:divBdr>
    </w:div>
    <w:div w:id="948659575">
      <w:bodyDiv w:val="1"/>
      <w:marLeft w:val="0"/>
      <w:marRight w:val="0"/>
      <w:marTop w:val="0"/>
      <w:marBottom w:val="0"/>
      <w:divBdr>
        <w:top w:val="none" w:sz="0" w:space="0" w:color="auto"/>
        <w:left w:val="none" w:sz="0" w:space="0" w:color="auto"/>
        <w:bottom w:val="none" w:sz="0" w:space="0" w:color="auto"/>
        <w:right w:val="none" w:sz="0" w:space="0" w:color="auto"/>
      </w:divBdr>
    </w:div>
    <w:div w:id="983126507">
      <w:bodyDiv w:val="1"/>
      <w:marLeft w:val="0"/>
      <w:marRight w:val="0"/>
      <w:marTop w:val="0"/>
      <w:marBottom w:val="0"/>
      <w:divBdr>
        <w:top w:val="none" w:sz="0" w:space="0" w:color="auto"/>
        <w:left w:val="none" w:sz="0" w:space="0" w:color="auto"/>
        <w:bottom w:val="none" w:sz="0" w:space="0" w:color="auto"/>
        <w:right w:val="none" w:sz="0" w:space="0" w:color="auto"/>
      </w:divBdr>
    </w:div>
    <w:div w:id="994264850">
      <w:bodyDiv w:val="1"/>
      <w:marLeft w:val="0"/>
      <w:marRight w:val="0"/>
      <w:marTop w:val="0"/>
      <w:marBottom w:val="0"/>
      <w:divBdr>
        <w:top w:val="none" w:sz="0" w:space="0" w:color="auto"/>
        <w:left w:val="none" w:sz="0" w:space="0" w:color="auto"/>
        <w:bottom w:val="none" w:sz="0" w:space="0" w:color="auto"/>
        <w:right w:val="none" w:sz="0" w:space="0" w:color="auto"/>
      </w:divBdr>
    </w:div>
    <w:div w:id="1019503071">
      <w:bodyDiv w:val="1"/>
      <w:marLeft w:val="0"/>
      <w:marRight w:val="0"/>
      <w:marTop w:val="0"/>
      <w:marBottom w:val="0"/>
      <w:divBdr>
        <w:top w:val="none" w:sz="0" w:space="0" w:color="auto"/>
        <w:left w:val="none" w:sz="0" w:space="0" w:color="auto"/>
        <w:bottom w:val="none" w:sz="0" w:space="0" w:color="auto"/>
        <w:right w:val="none" w:sz="0" w:space="0" w:color="auto"/>
      </w:divBdr>
    </w:div>
    <w:div w:id="1034690928">
      <w:bodyDiv w:val="1"/>
      <w:marLeft w:val="0"/>
      <w:marRight w:val="0"/>
      <w:marTop w:val="0"/>
      <w:marBottom w:val="0"/>
      <w:divBdr>
        <w:top w:val="none" w:sz="0" w:space="0" w:color="auto"/>
        <w:left w:val="none" w:sz="0" w:space="0" w:color="auto"/>
        <w:bottom w:val="none" w:sz="0" w:space="0" w:color="auto"/>
        <w:right w:val="none" w:sz="0" w:space="0" w:color="auto"/>
      </w:divBdr>
    </w:div>
    <w:div w:id="1053625141">
      <w:bodyDiv w:val="1"/>
      <w:marLeft w:val="0"/>
      <w:marRight w:val="0"/>
      <w:marTop w:val="0"/>
      <w:marBottom w:val="0"/>
      <w:divBdr>
        <w:top w:val="none" w:sz="0" w:space="0" w:color="auto"/>
        <w:left w:val="none" w:sz="0" w:space="0" w:color="auto"/>
        <w:bottom w:val="none" w:sz="0" w:space="0" w:color="auto"/>
        <w:right w:val="none" w:sz="0" w:space="0" w:color="auto"/>
      </w:divBdr>
    </w:div>
    <w:div w:id="1107505045">
      <w:bodyDiv w:val="1"/>
      <w:marLeft w:val="0"/>
      <w:marRight w:val="0"/>
      <w:marTop w:val="0"/>
      <w:marBottom w:val="0"/>
      <w:divBdr>
        <w:top w:val="none" w:sz="0" w:space="0" w:color="auto"/>
        <w:left w:val="none" w:sz="0" w:space="0" w:color="auto"/>
        <w:bottom w:val="none" w:sz="0" w:space="0" w:color="auto"/>
        <w:right w:val="none" w:sz="0" w:space="0" w:color="auto"/>
      </w:divBdr>
    </w:div>
    <w:div w:id="1182662975">
      <w:bodyDiv w:val="1"/>
      <w:marLeft w:val="0"/>
      <w:marRight w:val="0"/>
      <w:marTop w:val="0"/>
      <w:marBottom w:val="0"/>
      <w:divBdr>
        <w:top w:val="none" w:sz="0" w:space="0" w:color="auto"/>
        <w:left w:val="none" w:sz="0" w:space="0" w:color="auto"/>
        <w:bottom w:val="none" w:sz="0" w:space="0" w:color="auto"/>
        <w:right w:val="none" w:sz="0" w:space="0" w:color="auto"/>
      </w:divBdr>
    </w:div>
    <w:div w:id="1202209623">
      <w:bodyDiv w:val="1"/>
      <w:marLeft w:val="0"/>
      <w:marRight w:val="0"/>
      <w:marTop w:val="0"/>
      <w:marBottom w:val="0"/>
      <w:divBdr>
        <w:top w:val="none" w:sz="0" w:space="0" w:color="auto"/>
        <w:left w:val="none" w:sz="0" w:space="0" w:color="auto"/>
        <w:bottom w:val="none" w:sz="0" w:space="0" w:color="auto"/>
        <w:right w:val="none" w:sz="0" w:space="0" w:color="auto"/>
      </w:divBdr>
    </w:div>
    <w:div w:id="1207137932">
      <w:bodyDiv w:val="1"/>
      <w:marLeft w:val="0"/>
      <w:marRight w:val="0"/>
      <w:marTop w:val="0"/>
      <w:marBottom w:val="0"/>
      <w:divBdr>
        <w:top w:val="none" w:sz="0" w:space="0" w:color="auto"/>
        <w:left w:val="none" w:sz="0" w:space="0" w:color="auto"/>
        <w:bottom w:val="none" w:sz="0" w:space="0" w:color="auto"/>
        <w:right w:val="none" w:sz="0" w:space="0" w:color="auto"/>
      </w:divBdr>
    </w:div>
    <w:div w:id="1210413103">
      <w:bodyDiv w:val="1"/>
      <w:marLeft w:val="0"/>
      <w:marRight w:val="0"/>
      <w:marTop w:val="0"/>
      <w:marBottom w:val="0"/>
      <w:divBdr>
        <w:top w:val="none" w:sz="0" w:space="0" w:color="auto"/>
        <w:left w:val="none" w:sz="0" w:space="0" w:color="auto"/>
        <w:bottom w:val="none" w:sz="0" w:space="0" w:color="auto"/>
        <w:right w:val="none" w:sz="0" w:space="0" w:color="auto"/>
      </w:divBdr>
    </w:div>
    <w:div w:id="1219125577">
      <w:bodyDiv w:val="1"/>
      <w:marLeft w:val="0"/>
      <w:marRight w:val="0"/>
      <w:marTop w:val="0"/>
      <w:marBottom w:val="0"/>
      <w:divBdr>
        <w:top w:val="none" w:sz="0" w:space="0" w:color="auto"/>
        <w:left w:val="none" w:sz="0" w:space="0" w:color="auto"/>
        <w:bottom w:val="none" w:sz="0" w:space="0" w:color="auto"/>
        <w:right w:val="none" w:sz="0" w:space="0" w:color="auto"/>
      </w:divBdr>
    </w:div>
    <w:div w:id="1253859726">
      <w:bodyDiv w:val="1"/>
      <w:marLeft w:val="0"/>
      <w:marRight w:val="0"/>
      <w:marTop w:val="0"/>
      <w:marBottom w:val="0"/>
      <w:divBdr>
        <w:top w:val="none" w:sz="0" w:space="0" w:color="auto"/>
        <w:left w:val="none" w:sz="0" w:space="0" w:color="auto"/>
        <w:bottom w:val="none" w:sz="0" w:space="0" w:color="auto"/>
        <w:right w:val="none" w:sz="0" w:space="0" w:color="auto"/>
      </w:divBdr>
    </w:div>
    <w:div w:id="1292589234">
      <w:bodyDiv w:val="1"/>
      <w:marLeft w:val="0"/>
      <w:marRight w:val="0"/>
      <w:marTop w:val="0"/>
      <w:marBottom w:val="0"/>
      <w:divBdr>
        <w:top w:val="none" w:sz="0" w:space="0" w:color="auto"/>
        <w:left w:val="none" w:sz="0" w:space="0" w:color="auto"/>
        <w:bottom w:val="none" w:sz="0" w:space="0" w:color="auto"/>
        <w:right w:val="none" w:sz="0" w:space="0" w:color="auto"/>
      </w:divBdr>
    </w:div>
    <w:div w:id="1305769059">
      <w:bodyDiv w:val="1"/>
      <w:marLeft w:val="0"/>
      <w:marRight w:val="0"/>
      <w:marTop w:val="0"/>
      <w:marBottom w:val="0"/>
      <w:divBdr>
        <w:top w:val="none" w:sz="0" w:space="0" w:color="auto"/>
        <w:left w:val="none" w:sz="0" w:space="0" w:color="auto"/>
        <w:bottom w:val="none" w:sz="0" w:space="0" w:color="auto"/>
        <w:right w:val="none" w:sz="0" w:space="0" w:color="auto"/>
      </w:divBdr>
    </w:div>
    <w:div w:id="1323001887">
      <w:bodyDiv w:val="1"/>
      <w:marLeft w:val="0"/>
      <w:marRight w:val="0"/>
      <w:marTop w:val="0"/>
      <w:marBottom w:val="0"/>
      <w:divBdr>
        <w:top w:val="none" w:sz="0" w:space="0" w:color="auto"/>
        <w:left w:val="none" w:sz="0" w:space="0" w:color="auto"/>
        <w:bottom w:val="none" w:sz="0" w:space="0" w:color="auto"/>
        <w:right w:val="none" w:sz="0" w:space="0" w:color="auto"/>
      </w:divBdr>
    </w:div>
    <w:div w:id="1341933397">
      <w:bodyDiv w:val="1"/>
      <w:marLeft w:val="0"/>
      <w:marRight w:val="0"/>
      <w:marTop w:val="0"/>
      <w:marBottom w:val="0"/>
      <w:divBdr>
        <w:top w:val="none" w:sz="0" w:space="0" w:color="auto"/>
        <w:left w:val="none" w:sz="0" w:space="0" w:color="auto"/>
        <w:bottom w:val="none" w:sz="0" w:space="0" w:color="auto"/>
        <w:right w:val="none" w:sz="0" w:space="0" w:color="auto"/>
      </w:divBdr>
    </w:div>
    <w:div w:id="1359161855">
      <w:bodyDiv w:val="1"/>
      <w:marLeft w:val="0"/>
      <w:marRight w:val="0"/>
      <w:marTop w:val="0"/>
      <w:marBottom w:val="0"/>
      <w:divBdr>
        <w:top w:val="none" w:sz="0" w:space="0" w:color="auto"/>
        <w:left w:val="none" w:sz="0" w:space="0" w:color="auto"/>
        <w:bottom w:val="none" w:sz="0" w:space="0" w:color="auto"/>
        <w:right w:val="none" w:sz="0" w:space="0" w:color="auto"/>
      </w:divBdr>
    </w:div>
    <w:div w:id="1416509042">
      <w:bodyDiv w:val="1"/>
      <w:marLeft w:val="0"/>
      <w:marRight w:val="0"/>
      <w:marTop w:val="0"/>
      <w:marBottom w:val="0"/>
      <w:divBdr>
        <w:top w:val="none" w:sz="0" w:space="0" w:color="auto"/>
        <w:left w:val="none" w:sz="0" w:space="0" w:color="auto"/>
        <w:bottom w:val="none" w:sz="0" w:space="0" w:color="auto"/>
        <w:right w:val="none" w:sz="0" w:space="0" w:color="auto"/>
      </w:divBdr>
    </w:div>
    <w:div w:id="1428766590">
      <w:bodyDiv w:val="1"/>
      <w:marLeft w:val="0"/>
      <w:marRight w:val="0"/>
      <w:marTop w:val="0"/>
      <w:marBottom w:val="0"/>
      <w:divBdr>
        <w:top w:val="none" w:sz="0" w:space="0" w:color="auto"/>
        <w:left w:val="none" w:sz="0" w:space="0" w:color="auto"/>
        <w:bottom w:val="none" w:sz="0" w:space="0" w:color="auto"/>
        <w:right w:val="none" w:sz="0" w:space="0" w:color="auto"/>
      </w:divBdr>
    </w:div>
    <w:div w:id="1428967502">
      <w:bodyDiv w:val="1"/>
      <w:marLeft w:val="0"/>
      <w:marRight w:val="0"/>
      <w:marTop w:val="0"/>
      <w:marBottom w:val="0"/>
      <w:divBdr>
        <w:top w:val="none" w:sz="0" w:space="0" w:color="auto"/>
        <w:left w:val="none" w:sz="0" w:space="0" w:color="auto"/>
        <w:bottom w:val="none" w:sz="0" w:space="0" w:color="auto"/>
        <w:right w:val="none" w:sz="0" w:space="0" w:color="auto"/>
      </w:divBdr>
    </w:div>
    <w:div w:id="1471435979">
      <w:bodyDiv w:val="1"/>
      <w:marLeft w:val="0"/>
      <w:marRight w:val="0"/>
      <w:marTop w:val="0"/>
      <w:marBottom w:val="0"/>
      <w:divBdr>
        <w:top w:val="none" w:sz="0" w:space="0" w:color="auto"/>
        <w:left w:val="none" w:sz="0" w:space="0" w:color="auto"/>
        <w:bottom w:val="none" w:sz="0" w:space="0" w:color="auto"/>
        <w:right w:val="none" w:sz="0" w:space="0" w:color="auto"/>
      </w:divBdr>
    </w:div>
    <w:div w:id="1485320980">
      <w:bodyDiv w:val="1"/>
      <w:marLeft w:val="0"/>
      <w:marRight w:val="0"/>
      <w:marTop w:val="0"/>
      <w:marBottom w:val="0"/>
      <w:divBdr>
        <w:top w:val="none" w:sz="0" w:space="0" w:color="auto"/>
        <w:left w:val="none" w:sz="0" w:space="0" w:color="auto"/>
        <w:bottom w:val="none" w:sz="0" w:space="0" w:color="auto"/>
        <w:right w:val="none" w:sz="0" w:space="0" w:color="auto"/>
      </w:divBdr>
    </w:div>
    <w:div w:id="1496266042">
      <w:bodyDiv w:val="1"/>
      <w:marLeft w:val="0"/>
      <w:marRight w:val="0"/>
      <w:marTop w:val="0"/>
      <w:marBottom w:val="0"/>
      <w:divBdr>
        <w:top w:val="none" w:sz="0" w:space="0" w:color="auto"/>
        <w:left w:val="none" w:sz="0" w:space="0" w:color="auto"/>
        <w:bottom w:val="none" w:sz="0" w:space="0" w:color="auto"/>
        <w:right w:val="none" w:sz="0" w:space="0" w:color="auto"/>
      </w:divBdr>
    </w:div>
    <w:div w:id="1504856981">
      <w:bodyDiv w:val="1"/>
      <w:marLeft w:val="0"/>
      <w:marRight w:val="0"/>
      <w:marTop w:val="0"/>
      <w:marBottom w:val="0"/>
      <w:divBdr>
        <w:top w:val="none" w:sz="0" w:space="0" w:color="auto"/>
        <w:left w:val="none" w:sz="0" w:space="0" w:color="auto"/>
        <w:bottom w:val="none" w:sz="0" w:space="0" w:color="auto"/>
        <w:right w:val="none" w:sz="0" w:space="0" w:color="auto"/>
      </w:divBdr>
    </w:div>
    <w:div w:id="1514608830">
      <w:bodyDiv w:val="1"/>
      <w:marLeft w:val="0"/>
      <w:marRight w:val="0"/>
      <w:marTop w:val="0"/>
      <w:marBottom w:val="0"/>
      <w:divBdr>
        <w:top w:val="none" w:sz="0" w:space="0" w:color="auto"/>
        <w:left w:val="none" w:sz="0" w:space="0" w:color="auto"/>
        <w:bottom w:val="none" w:sz="0" w:space="0" w:color="auto"/>
        <w:right w:val="none" w:sz="0" w:space="0" w:color="auto"/>
      </w:divBdr>
    </w:div>
    <w:div w:id="1515683624">
      <w:bodyDiv w:val="1"/>
      <w:marLeft w:val="0"/>
      <w:marRight w:val="0"/>
      <w:marTop w:val="0"/>
      <w:marBottom w:val="0"/>
      <w:divBdr>
        <w:top w:val="none" w:sz="0" w:space="0" w:color="auto"/>
        <w:left w:val="none" w:sz="0" w:space="0" w:color="auto"/>
        <w:bottom w:val="none" w:sz="0" w:space="0" w:color="auto"/>
        <w:right w:val="none" w:sz="0" w:space="0" w:color="auto"/>
      </w:divBdr>
    </w:div>
    <w:div w:id="1523589782">
      <w:bodyDiv w:val="1"/>
      <w:marLeft w:val="0"/>
      <w:marRight w:val="0"/>
      <w:marTop w:val="0"/>
      <w:marBottom w:val="0"/>
      <w:divBdr>
        <w:top w:val="none" w:sz="0" w:space="0" w:color="auto"/>
        <w:left w:val="none" w:sz="0" w:space="0" w:color="auto"/>
        <w:bottom w:val="none" w:sz="0" w:space="0" w:color="auto"/>
        <w:right w:val="none" w:sz="0" w:space="0" w:color="auto"/>
      </w:divBdr>
    </w:div>
    <w:div w:id="1532062846">
      <w:bodyDiv w:val="1"/>
      <w:marLeft w:val="0"/>
      <w:marRight w:val="0"/>
      <w:marTop w:val="0"/>
      <w:marBottom w:val="0"/>
      <w:divBdr>
        <w:top w:val="none" w:sz="0" w:space="0" w:color="auto"/>
        <w:left w:val="none" w:sz="0" w:space="0" w:color="auto"/>
        <w:bottom w:val="none" w:sz="0" w:space="0" w:color="auto"/>
        <w:right w:val="none" w:sz="0" w:space="0" w:color="auto"/>
      </w:divBdr>
    </w:div>
    <w:div w:id="1562784728">
      <w:bodyDiv w:val="1"/>
      <w:marLeft w:val="0"/>
      <w:marRight w:val="0"/>
      <w:marTop w:val="0"/>
      <w:marBottom w:val="0"/>
      <w:divBdr>
        <w:top w:val="none" w:sz="0" w:space="0" w:color="auto"/>
        <w:left w:val="none" w:sz="0" w:space="0" w:color="auto"/>
        <w:bottom w:val="none" w:sz="0" w:space="0" w:color="auto"/>
        <w:right w:val="none" w:sz="0" w:space="0" w:color="auto"/>
      </w:divBdr>
    </w:div>
    <w:div w:id="1573200441">
      <w:bodyDiv w:val="1"/>
      <w:marLeft w:val="0"/>
      <w:marRight w:val="0"/>
      <w:marTop w:val="0"/>
      <w:marBottom w:val="0"/>
      <w:divBdr>
        <w:top w:val="none" w:sz="0" w:space="0" w:color="auto"/>
        <w:left w:val="none" w:sz="0" w:space="0" w:color="auto"/>
        <w:bottom w:val="none" w:sz="0" w:space="0" w:color="auto"/>
        <w:right w:val="none" w:sz="0" w:space="0" w:color="auto"/>
      </w:divBdr>
    </w:div>
    <w:div w:id="1603342028">
      <w:bodyDiv w:val="1"/>
      <w:marLeft w:val="0"/>
      <w:marRight w:val="0"/>
      <w:marTop w:val="0"/>
      <w:marBottom w:val="0"/>
      <w:divBdr>
        <w:top w:val="none" w:sz="0" w:space="0" w:color="auto"/>
        <w:left w:val="none" w:sz="0" w:space="0" w:color="auto"/>
        <w:bottom w:val="none" w:sz="0" w:space="0" w:color="auto"/>
        <w:right w:val="none" w:sz="0" w:space="0" w:color="auto"/>
      </w:divBdr>
    </w:div>
    <w:div w:id="1620842203">
      <w:bodyDiv w:val="1"/>
      <w:marLeft w:val="0"/>
      <w:marRight w:val="0"/>
      <w:marTop w:val="0"/>
      <w:marBottom w:val="0"/>
      <w:divBdr>
        <w:top w:val="none" w:sz="0" w:space="0" w:color="auto"/>
        <w:left w:val="none" w:sz="0" w:space="0" w:color="auto"/>
        <w:bottom w:val="none" w:sz="0" w:space="0" w:color="auto"/>
        <w:right w:val="none" w:sz="0" w:space="0" w:color="auto"/>
      </w:divBdr>
    </w:div>
    <w:div w:id="1630012485">
      <w:bodyDiv w:val="1"/>
      <w:marLeft w:val="0"/>
      <w:marRight w:val="0"/>
      <w:marTop w:val="0"/>
      <w:marBottom w:val="0"/>
      <w:divBdr>
        <w:top w:val="none" w:sz="0" w:space="0" w:color="auto"/>
        <w:left w:val="none" w:sz="0" w:space="0" w:color="auto"/>
        <w:bottom w:val="none" w:sz="0" w:space="0" w:color="auto"/>
        <w:right w:val="none" w:sz="0" w:space="0" w:color="auto"/>
      </w:divBdr>
    </w:div>
    <w:div w:id="1664628144">
      <w:bodyDiv w:val="1"/>
      <w:marLeft w:val="0"/>
      <w:marRight w:val="0"/>
      <w:marTop w:val="0"/>
      <w:marBottom w:val="0"/>
      <w:divBdr>
        <w:top w:val="none" w:sz="0" w:space="0" w:color="auto"/>
        <w:left w:val="none" w:sz="0" w:space="0" w:color="auto"/>
        <w:bottom w:val="none" w:sz="0" w:space="0" w:color="auto"/>
        <w:right w:val="none" w:sz="0" w:space="0" w:color="auto"/>
      </w:divBdr>
    </w:div>
    <w:div w:id="1677809098">
      <w:bodyDiv w:val="1"/>
      <w:marLeft w:val="0"/>
      <w:marRight w:val="0"/>
      <w:marTop w:val="0"/>
      <w:marBottom w:val="0"/>
      <w:divBdr>
        <w:top w:val="none" w:sz="0" w:space="0" w:color="auto"/>
        <w:left w:val="none" w:sz="0" w:space="0" w:color="auto"/>
        <w:bottom w:val="none" w:sz="0" w:space="0" w:color="auto"/>
        <w:right w:val="none" w:sz="0" w:space="0" w:color="auto"/>
      </w:divBdr>
    </w:div>
    <w:div w:id="1685011592">
      <w:bodyDiv w:val="1"/>
      <w:marLeft w:val="0"/>
      <w:marRight w:val="0"/>
      <w:marTop w:val="0"/>
      <w:marBottom w:val="0"/>
      <w:divBdr>
        <w:top w:val="none" w:sz="0" w:space="0" w:color="auto"/>
        <w:left w:val="none" w:sz="0" w:space="0" w:color="auto"/>
        <w:bottom w:val="none" w:sz="0" w:space="0" w:color="auto"/>
        <w:right w:val="none" w:sz="0" w:space="0" w:color="auto"/>
      </w:divBdr>
    </w:div>
    <w:div w:id="1687167938">
      <w:bodyDiv w:val="1"/>
      <w:marLeft w:val="0"/>
      <w:marRight w:val="0"/>
      <w:marTop w:val="0"/>
      <w:marBottom w:val="0"/>
      <w:divBdr>
        <w:top w:val="none" w:sz="0" w:space="0" w:color="auto"/>
        <w:left w:val="none" w:sz="0" w:space="0" w:color="auto"/>
        <w:bottom w:val="none" w:sz="0" w:space="0" w:color="auto"/>
        <w:right w:val="none" w:sz="0" w:space="0" w:color="auto"/>
      </w:divBdr>
    </w:div>
    <w:div w:id="1718820219">
      <w:bodyDiv w:val="1"/>
      <w:marLeft w:val="0"/>
      <w:marRight w:val="0"/>
      <w:marTop w:val="0"/>
      <w:marBottom w:val="0"/>
      <w:divBdr>
        <w:top w:val="none" w:sz="0" w:space="0" w:color="auto"/>
        <w:left w:val="none" w:sz="0" w:space="0" w:color="auto"/>
        <w:bottom w:val="none" w:sz="0" w:space="0" w:color="auto"/>
        <w:right w:val="none" w:sz="0" w:space="0" w:color="auto"/>
      </w:divBdr>
    </w:div>
    <w:div w:id="1740595892">
      <w:bodyDiv w:val="1"/>
      <w:marLeft w:val="0"/>
      <w:marRight w:val="0"/>
      <w:marTop w:val="0"/>
      <w:marBottom w:val="0"/>
      <w:divBdr>
        <w:top w:val="none" w:sz="0" w:space="0" w:color="auto"/>
        <w:left w:val="none" w:sz="0" w:space="0" w:color="auto"/>
        <w:bottom w:val="none" w:sz="0" w:space="0" w:color="auto"/>
        <w:right w:val="none" w:sz="0" w:space="0" w:color="auto"/>
      </w:divBdr>
    </w:div>
    <w:div w:id="1743871076">
      <w:bodyDiv w:val="1"/>
      <w:marLeft w:val="0"/>
      <w:marRight w:val="0"/>
      <w:marTop w:val="0"/>
      <w:marBottom w:val="0"/>
      <w:divBdr>
        <w:top w:val="none" w:sz="0" w:space="0" w:color="auto"/>
        <w:left w:val="none" w:sz="0" w:space="0" w:color="auto"/>
        <w:bottom w:val="none" w:sz="0" w:space="0" w:color="auto"/>
        <w:right w:val="none" w:sz="0" w:space="0" w:color="auto"/>
      </w:divBdr>
    </w:div>
    <w:div w:id="1769739447">
      <w:bodyDiv w:val="1"/>
      <w:marLeft w:val="0"/>
      <w:marRight w:val="0"/>
      <w:marTop w:val="0"/>
      <w:marBottom w:val="0"/>
      <w:divBdr>
        <w:top w:val="none" w:sz="0" w:space="0" w:color="auto"/>
        <w:left w:val="none" w:sz="0" w:space="0" w:color="auto"/>
        <w:bottom w:val="none" w:sz="0" w:space="0" w:color="auto"/>
        <w:right w:val="none" w:sz="0" w:space="0" w:color="auto"/>
      </w:divBdr>
    </w:div>
    <w:div w:id="1774209027">
      <w:bodyDiv w:val="1"/>
      <w:marLeft w:val="0"/>
      <w:marRight w:val="0"/>
      <w:marTop w:val="0"/>
      <w:marBottom w:val="0"/>
      <w:divBdr>
        <w:top w:val="none" w:sz="0" w:space="0" w:color="auto"/>
        <w:left w:val="none" w:sz="0" w:space="0" w:color="auto"/>
        <w:bottom w:val="none" w:sz="0" w:space="0" w:color="auto"/>
        <w:right w:val="none" w:sz="0" w:space="0" w:color="auto"/>
      </w:divBdr>
    </w:div>
    <w:div w:id="1777406843">
      <w:bodyDiv w:val="1"/>
      <w:marLeft w:val="0"/>
      <w:marRight w:val="0"/>
      <w:marTop w:val="0"/>
      <w:marBottom w:val="0"/>
      <w:divBdr>
        <w:top w:val="none" w:sz="0" w:space="0" w:color="auto"/>
        <w:left w:val="none" w:sz="0" w:space="0" w:color="auto"/>
        <w:bottom w:val="none" w:sz="0" w:space="0" w:color="auto"/>
        <w:right w:val="none" w:sz="0" w:space="0" w:color="auto"/>
      </w:divBdr>
    </w:div>
    <w:div w:id="1809976821">
      <w:bodyDiv w:val="1"/>
      <w:marLeft w:val="0"/>
      <w:marRight w:val="0"/>
      <w:marTop w:val="0"/>
      <w:marBottom w:val="0"/>
      <w:divBdr>
        <w:top w:val="none" w:sz="0" w:space="0" w:color="auto"/>
        <w:left w:val="none" w:sz="0" w:space="0" w:color="auto"/>
        <w:bottom w:val="none" w:sz="0" w:space="0" w:color="auto"/>
        <w:right w:val="none" w:sz="0" w:space="0" w:color="auto"/>
      </w:divBdr>
    </w:div>
    <w:div w:id="1815759106">
      <w:bodyDiv w:val="1"/>
      <w:marLeft w:val="0"/>
      <w:marRight w:val="0"/>
      <w:marTop w:val="0"/>
      <w:marBottom w:val="0"/>
      <w:divBdr>
        <w:top w:val="none" w:sz="0" w:space="0" w:color="auto"/>
        <w:left w:val="none" w:sz="0" w:space="0" w:color="auto"/>
        <w:bottom w:val="none" w:sz="0" w:space="0" w:color="auto"/>
        <w:right w:val="none" w:sz="0" w:space="0" w:color="auto"/>
      </w:divBdr>
    </w:div>
    <w:div w:id="1836722094">
      <w:bodyDiv w:val="1"/>
      <w:marLeft w:val="0"/>
      <w:marRight w:val="0"/>
      <w:marTop w:val="0"/>
      <w:marBottom w:val="0"/>
      <w:divBdr>
        <w:top w:val="none" w:sz="0" w:space="0" w:color="auto"/>
        <w:left w:val="none" w:sz="0" w:space="0" w:color="auto"/>
        <w:bottom w:val="none" w:sz="0" w:space="0" w:color="auto"/>
        <w:right w:val="none" w:sz="0" w:space="0" w:color="auto"/>
      </w:divBdr>
    </w:div>
    <w:div w:id="1872765325">
      <w:bodyDiv w:val="1"/>
      <w:marLeft w:val="0"/>
      <w:marRight w:val="0"/>
      <w:marTop w:val="0"/>
      <w:marBottom w:val="0"/>
      <w:divBdr>
        <w:top w:val="none" w:sz="0" w:space="0" w:color="auto"/>
        <w:left w:val="none" w:sz="0" w:space="0" w:color="auto"/>
        <w:bottom w:val="none" w:sz="0" w:space="0" w:color="auto"/>
        <w:right w:val="none" w:sz="0" w:space="0" w:color="auto"/>
      </w:divBdr>
    </w:div>
    <w:div w:id="1877425477">
      <w:bodyDiv w:val="1"/>
      <w:marLeft w:val="0"/>
      <w:marRight w:val="0"/>
      <w:marTop w:val="0"/>
      <w:marBottom w:val="0"/>
      <w:divBdr>
        <w:top w:val="none" w:sz="0" w:space="0" w:color="auto"/>
        <w:left w:val="none" w:sz="0" w:space="0" w:color="auto"/>
        <w:bottom w:val="none" w:sz="0" w:space="0" w:color="auto"/>
        <w:right w:val="none" w:sz="0" w:space="0" w:color="auto"/>
      </w:divBdr>
    </w:div>
    <w:div w:id="1925795682">
      <w:bodyDiv w:val="1"/>
      <w:marLeft w:val="0"/>
      <w:marRight w:val="0"/>
      <w:marTop w:val="0"/>
      <w:marBottom w:val="0"/>
      <w:divBdr>
        <w:top w:val="none" w:sz="0" w:space="0" w:color="auto"/>
        <w:left w:val="none" w:sz="0" w:space="0" w:color="auto"/>
        <w:bottom w:val="none" w:sz="0" w:space="0" w:color="auto"/>
        <w:right w:val="none" w:sz="0" w:space="0" w:color="auto"/>
      </w:divBdr>
    </w:div>
    <w:div w:id="1926453584">
      <w:bodyDiv w:val="1"/>
      <w:marLeft w:val="0"/>
      <w:marRight w:val="0"/>
      <w:marTop w:val="0"/>
      <w:marBottom w:val="0"/>
      <w:divBdr>
        <w:top w:val="none" w:sz="0" w:space="0" w:color="auto"/>
        <w:left w:val="none" w:sz="0" w:space="0" w:color="auto"/>
        <w:bottom w:val="none" w:sz="0" w:space="0" w:color="auto"/>
        <w:right w:val="none" w:sz="0" w:space="0" w:color="auto"/>
      </w:divBdr>
    </w:div>
    <w:div w:id="1949044750">
      <w:bodyDiv w:val="1"/>
      <w:marLeft w:val="0"/>
      <w:marRight w:val="0"/>
      <w:marTop w:val="0"/>
      <w:marBottom w:val="0"/>
      <w:divBdr>
        <w:top w:val="none" w:sz="0" w:space="0" w:color="auto"/>
        <w:left w:val="none" w:sz="0" w:space="0" w:color="auto"/>
        <w:bottom w:val="none" w:sz="0" w:space="0" w:color="auto"/>
        <w:right w:val="none" w:sz="0" w:space="0" w:color="auto"/>
      </w:divBdr>
    </w:div>
    <w:div w:id="1965310984">
      <w:bodyDiv w:val="1"/>
      <w:marLeft w:val="0"/>
      <w:marRight w:val="0"/>
      <w:marTop w:val="0"/>
      <w:marBottom w:val="0"/>
      <w:divBdr>
        <w:top w:val="none" w:sz="0" w:space="0" w:color="auto"/>
        <w:left w:val="none" w:sz="0" w:space="0" w:color="auto"/>
        <w:bottom w:val="none" w:sz="0" w:space="0" w:color="auto"/>
        <w:right w:val="none" w:sz="0" w:space="0" w:color="auto"/>
      </w:divBdr>
    </w:div>
    <w:div w:id="1979451423">
      <w:bodyDiv w:val="1"/>
      <w:marLeft w:val="0"/>
      <w:marRight w:val="0"/>
      <w:marTop w:val="0"/>
      <w:marBottom w:val="0"/>
      <w:divBdr>
        <w:top w:val="none" w:sz="0" w:space="0" w:color="auto"/>
        <w:left w:val="none" w:sz="0" w:space="0" w:color="auto"/>
        <w:bottom w:val="none" w:sz="0" w:space="0" w:color="auto"/>
        <w:right w:val="none" w:sz="0" w:space="0" w:color="auto"/>
      </w:divBdr>
    </w:div>
    <w:div w:id="1982422770">
      <w:bodyDiv w:val="1"/>
      <w:marLeft w:val="0"/>
      <w:marRight w:val="0"/>
      <w:marTop w:val="0"/>
      <w:marBottom w:val="0"/>
      <w:divBdr>
        <w:top w:val="none" w:sz="0" w:space="0" w:color="auto"/>
        <w:left w:val="none" w:sz="0" w:space="0" w:color="auto"/>
        <w:bottom w:val="none" w:sz="0" w:space="0" w:color="auto"/>
        <w:right w:val="none" w:sz="0" w:space="0" w:color="auto"/>
      </w:divBdr>
    </w:div>
    <w:div w:id="2004579274">
      <w:bodyDiv w:val="1"/>
      <w:marLeft w:val="0"/>
      <w:marRight w:val="0"/>
      <w:marTop w:val="0"/>
      <w:marBottom w:val="0"/>
      <w:divBdr>
        <w:top w:val="none" w:sz="0" w:space="0" w:color="auto"/>
        <w:left w:val="none" w:sz="0" w:space="0" w:color="auto"/>
        <w:bottom w:val="none" w:sz="0" w:space="0" w:color="auto"/>
        <w:right w:val="none" w:sz="0" w:space="0" w:color="auto"/>
      </w:divBdr>
    </w:div>
    <w:div w:id="2032225006">
      <w:bodyDiv w:val="1"/>
      <w:marLeft w:val="0"/>
      <w:marRight w:val="0"/>
      <w:marTop w:val="0"/>
      <w:marBottom w:val="0"/>
      <w:divBdr>
        <w:top w:val="none" w:sz="0" w:space="0" w:color="auto"/>
        <w:left w:val="none" w:sz="0" w:space="0" w:color="auto"/>
        <w:bottom w:val="none" w:sz="0" w:space="0" w:color="auto"/>
        <w:right w:val="none" w:sz="0" w:space="0" w:color="auto"/>
      </w:divBdr>
    </w:div>
    <w:div w:id="2064254643">
      <w:bodyDiv w:val="1"/>
      <w:marLeft w:val="0"/>
      <w:marRight w:val="0"/>
      <w:marTop w:val="0"/>
      <w:marBottom w:val="0"/>
      <w:divBdr>
        <w:top w:val="none" w:sz="0" w:space="0" w:color="auto"/>
        <w:left w:val="none" w:sz="0" w:space="0" w:color="auto"/>
        <w:bottom w:val="none" w:sz="0" w:space="0" w:color="auto"/>
        <w:right w:val="none" w:sz="0" w:space="0" w:color="auto"/>
      </w:divBdr>
    </w:div>
    <w:div w:id="2078552909">
      <w:bodyDiv w:val="1"/>
      <w:marLeft w:val="0"/>
      <w:marRight w:val="0"/>
      <w:marTop w:val="0"/>
      <w:marBottom w:val="0"/>
      <w:divBdr>
        <w:top w:val="none" w:sz="0" w:space="0" w:color="auto"/>
        <w:left w:val="none" w:sz="0" w:space="0" w:color="auto"/>
        <w:bottom w:val="none" w:sz="0" w:space="0" w:color="auto"/>
        <w:right w:val="none" w:sz="0" w:space="0" w:color="auto"/>
      </w:divBdr>
    </w:div>
    <w:div w:id="2093427897">
      <w:bodyDiv w:val="1"/>
      <w:marLeft w:val="0"/>
      <w:marRight w:val="0"/>
      <w:marTop w:val="0"/>
      <w:marBottom w:val="0"/>
      <w:divBdr>
        <w:top w:val="none" w:sz="0" w:space="0" w:color="auto"/>
        <w:left w:val="none" w:sz="0" w:space="0" w:color="auto"/>
        <w:bottom w:val="none" w:sz="0" w:space="0" w:color="auto"/>
        <w:right w:val="none" w:sz="0" w:space="0" w:color="auto"/>
      </w:divBdr>
    </w:div>
    <w:div w:id="2135755375">
      <w:bodyDiv w:val="1"/>
      <w:marLeft w:val="0"/>
      <w:marRight w:val="0"/>
      <w:marTop w:val="0"/>
      <w:marBottom w:val="0"/>
      <w:divBdr>
        <w:top w:val="none" w:sz="0" w:space="0" w:color="auto"/>
        <w:left w:val="none" w:sz="0" w:space="0" w:color="auto"/>
        <w:bottom w:val="none" w:sz="0" w:space="0" w:color="auto"/>
        <w:right w:val="none" w:sz="0" w:space="0" w:color="auto"/>
      </w:divBdr>
    </w:div>
    <w:div w:id="2137479627">
      <w:bodyDiv w:val="1"/>
      <w:marLeft w:val="0"/>
      <w:marRight w:val="0"/>
      <w:marTop w:val="0"/>
      <w:marBottom w:val="0"/>
      <w:divBdr>
        <w:top w:val="none" w:sz="0" w:space="0" w:color="auto"/>
        <w:left w:val="none" w:sz="0" w:space="0" w:color="auto"/>
        <w:bottom w:val="none" w:sz="0" w:space="0" w:color="auto"/>
        <w:right w:val="none" w:sz="0" w:space="0" w:color="auto"/>
      </w:divBdr>
    </w:div>
    <w:div w:id="2138598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A9A4-B945-4ECB-9A96-B2A7DC9C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19020</TotalTime>
  <Pages>1</Pages>
  <Words>23011</Words>
  <Characters>126564</Characters>
  <Application>Microsoft Office Word</Application>
  <DocSecurity>0</DocSecurity>
  <Lines>1054</Lines>
  <Paragraphs>298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Nathaly Salas Criollo</dc:creator>
  <cp:keywords/>
  <dc:description/>
  <cp:lastModifiedBy>Cesar Alberto Leon Galarraga</cp:lastModifiedBy>
  <cp:revision>687</cp:revision>
  <cp:lastPrinted>2021-06-09T18:31:00Z</cp:lastPrinted>
  <dcterms:created xsi:type="dcterms:W3CDTF">2021-06-09T12:12:00Z</dcterms:created>
  <dcterms:modified xsi:type="dcterms:W3CDTF">2021-07-06T17:08:00Z</dcterms:modified>
</cp:coreProperties>
</file>