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after="0" w:line="240" w:lineRule="auto"/>
        <w:jc w:val="both"/>
        <w:rPr>
          <w:sz w:val="40"/>
          <w:szCs w:val="40"/>
        </w:rPr>
      </w:pPr>
      <w:r w:rsidDel="00000000" w:rsidR="00000000" w:rsidRPr="00000000">
        <w:rPr>
          <w:sz w:val="40"/>
          <w:szCs w:val="40"/>
          <w:rtl w:val="0"/>
        </w:rPr>
        <w:t xml:space="preserve">Proyecto ETL: Proyecto Predios.</w:t>
      </w:r>
    </w:p>
    <w:p w:rsidR="00000000" w:rsidDel="00000000" w:rsidP="00000000" w:rsidRDefault="00000000" w:rsidRPr="00000000" w14:paraId="00000002">
      <w:pPr>
        <w:pStyle w:val="Title"/>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6"/>
          <w:szCs w:val="26"/>
        </w:rPr>
      </w:pPr>
      <w:r w:rsidDel="00000000" w:rsidR="00000000" w:rsidRPr="00000000">
        <w:rPr>
          <w:sz w:val="26"/>
          <w:szCs w:val="26"/>
          <w:rtl w:val="0"/>
        </w:rPr>
        <w:t xml:space="preserve">Facultad de Ingeniería, Universidad Autónoma de Occidente</w:t>
      </w:r>
    </w:p>
    <w:p w:rsidR="00000000" w:rsidDel="00000000" w:rsidP="00000000" w:rsidRDefault="00000000" w:rsidRPr="00000000" w14:paraId="00000003">
      <w:pPr>
        <w:pStyle w:val="Title"/>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8"/>
          <w:szCs w:val="38"/>
        </w:rPr>
      </w:pPr>
      <w:r w:rsidDel="00000000" w:rsidR="00000000" w:rsidRPr="00000000">
        <w:rPr>
          <w:sz w:val="26"/>
          <w:szCs w:val="26"/>
          <w:rtl w:val="0"/>
        </w:rPr>
        <w:t xml:space="preserve">Cali, Valle del Cauca</w:t>
      </w:r>
      <w:r w:rsidDel="00000000" w:rsidR="00000000" w:rsidRPr="00000000">
        <w:rPr>
          <w:rtl w:val="0"/>
        </w:rPr>
      </w:r>
    </w:p>
    <w:p w:rsidR="00000000" w:rsidDel="00000000" w:rsidP="00000000" w:rsidRDefault="00000000" w:rsidRPr="00000000" w14:paraId="00000004">
      <w:pPr>
        <w:spacing w:line="259" w:lineRule="auto"/>
        <w:jc w:val="both"/>
        <w:rPr/>
      </w:pPr>
      <w:r w:rsidDel="00000000" w:rsidR="00000000" w:rsidRPr="00000000">
        <w:rPr>
          <w:rtl w:val="0"/>
        </w:rPr>
      </w:r>
    </w:p>
    <w:p w:rsidR="00000000" w:rsidDel="00000000" w:rsidP="00000000" w:rsidRDefault="00000000" w:rsidRPr="00000000" w14:paraId="00000005">
      <w:pPr>
        <w:spacing w:line="259" w:lineRule="auto"/>
        <w:jc w:val="both"/>
        <w:rPr/>
      </w:pPr>
      <w:r w:rsidDel="00000000" w:rsidR="00000000" w:rsidRPr="00000000">
        <w:rPr>
          <w:rtl w:val="0"/>
        </w:rPr>
      </w:r>
    </w:p>
    <w:p w:rsidR="00000000" w:rsidDel="00000000" w:rsidP="00000000" w:rsidRDefault="00000000" w:rsidRPr="00000000" w14:paraId="00000006">
      <w:pPr>
        <w:spacing w:line="259" w:lineRule="auto"/>
        <w:jc w:val="both"/>
        <w:rPr/>
      </w:pPr>
      <w:r w:rsidDel="00000000" w:rsidR="00000000" w:rsidRPr="00000000">
        <w:rPr>
          <w:rtl w:val="0"/>
        </w:rPr>
        <w:t xml:space="preserve">Presentado por:</w:t>
      </w:r>
    </w:p>
    <w:p w:rsidR="00000000" w:rsidDel="00000000" w:rsidP="00000000" w:rsidRDefault="00000000" w:rsidRPr="00000000" w14:paraId="00000007">
      <w:pPr>
        <w:spacing w:line="259" w:lineRule="auto"/>
        <w:jc w:val="both"/>
        <w:rPr>
          <w:sz w:val="40"/>
          <w:szCs w:val="40"/>
        </w:rPr>
      </w:pPr>
      <w:r w:rsidDel="00000000" w:rsidR="00000000" w:rsidRPr="00000000">
        <w:rPr>
          <w:rtl w:val="0"/>
        </w:rPr>
        <w:t xml:space="preserve">Carlos Hidalgo Escobar - 22502395 -</w:t>
      </w:r>
      <w:r w:rsidDel="00000000" w:rsidR="00000000" w:rsidRPr="00000000">
        <w:rPr>
          <w:color w:val="1155cc"/>
          <w:u w:val="single"/>
          <w:rtl w:val="0"/>
        </w:rPr>
        <w:t xml:space="preserve"> </w:t>
      </w:r>
      <w:hyperlink r:id="rId6">
        <w:r w:rsidDel="00000000" w:rsidR="00000000" w:rsidRPr="00000000">
          <w:rPr>
            <w:color w:val="1155cc"/>
            <w:u w:val="single"/>
            <w:rtl w:val="0"/>
          </w:rPr>
          <w:t xml:space="preserve">carlos.hidalgo@uao.edu.co</w:t>
        </w:r>
      </w:hyperlink>
      <w:r w:rsidDel="00000000" w:rsidR="00000000" w:rsidRPr="00000000">
        <w:rPr>
          <w:rtl w:val="0"/>
        </w:rPr>
      </w:r>
    </w:p>
    <w:p w:rsidR="00000000" w:rsidDel="00000000" w:rsidP="00000000" w:rsidRDefault="00000000" w:rsidRPr="00000000" w14:paraId="00000008">
      <w:pPr>
        <w:spacing w:line="276" w:lineRule="auto"/>
        <w:jc w:val="both"/>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3"/>
        <w:keepNext w:val="0"/>
        <w:keepLines w:val="0"/>
        <w:spacing w:before="280" w:line="276" w:lineRule="auto"/>
        <w:jc w:val="both"/>
        <w:rPr>
          <w:b w:val="1"/>
          <w:color w:val="000000"/>
          <w:sz w:val="26"/>
          <w:szCs w:val="26"/>
        </w:rPr>
      </w:pPr>
      <w:bookmarkStart w:colFirst="0" w:colLast="0" w:name="_u6vv6n3ctd6l" w:id="0"/>
      <w:bookmarkEnd w:id="0"/>
      <w:r w:rsidDel="00000000" w:rsidR="00000000" w:rsidRPr="00000000">
        <w:rPr>
          <w:color w:val="000000"/>
          <w:sz w:val="40"/>
          <w:szCs w:val="40"/>
          <w:rtl w:val="0"/>
        </w:rPr>
        <w:t xml:space="preserve">Problem Description</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sz w:val="24"/>
          <w:szCs w:val="24"/>
          <w:rtl w:val="0"/>
        </w:rPr>
        <w:t xml:space="preserve">There are numerous difficulties in handling information from the licensed software used by the public agency to project city properties. Poor decision-making and frequent errors occur due to deficiencies in the exported data, which is often extensive and heavy.</w:t>
      </w:r>
    </w:p>
    <w:p w:rsidR="00000000" w:rsidDel="00000000" w:rsidP="00000000" w:rsidRDefault="00000000" w:rsidRPr="00000000" w14:paraId="0000000B">
      <w:pPr>
        <w:pStyle w:val="Heading3"/>
        <w:keepNext w:val="0"/>
        <w:keepLines w:val="0"/>
        <w:spacing w:before="280" w:line="276" w:lineRule="auto"/>
        <w:jc w:val="both"/>
        <w:rPr>
          <w:b w:val="1"/>
          <w:color w:val="000000"/>
          <w:sz w:val="26"/>
          <w:szCs w:val="26"/>
        </w:rPr>
      </w:pPr>
      <w:bookmarkStart w:colFirst="0" w:colLast="0" w:name="_bvpgijdw2zzx" w:id="1"/>
      <w:bookmarkEnd w:id="1"/>
      <w:r w:rsidDel="00000000" w:rsidR="00000000" w:rsidRPr="00000000">
        <w:rPr>
          <w:color w:val="000000"/>
          <w:sz w:val="40"/>
          <w:szCs w:val="40"/>
          <w:rtl w:val="0"/>
        </w:rPr>
        <w:t xml:space="preserve">Context</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sz w:val="24"/>
          <w:szCs w:val="24"/>
          <w:rtl w:val="0"/>
        </w:rPr>
        <w:t xml:space="preserve">A public agency needs to analyze various variables related to city properties through projections to ensure secure and efficient property tax billing. The goal is to manage the necessary calculations for property analysis and facilitate decision-making by utilizing information extracted from the agency’s licensed software.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sz w:val="24"/>
          <w:szCs w:val="24"/>
          <w:rtl w:val="0"/>
        </w:rPr>
        <w:t xml:space="preserve">As a public city entity, the agency handles large capital figures, making property projections crucial to prevent significant financial losses for both the municipality and taxpayers.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sz w:val="24"/>
          <w:szCs w:val="24"/>
          <w:rtl w:val="0"/>
        </w:rPr>
        <w:t xml:space="preserve">The data extraction phase focuses on creating property tax projections through calculations and analyses comparing previous and current fiscal years (2024-2025).</w:t>
      </w:r>
    </w:p>
    <w:p w:rsidR="00000000" w:rsidDel="00000000" w:rsidP="00000000" w:rsidRDefault="00000000" w:rsidRPr="00000000" w14:paraId="0000000F">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color w:val="000000"/>
          <w:sz w:val="40"/>
          <w:szCs w:val="40"/>
        </w:rPr>
      </w:pPr>
      <w:bookmarkStart w:colFirst="0" w:colLast="0" w:name="_3x8b5xo72gmy" w:id="2"/>
      <w:bookmarkEnd w:id="2"/>
      <w:r w:rsidDel="00000000" w:rsidR="00000000" w:rsidRPr="00000000">
        <w:rPr>
          <w:color w:val="000000"/>
          <w:sz w:val="40"/>
          <w:szCs w:val="40"/>
          <w:rtl w:val="0"/>
        </w:rPr>
        <w:t xml:space="preserve">Dataset Description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sz w:val="24"/>
          <w:szCs w:val="24"/>
          <w:rtl w:val="0"/>
        </w:rPr>
        <w:t xml:space="preserve">The data used for property projection was obtained through the public agency’s licensed software. Due to confidentiality agreements and data sensitivity, certain dataset columns have been modified to prevent compromising the public entity.</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sz w:val="24"/>
          <w:szCs w:val="24"/>
          <w:rtl w:val="0"/>
        </w:rPr>
        <w:t xml:space="preserve">The dataset consists of </w:t>
      </w:r>
      <w:r w:rsidDel="00000000" w:rsidR="00000000" w:rsidRPr="00000000">
        <w:rPr>
          <w:sz w:val="24"/>
          <w:szCs w:val="24"/>
          <w:rtl w:val="0"/>
        </w:rPr>
        <w:t xml:space="preserve">100,000 records and 21 columns: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OBJETO_NUMERICO:</w:t>
      </w:r>
      <w:r w:rsidDel="00000000" w:rsidR="00000000" w:rsidRPr="00000000">
        <w:rPr>
          <w:sz w:val="24"/>
          <w:szCs w:val="24"/>
          <w:rtl w:val="0"/>
        </w:rPr>
        <w:t xml:space="preserve"> Unique indicator assigned by the licensed software to the property owner.</w:t>
        <w:br w:type="textWrapping"/>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TIPOPRED:</w:t>
      </w:r>
      <w:r w:rsidDel="00000000" w:rsidR="00000000" w:rsidRPr="00000000">
        <w:rPr>
          <w:sz w:val="24"/>
          <w:szCs w:val="24"/>
          <w:rtl w:val="0"/>
        </w:rPr>
        <w:t xml:space="preserve"> Property type as defined by regulations.</w:t>
        <w:br w:type="textWrapping"/>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AVALPRED_VIGANT:</w:t>
      </w:r>
      <w:r w:rsidDel="00000000" w:rsidR="00000000" w:rsidRPr="00000000">
        <w:rPr>
          <w:sz w:val="24"/>
          <w:szCs w:val="24"/>
          <w:rtl w:val="0"/>
        </w:rPr>
        <w:t xml:space="preserve"> Previous fiscal year (2024) property valuation.</w:t>
        <w:br w:type="textWrapping"/>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USU_VIGANT:</w:t>
      </w:r>
      <w:r w:rsidDel="00000000" w:rsidR="00000000" w:rsidRPr="00000000">
        <w:rPr>
          <w:sz w:val="24"/>
          <w:szCs w:val="24"/>
          <w:rtl w:val="0"/>
        </w:rPr>
        <w:t xml:space="preserve"> Standardized property indicator for the previous fiscal year.</w:t>
        <w:br w:type="textWrapping"/>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ACTIVIDAD_VIGANT:</w:t>
      </w:r>
      <w:r w:rsidDel="00000000" w:rsidR="00000000" w:rsidRPr="00000000">
        <w:rPr>
          <w:sz w:val="24"/>
          <w:szCs w:val="24"/>
          <w:rtl w:val="0"/>
        </w:rPr>
        <w:t xml:space="preserve"> Standardized property activity for the previous fiscal year.</w:t>
        <w:br w:type="textWrapping"/>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ESTRATO_VIGANT:</w:t>
      </w:r>
      <w:r w:rsidDel="00000000" w:rsidR="00000000" w:rsidRPr="00000000">
        <w:rPr>
          <w:sz w:val="24"/>
          <w:szCs w:val="24"/>
          <w:rtl w:val="0"/>
        </w:rPr>
        <w:t xml:space="preserve"> Socioeconomic stratum for the previous fiscal year.</w:t>
        <w:br w:type="textWrapping"/>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AREA_VIGANT:</w:t>
      </w:r>
      <w:r w:rsidDel="00000000" w:rsidR="00000000" w:rsidRPr="00000000">
        <w:rPr>
          <w:sz w:val="24"/>
          <w:szCs w:val="24"/>
          <w:rtl w:val="0"/>
        </w:rPr>
        <w:t xml:space="preserve"> Property area for the previous fiscal year.</w:t>
        <w:br w:type="textWrapping"/>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TERRENO_VIGANT:</w:t>
      </w:r>
      <w:r w:rsidDel="00000000" w:rsidR="00000000" w:rsidRPr="00000000">
        <w:rPr>
          <w:sz w:val="24"/>
          <w:szCs w:val="24"/>
          <w:rtl w:val="0"/>
        </w:rPr>
        <w:t xml:space="preserve"> Property land value for the previous fiscal year.</w:t>
        <w:br w:type="textWrapping"/>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PREDIAL_VIGANT:</w:t>
      </w:r>
      <w:r w:rsidDel="00000000" w:rsidR="00000000" w:rsidRPr="00000000">
        <w:rPr>
          <w:sz w:val="24"/>
          <w:szCs w:val="24"/>
          <w:rtl w:val="0"/>
        </w:rPr>
        <w:t xml:space="preserve"> Property tax value for the previous fiscal year.</w:t>
        <w:br w:type="textWrapping"/>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COMUNA:</w:t>
      </w:r>
      <w:r w:rsidDel="00000000" w:rsidR="00000000" w:rsidRPr="00000000">
        <w:rPr>
          <w:sz w:val="24"/>
          <w:szCs w:val="24"/>
          <w:rtl w:val="0"/>
        </w:rPr>
        <w:t xml:space="preserve"> Municipality subdivision where the property is located.</w:t>
        <w:br w:type="textWrapping"/>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BARRIO:</w:t>
      </w:r>
      <w:r w:rsidDel="00000000" w:rsidR="00000000" w:rsidRPr="00000000">
        <w:rPr>
          <w:sz w:val="24"/>
          <w:szCs w:val="24"/>
          <w:rtl w:val="0"/>
        </w:rPr>
        <w:t xml:space="preserve"> Neighborhood where the property is located.</w:t>
        <w:br w:type="textWrapping"/>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MANZANA:</w:t>
      </w:r>
      <w:r w:rsidDel="00000000" w:rsidR="00000000" w:rsidRPr="00000000">
        <w:rPr>
          <w:sz w:val="24"/>
          <w:szCs w:val="24"/>
          <w:rtl w:val="0"/>
        </w:rPr>
        <w:t xml:space="preserve"> Block where the property is located.</w:t>
        <w:br w:type="textWrapping"/>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TIPO_PREDIO:</w:t>
      </w:r>
      <w:r w:rsidDel="00000000" w:rsidR="00000000" w:rsidRPr="00000000">
        <w:rPr>
          <w:sz w:val="24"/>
          <w:szCs w:val="24"/>
          <w:rtl w:val="0"/>
        </w:rPr>
        <w:t xml:space="preserve"> Property type used for agency improvements.</w:t>
        <w:br w:type="textWrapping"/>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ACTUALIZACION:</w:t>
      </w:r>
      <w:r w:rsidDel="00000000" w:rsidR="00000000" w:rsidRPr="00000000">
        <w:rPr>
          <w:sz w:val="24"/>
          <w:szCs w:val="24"/>
          <w:rtl w:val="0"/>
        </w:rPr>
        <w:t xml:space="preserve"> Classification of the property as rural or urban.</w:t>
        <w:br w:type="textWrapping"/>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AVALPRED_VIGACT:</w:t>
      </w:r>
      <w:r w:rsidDel="00000000" w:rsidR="00000000" w:rsidRPr="00000000">
        <w:rPr>
          <w:sz w:val="24"/>
          <w:szCs w:val="24"/>
          <w:rtl w:val="0"/>
        </w:rPr>
        <w:t xml:space="preserve"> Current fiscal year (2025) property valuation.</w:t>
        <w:br w:type="textWrapping"/>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USU_VIGACT:</w:t>
      </w:r>
      <w:r w:rsidDel="00000000" w:rsidR="00000000" w:rsidRPr="00000000">
        <w:rPr>
          <w:sz w:val="24"/>
          <w:szCs w:val="24"/>
          <w:rtl w:val="0"/>
        </w:rPr>
        <w:t xml:space="preserve"> Standardized property indicator for the current fiscal year.</w:t>
        <w:br w:type="textWrapping"/>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ACTIVIDAD_VIGACT:</w:t>
      </w:r>
      <w:r w:rsidDel="00000000" w:rsidR="00000000" w:rsidRPr="00000000">
        <w:rPr>
          <w:sz w:val="24"/>
          <w:szCs w:val="24"/>
          <w:rtl w:val="0"/>
        </w:rPr>
        <w:t xml:space="preserve"> Standardized property activity for the current fiscal year.</w:t>
        <w:br w:type="textWrapping"/>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ESTRATO_VIGACT:</w:t>
      </w:r>
      <w:r w:rsidDel="00000000" w:rsidR="00000000" w:rsidRPr="00000000">
        <w:rPr>
          <w:sz w:val="24"/>
          <w:szCs w:val="24"/>
          <w:rtl w:val="0"/>
        </w:rPr>
        <w:t xml:space="preserve"> Socioeconomic stratum for the current fiscal year.</w:t>
        <w:br w:type="textWrapping"/>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AREA_VIGACT:</w:t>
      </w:r>
      <w:r w:rsidDel="00000000" w:rsidR="00000000" w:rsidRPr="00000000">
        <w:rPr>
          <w:sz w:val="24"/>
          <w:szCs w:val="24"/>
          <w:rtl w:val="0"/>
        </w:rPr>
        <w:t xml:space="preserve"> Property area for the current fiscal year.</w:t>
        <w:br w:type="textWrapping"/>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TERRENO_VIGACT:</w:t>
      </w:r>
      <w:r w:rsidDel="00000000" w:rsidR="00000000" w:rsidRPr="00000000">
        <w:rPr>
          <w:sz w:val="24"/>
          <w:szCs w:val="24"/>
          <w:rtl w:val="0"/>
        </w:rPr>
        <w:t xml:space="preserve"> Property land value for the current fiscal year.</w:t>
        <w:br w:type="textWrapping"/>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CARTERA_VIGACT:</w:t>
      </w:r>
      <w:r w:rsidDel="00000000" w:rsidR="00000000" w:rsidRPr="00000000">
        <w:rPr>
          <w:sz w:val="24"/>
          <w:szCs w:val="24"/>
          <w:rtl w:val="0"/>
        </w:rPr>
        <w:t xml:space="preserve"> Indicates whether the property has outstanding debts.</w:t>
        <w:br w:type="textWrapping"/>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sz w:val="24"/>
          <w:szCs w:val="24"/>
        </w:rPr>
      </w:pPr>
      <w:r w:rsidDel="00000000" w:rsidR="00000000" w:rsidRPr="00000000">
        <w:rPr>
          <w:rtl w:val="0"/>
        </w:rPr>
      </w:r>
    </w:p>
    <w:p w:rsidR="00000000" w:rsidDel="00000000" w:rsidP="00000000" w:rsidRDefault="00000000" w:rsidRPr="00000000" w14:paraId="0000002E">
      <w:pPr>
        <w:pStyle w:val="Heading3"/>
        <w:keepNext w:val="0"/>
        <w:keepLines w:val="0"/>
        <w:spacing w:before="280" w:line="276" w:lineRule="auto"/>
        <w:jc w:val="both"/>
        <w:rPr>
          <w:b w:val="1"/>
          <w:color w:val="000000"/>
          <w:sz w:val="26"/>
          <w:szCs w:val="26"/>
        </w:rPr>
      </w:pPr>
      <w:bookmarkStart w:colFirst="0" w:colLast="0" w:name="_m3fs0pqbjg5m" w:id="3"/>
      <w:bookmarkEnd w:id="3"/>
      <w:r w:rsidDel="00000000" w:rsidR="00000000" w:rsidRPr="00000000">
        <w:rPr>
          <w:color w:val="000000"/>
          <w:sz w:val="40"/>
          <w:szCs w:val="40"/>
          <w:rtl w:val="0"/>
        </w:rPr>
        <w:t xml:space="preserve">Process</w:t>
      </w:r>
      <w:r w:rsidDel="00000000" w:rsidR="00000000" w:rsidRPr="00000000">
        <w:rPr>
          <w:rtl w:val="0"/>
        </w:rPr>
      </w:r>
    </w:p>
    <w:p w:rsidR="00000000" w:rsidDel="00000000" w:rsidP="00000000" w:rsidRDefault="00000000" w:rsidRPr="00000000" w14:paraId="0000002F">
      <w:pPr>
        <w:pStyle w:val="Heading4"/>
        <w:keepNext w:val="0"/>
        <w:keepLines w:val="0"/>
        <w:spacing w:after="40" w:before="240" w:line="276" w:lineRule="auto"/>
        <w:jc w:val="both"/>
        <w:rPr>
          <w:color w:val="000000"/>
          <w:sz w:val="36"/>
          <w:szCs w:val="36"/>
        </w:rPr>
      </w:pPr>
      <w:bookmarkStart w:colFirst="0" w:colLast="0" w:name="_cg7epgriio4n" w:id="4"/>
      <w:bookmarkEnd w:id="4"/>
      <w:r w:rsidDel="00000000" w:rsidR="00000000" w:rsidRPr="00000000">
        <w:rPr>
          <w:color w:val="000000"/>
          <w:sz w:val="36"/>
          <w:szCs w:val="36"/>
          <w:rtl w:val="0"/>
        </w:rPr>
        <w:t xml:space="preserve">Workflow Structure</w:t>
      </w:r>
    </w:p>
    <w:p w:rsidR="00000000" w:rsidDel="00000000" w:rsidP="00000000" w:rsidRDefault="00000000" w:rsidRPr="00000000" w14:paraId="00000030">
      <w:pPr>
        <w:spacing w:line="276" w:lineRule="auto"/>
        <w:jc w:val="both"/>
        <w:rPr/>
      </w:pPr>
      <w:r w:rsidDel="00000000" w:rsidR="00000000" w:rsidRPr="00000000">
        <w:rPr>
          <w:sz w:val="36"/>
          <w:szCs w:val="36"/>
        </w:rPr>
        <w:drawing>
          <wp:inline distB="114300" distT="114300" distL="114300" distR="114300">
            <wp:extent cx="5731200" cy="2286000"/>
            <wp:effectExtent b="0" l="0" r="0" t="0"/>
            <wp:docPr id="1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276" w:lineRule="auto"/>
        <w:ind w:firstLine="720"/>
        <w:jc w:val="both"/>
        <w:rPr>
          <w:b w:val="1"/>
          <w:sz w:val="40"/>
          <w:szCs w:val="40"/>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Workflow image of ETL Property Project</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sz w:val="24"/>
          <w:szCs w:val="24"/>
          <w:rtl w:val="0"/>
        </w:rPr>
        <w:t xml:space="preserve">A workflow is defined where the </w:t>
      </w:r>
      <w:r w:rsidDel="00000000" w:rsidR="00000000" w:rsidRPr="00000000">
        <w:rPr>
          <w:sz w:val="24"/>
          <w:szCs w:val="24"/>
          <w:rtl w:val="0"/>
        </w:rPr>
        <w:t xml:space="preserve">data sources</w:t>
      </w:r>
      <w:r w:rsidDel="00000000" w:rsidR="00000000" w:rsidRPr="00000000">
        <w:rPr>
          <w:sz w:val="24"/>
          <w:szCs w:val="24"/>
          <w:rtl w:val="0"/>
        </w:rPr>
        <w:t xml:space="preserve"> are specified as the files used for the established tasks executed via Python/Airflow in Docker.</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sz w:val="24"/>
          <w:szCs w:val="24"/>
          <w:rtl w:val="0"/>
        </w:rPr>
        <w:t xml:space="preserve">Transformed data is stored in </w:t>
      </w:r>
      <w:r w:rsidDel="00000000" w:rsidR="00000000" w:rsidRPr="00000000">
        <w:rPr>
          <w:sz w:val="24"/>
          <w:szCs w:val="24"/>
          <w:rtl w:val="0"/>
        </w:rPr>
        <w:t xml:space="preserve">PostgreSQL databases</w:t>
      </w:r>
      <w:r w:rsidDel="00000000" w:rsidR="00000000" w:rsidRPr="00000000">
        <w:rPr>
          <w:sz w:val="24"/>
          <w:szCs w:val="24"/>
          <w:rtl w:val="0"/>
        </w:rPr>
        <w:t xml:space="preserve">, following standard ETL phases: </w:t>
      </w:r>
      <w:r w:rsidDel="00000000" w:rsidR="00000000" w:rsidRPr="00000000">
        <w:rPr>
          <w:sz w:val="24"/>
          <w:szCs w:val="24"/>
          <w:rtl w:val="0"/>
        </w:rPr>
        <w:t xml:space="preserve">Extraction, Staging, Transformation, Merge, and Load</w:t>
      </w:r>
      <w:r w:rsidDel="00000000" w:rsidR="00000000" w:rsidRPr="00000000">
        <w:rPr>
          <w:sz w:val="24"/>
          <w:szCs w:val="24"/>
          <w:rtl w:val="0"/>
        </w:rPr>
        <w:t xml:space="preserve">.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color w:val="000000"/>
        </w:rPr>
      </w:pPr>
      <w:r w:rsidDel="00000000" w:rsidR="00000000" w:rsidRPr="00000000">
        <w:rPr>
          <w:sz w:val="36"/>
          <w:szCs w:val="36"/>
          <w:rtl w:val="0"/>
        </w:rPr>
        <w:t xml:space="preserve">Folder Structure in Docker </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sz w:val="24"/>
          <w:szCs w:val="24"/>
          <w:rtl w:val="0"/>
        </w:rPr>
        <w:t xml:space="preserve">Apache Airflow is used to automate the workflow by virtualizing it in Docker and creating tasks using Python code.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sz w:val="24"/>
          <w:szCs w:val="24"/>
          <w:rtl w:val="0"/>
        </w:rPr>
        <w:t xml:space="preserve">Docker is chosen for its flexibility and ease of running tools on Linux, as the project runs on Windows. Since Airflow is primarily for Linux environments, Docker serves as the virtual environment enabling Airflow execution on the local machine.</w:t>
      </w:r>
    </w:p>
    <w:p w:rsidR="00000000" w:rsidDel="00000000" w:rsidP="00000000" w:rsidRDefault="00000000" w:rsidRPr="00000000" w14:paraId="0000003B">
      <w:pPr>
        <w:spacing w:line="259" w:lineRule="auto"/>
        <w:jc w:val="both"/>
        <w:rPr>
          <w:sz w:val="24"/>
          <w:szCs w:val="24"/>
        </w:rPr>
      </w:pPr>
      <w:r w:rsidDel="00000000" w:rsidR="00000000" w:rsidRPr="00000000">
        <w:rPr>
          <w:sz w:val="24"/>
          <w:szCs w:val="24"/>
        </w:rPr>
        <w:drawing>
          <wp:inline distB="114300" distT="114300" distL="114300" distR="114300">
            <wp:extent cx="5731200" cy="2171700"/>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276" w:lineRule="auto"/>
        <w:ind w:firstLine="720"/>
        <w:jc w:val="both"/>
        <w:rPr>
          <w:b w:val="1"/>
          <w:sz w:val="40"/>
          <w:szCs w:val="40"/>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rtl w:val="0"/>
        </w:rPr>
        <w:t xml:space="preserve">Folder structure image of the ETL Property Project in Docker</w:t>
      </w:r>
      <w:r w:rsidDel="00000000" w:rsidR="00000000" w:rsidRPr="00000000">
        <w:rPr>
          <w:rtl w:val="0"/>
        </w:rPr>
      </w:r>
    </w:p>
    <w:p w:rsidR="00000000" w:rsidDel="00000000" w:rsidP="00000000" w:rsidRDefault="00000000" w:rsidRPr="00000000" w14:paraId="0000003D">
      <w:pPr>
        <w:pStyle w:val="Heading3"/>
        <w:keepNext w:val="0"/>
        <w:keepLines w:val="0"/>
        <w:spacing w:before="280" w:line="276" w:lineRule="auto"/>
        <w:jc w:val="both"/>
        <w:rPr>
          <w:b w:val="1"/>
          <w:color w:val="000000"/>
          <w:sz w:val="26"/>
          <w:szCs w:val="26"/>
        </w:rPr>
      </w:pPr>
      <w:bookmarkStart w:colFirst="0" w:colLast="0" w:name="_jazud6j7hhv3" w:id="5"/>
      <w:bookmarkEnd w:id="5"/>
      <w:r w:rsidDel="00000000" w:rsidR="00000000" w:rsidRPr="00000000">
        <w:rPr>
          <w:color w:val="000000"/>
          <w:sz w:val="34"/>
          <w:szCs w:val="34"/>
          <w:rtl w:val="0"/>
        </w:rPr>
        <w:t xml:space="preserve">Tools Used:</w:t>
      </w:r>
      <w:r w:rsidDel="00000000" w:rsidR="00000000" w:rsidRPr="00000000">
        <w:rPr>
          <w:rtl w:val="0"/>
        </w:rPr>
      </w:r>
    </w:p>
    <w:p w:rsidR="00000000" w:rsidDel="00000000" w:rsidP="00000000" w:rsidRDefault="00000000" w:rsidRPr="00000000" w14:paraId="0000003E">
      <w:pPr>
        <w:numPr>
          <w:ilvl w:val="0"/>
          <w:numId w:val="2"/>
        </w:numPr>
        <w:spacing w:after="0" w:afterAutospacing="0" w:before="240" w:line="276" w:lineRule="auto"/>
        <w:ind w:left="720" w:hanging="360"/>
        <w:rPr>
          <w:sz w:val="26"/>
          <w:szCs w:val="26"/>
        </w:rPr>
      </w:pPr>
      <w:r w:rsidDel="00000000" w:rsidR="00000000" w:rsidRPr="00000000">
        <w:rPr>
          <w:sz w:val="26"/>
          <w:szCs w:val="26"/>
          <w:rtl w:val="0"/>
        </w:rPr>
        <w:t xml:space="preserve">Python</w:t>
        <w:br w:type="textWrapping"/>
      </w:r>
    </w:p>
    <w:p w:rsidR="00000000" w:rsidDel="00000000" w:rsidP="00000000" w:rsidRDefault="00000000" w:rsidRPr="00000000" w14:paraId="0000003F">
      <w:pPr>
        <w:numPr>
          <w:ilvl w:val="0"/>
          <w:numId w:val="2"/>
        </w:numPr>
        <w:spacing w:after="0" w:afterAutospacing="0" w:before="0" w:beforeAutospacing="0" w:line="276" w:lineRule="auto"/>
        <w:ind w:left="720" w:hanging="360"/>
        <w:rPr>
          <w:sz w:val="26"/>
          <w:szCs w:val="26"/>
        </w:rPr>
      </w:pPr>
      <w:r w:rsidDel="00000000" w:rsidR="00000000" w:rsidRPr="00000000">
        <w:rPr>
          <w:sz w:val="26"/>
          <w:szCs w:val="26"/>
          <w:rtl w:val="0"/>
        </w:rPr>
        <w:t xml:space="preserve">Jupyter Notebooks</w:t>
        <w:br w:type="textWrapping"/>
      </w:r>
    </w:p>
    <w:p w:rsidR="00000000" w:rsidDel="00000000" w:rsidP="00000000" w:rsidRDefault="00000000" w:rsidRPr="00000000" w14:paraId="00000040">
      <w:pPr>
        <w:numPr>
          <w:ilvl w:val="0"/>
          <w:numId w:val="2"/>
        </w:numPr>
        <w:spacing w:after="0" w:afterAutospacing="0" w:before="0" w:beforeAutospacing="0" w:line="276" w:lineRule="auto"/>
        <w:ind w:left="720" w:hanging="360"/>
        <w:rPr>
          <w:sz w:val="26"/>
          <w:szCs w:val="26"/>
        </w:rPr>
      </w:pPr>
      <w:r w:rsidDel="00000000" w:rsidR="00000000" w:rsidRPr="00000000">
        <w:rPr>
          <w:sz w:val="26"/>
          <w:szCs w:val="26"/>
          <w:rtl w:val="0"/>
        </w:rPr>
        <w:t xml:space="preserve">PostgreSQL</w:t>
        <w:br w:type="textWrapping"/>
      </w:r>
    </w:p>
    <w:p w:rsidR="00000000" w:rsidDel="00000000" w:rsidP="00000000" w:rsidRDefault="00000000" w:rsidRPr="00000000" w14:paraId="00000041">
      <w:pPr>
        <w:numPr>
          <w:ilvl w:val="0"/>
          <w:numId w:val="2"/>
        </w:numPr>
        <w:spacing w:after="0" w:afterAutospacing="0" w:before="0" w:beforeAutospacing="0" w:line="276" w:lineRule="auto"/>
        <w:ind w:left="720" w:hanging="360"/>
        <w:rPr>
          <w:sz w:val="26"/>
          <w:szCs w:val="26"/>
        </w:rPr>
      </w:pPr>
      <w:r w:rsidDel="00000000" w:rsidR="00000000" w:rsidRPr="00000000">
        <w:rPr>
          <w:sz w:val="26"/>
          <w:szCs w:val="26"/>
          <w:rtl w:val="0"/>
        </w:rPr>
        <w:t xml:space="preserve">Power BI</w:t>
        <w:br w:type="textWrapping"/>
      </w:r>
    </w:p>
    <w:p w:rsidR="00000000" w:rsidDel="00000000" w:rsidP="00000000" w:rsidRDefault="00000000" w:rsidRPr="00000000" w14:paraId="00000042">
      <w:pPr>
        <w:numPr>
          <w:ilvl w:val="0"/>
          <w:numId w:val="2"/>
        </w:numPr>
        <w:spacing w:after="0" w:afterAutospacing="0" w:before="0" w:beforeAutospacing="0" w:line="276" w:lineRule="auto"/>
        <w:ind w:left="720" w:hanging="360"/>
        <w:rPr>
          <w:sz w:val="26"/>
          <w:szCs w:val="26"/>
        </w:rPr>
      </w:pPr>
      <w:r w:rsidDel="00000000" w:rsidR="00000000" w:rsidRPr="00000000">
        <w:rPr>
          <w:sz w:val="26"/>
          <w:szCs w:val="26"/>
          <w:rtl w:val="0"/>
        </w:rPr>
        <w:t xml:space="preserve">SQLAlchemy</w:t>
        <w:br w:type="textWrapping"/>
      </w:r>
    </w:p>
    <w:p w:rsidR="00000000" w:rsidDel="00000000" w:rsidP="00000000" w:rsidRDefault="00000000" w:rsidRPr="00000000" w14:paraId="00000043">
      <w:pPr>
        <w:numPr>
          <w:ilvl w:val="0"/>
          <w:numId w:val="2"/>
        </w:numPr>
        <w:spacing w:after="0" w:afterAutospacing="0" w:before="0" w:beforeAutospacing="0" w:line="276" w:lineRule="auto"/>
        <w:ind w:left="720" w:hanging="360"/>
        <w:rPr>
          <w:sz w:val="26"/>
          <w:szCs w:val="26"/>
        </w:rPr>
      </w:pPr>
      <w:r w:rsidDel="00000000" w:rsidR="00000000" w:rsidRPr="00000000">
        <w:rPr>
          <w:sz w:val="26"/>
          <w:szCs w:val="26"/>
          <w:rtl w:val="0"/>
        </w:rPr>
        <w:t xml:space="preserve">Apache Airflow</w:t>
        <w:br w:type="textWrapping"/>
      </w:r>
    </w:p>
    <w:p w:rsidR="00000000" w:rsidDel="00000000" w:rsidP="00000000" w:rsidRDefault="00000000" w:rsidRPr="00000000" w14:paraId="00000044">
      <w:pPr>
        <w:numPr>
          <w:ilvl w:val="0"/>
          <w:numId w:val="2"/>
        </w:numPr>
        <w:spacing w:after="240" w:before="0" w:beforeAutospacing="0" w:line="276" w:lineRule="auto"/>
        <w:ind w:left="720" w:hanging="360"/>
        <w:rPr>
          <w:sz w:val="26"/>
          <w:szCs w:val="26"/>
        </w:rPr>
      </w:pPr>
      <w:r w:rsidDel="00000000" w:rsidR="00000000" w:rsidRPr="00000000">
        <w:rPr>
          <w:sz w:val="26"/>
          <w:szCs w:val="26"/>
          <w:rtl w:val="0"/>
        </w:rPr>
        <w:t xml:space="preserve">Docker</w:t>
      </w:r>
      <w:r w:rsidDel="00000000" w:rsidR="00000000" w:rsidRPr="00000000">
        <w:rPr>
          <w:rtl w:val="0"/>
        </w:rPr>
      </w:r>
    </w:p>
    <w:p w:rsidR="00000000" w:rsidDel="00000000" w:rsidP="00000000" w:rsidRDefault="00000000" w:rsidRPr="00000000" w14:paraId="00000045">
      <w:pPr>
        <w:spacing w:line="276" w:lineRule="auto"/>
        <w:jc w:val="both"/>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3"/>
        <w:keepNext w:val="0"/>
        <w:keepLines w:val="0"/>
        <w:spacing w:before="280" w:line="276" w:lineRule="auto"/>
        <w:jc w:val="both"/>
        <w:rPr>
          <w:color w:val="000000"/>
          <w:sz w:val="40"/>
          <w:szCs w:val="40"/>
        </w:rPr>
      </w:pPr>
      <w:bookmarkStart w:colFirst="0" w:colLast="0" w:name="_esvufxu92vkf" w:id="6"/>
      <w:bookmarkEnd w:id="6"/>
      <w:r w:rsidDel="00000000" w:rsidR="00000000" w:rsidRPr="00000000">
        <w:rPr>
          <w:rtl w:val="0"/>
        </w:rPr>
      </w:r>
    </w:p>
    <w:p w:rsidR="00000000" w:rsidDel="00000000" w:rsidP="00000000" w:rsidRDefault="00000000" w:rsidRPr="00000000" w14:paraId="00000047">
      <w:pPr>
        <w:pStyle w:val="Heading3"/>
        <w:keepNext w:val="0"/>
        <w:keepLines w:val="0"/>
        <w:spacing w:before="280" w:line="276" w:lineRule="auto"/>
        <w:jc w:val="both"/>
        <w:rPr>
          <w:color w:val="000000"/>
          <w:sz w:val="40"/>
          <w:szCs w:val="40"/>
        </w:rPr>
      </w:pPr>
      <w:bookmarkStart w:colFirst="0" w:colLast="0" w:name="_4l9gj02y4bj1" w:id="7"/>
      <w:bookmarkEnd w:id="7"/>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3"/>
        <w:keepNext w:val="0"/>
        <w:keepLines w:val="0"/>
        <w:spacing w:before="280" w:line="276" w:lineRule="auto"/>
        <w:jc w:val="both"/>
        <w:rPr>
          <w:color w:val="000000"/>
          <w:sz w:val="40"/>
          <w:szCs w:val="40"/>
        </w:rPr>
      </w:pPr>
      <w:bookmarkStart w:colFirst="0" w:colLast="0" w:name="_ofo3yw9w24xc" w:id="8"/>
      <w:bookmarkEnd w:id="8"/>
      <w:r w:rsidDel="00000000" w:rsidR="00000000" w:rsidRPr="00000000">
        <w:rPr>
          <w:color w:val="000000"/>
          <w:sz w:val="40"/>
          <w:szCs w:val="40"/>
          <w:rtl w:val="0"/>
        </w:rPr>
        <w:t xml:space="preserve">Extract</w:t>
      </w:r>
    </w:p>
    <w:p w:rsidR="00000000" w:rsidDel="00000000" w:rsidP="00000000" w:rsidRDefault="00000000" w:rsidRPr="00000000" w14:paraId="00000049">
      <w:pPr>
        <w:spacing w:line="259" w:lineRule="auto"/>
        <w:jc w:val="both"/>
        <w:rPr/>
      </w:pPr>
      <w:r w:rsidDel="00000000" w:rsidR="00000000" w:rsidRPr="00000000">
        <w:rPr>
          <w:sz w:val="36"/>
          <w:szCs w:val="36"/>
        </w:rPr>
        <w:drawing>
          <wp:inline distB="114300" distT="114300" distL="114300" distR="114300">
            <wp:extent cx="5153025" cy="4057650"/>
            <wp:effectExtent b="0" l="0" r="0" t="0"/>
            <wp:docPr id="1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153025"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276" w:lineRule="auto"/>
        <w:ind w:firstLine="720"/>
        <w:jc w:val="both"/>
        <w:rPr>
          <w:b w:val="1"/>
          <w:sz w:val="40"/>
          <w:szCs w:val="40"/>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rtl w:val="0"/>
        </w:rPr>
        <w:t xml:space="preserve">Extraction phase image of the ETL Property Project</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sz w:val="24"/>
          <w:szCs w:val="24"/>
          <w:rtl w:val="0"/>
        </w:rPr>
        <w:t xml:space="preserve">The extraction phase involves defining and presenting the data to be used in the process.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4D">
      <w:pPr>
        <w:spacing w:line="259" w:lineRule="auto"/>
        <w:jc w:val="both"/>
        <w:rPr>
          <w:sz w:val="24"/>
          <w:szCs w:val="24"/>
        </w:rPr>
      </w:pPr>
      <w:r w:rsidDel="00000000" w:rsidR="00000000" w:rsidRPr="00000000">
        <w:rPr>
          <w:rtl w:val="0"/>
        </w:rPr>
      </w:r>
    </w:p>
    <w:p w:rsidR="00000000" w:rsidDel="00000000" w:rsidP="00000000" w:rsidRDefault="00000000" w:rsidRPr="00000000" w14:paraId="0000004E">
      <w:pPr>
        <w:spacing w:line="276" w:lineRule="auto"/>
        <w:jc w:val="both"/>
        <w:rPr>
          <w:sz w:val="36"/>
          <w:szCs w:val="36"/>
        </w:rPr>
      </w:pPr>
      <w:r w:rsidDel="00000000" w:rsidR="00000000" w:rsidRPr="00000000">
        <w:rPr>
          <w:sz w:val="36"/>
          <w:szCs w:val="36"/>
        </w:rPr>
        <w:drawing>
          <wp:inline distB="114300" distT="114300" distL="114300" distR="114300">
            <wp:extent cx="1238250" cy="219075"/>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2382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76" w:lineRule="auto"/>
        <w:jc w:val="both"/>
        <w:rPr>
          <w:sz w:val="36"/>
          <w:szCs w:val="36"/>
        </w:rPr>
      </w:pPr>
      <w:r w:rsidDel="00000000" w:rsidR="00000000" w:rsidRPr="00000000">
        <w:rPr>
          <w:sz w:val="36"/>
          <w:szCs w:val="36"/>
        </w:rPr>
        <w:drawing>
          <wp:inline distB="114300" distT="114300" distL="114300" distR="114300">
            <wp:extent cx="1181100" cy="228600"/>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11811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sz w:val="24"/>
          <w:szCs w:val="24"/>
          <w:rtl w:val="0"/>
        </w:rPr>
        <w:t xml:space="preserve">The first step in the ETL process is establishing a connection to the </w:t>
      </w:r>
      <w:r w:rsidDel="00000000" w:rsidR="00000000" w:rsidRPr="00000000">
        <w:rPr>
          <w:sz w:val="24"/>
          <w:szCs w:val="24"/>
          <w:rtl w:val="0"/>
        </w:rPr>
        <w:t xml:space="preserve">PostgreSQL server</w:t>
      </w:r>
      <w:r w:rsidDel="00000000" w:rsidR="00000000" w:rsidRPr="00000000">
        <w:rPr>
          <w:sz w:val="24"/>
          <w:szCs w:val="24"/>
          <w:rtl w:val="0"/>
        </w:rPr>
        <w:t xml:space="preserve"> to create the database (</w:t>
      </w:r>
      <w:r w:rsidDel="00000000" w:rsidR="00000000" w:rsidRPr="00000000">
        <w:rPr>
          <w:sz w:val="24"/>
          <w:szCs w:val="24"/>
          <w:rtl w:val="0"/>
        </w:rPr>
        <w:t xml:space="preserve">proye_etl_db</w:t>
      </w:r>
      <w:r w:rsidDel="00000000" w:rsidR="00000000" w:rsidRPr="00000000">
        <w:rPr>
          <w:sz w:val="24"/>
          <w:szCs w:val="24"/>
          <w:rtl w:val="0"/>
        </w:rPr>
        <w:t xml:space="preserve">) for staging and storing the initial data load in the table (</w:t>
      </w:r>
      <w:r w:rsidDel="00000000" w:rsidR="00000000" w:rsidRPr="00000000">
        <w:rPr>
          <w:sz w:val="24"/>
          <w:szCs w:val="24"/>
          <w:rtl w:val="0"/>
        </w:rPr>
        <w:t xml:space="preserve">base_proye</w:t>
      </w:r>
      <w:r w:rsidDel="00000000" w:rsidR="00000000" w:rsidRPr="00000000">
        <w:rPr>
          <w:sz w:val="24"/>
          <w:szCs w:val="24"/>
          <w:rtl w:val="0"/>
        </w:rPr>
        <w:t xml:space="preserve">).</w:t>
      </w:r>
    </w:p>
    <w:p w:rsidR="00000000" w:rsidDel="00000000" w:rsidP="00000000" w:rsidRDefault="00000000" w:rsidRPr="00000000" w14:paraId="00000052">
      <w:pPr>
        <w:spacing w:line="276" w:lineRule="auto"/>
        <w:jc w:val="both"/>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Style w:val="Heading3"/>
        <w:keepNext w:val="0"/>
        <w:keepLines w:val="0"/>
        <w:spacing w:before="280" w:line="276" w:lineRule="auto"/>
        <w:jc w:val="both"/>
        <w:rPr>
          <w:b w:val="1"/>
          <w:color w:val="000000"/>
          <w:sz w:val="26"/>
          <w:szCs w:val="26"/>
        </w:rPr>
      </w:pPr>
      <w:bookmarkStart w:colFirst="0" w:colLast="0" w:name="_q1k9hfdiqz31" w:id="9"/>
      <w:bookmarkEnd w:id="9"/>
      <w:r w:rsidDel="00000000" w:rsidR="00000000" w:rsidRPr="00000000">
        <w:rPr>
          <w:color w:val="000000"/>
          <w:sz w:val="40"/>
          <w:szCs w:val="40"/>
          <w:rtl w:val="0"/>
        </w:rPr>
        <w:t xml:space="preserve">Transform-Merge</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sz w:val="24"/>
          <w:szCs w:val="24"/>
          <w:rtl w:val="0"/>
        </w:rPr>
        <w:t xml:space="preserve">For the </w:t>
      </w:r>
      <w:r w:rsidDel="00000000" w:rsidR="00000000" w:rsidRPr="00000000">
        <w:rPr>
          <w:sz w:val="24"/>
          <w:szCs w:val="24"/>
          <w:rtl w:val="0"/>
        </w:rPr>
        <w:t xml:space="preserve">transformation-merge</w:t>
      </w:r>
      <w:r w:rsidDel="00000000" w:rsidR="00000000" w:rsidRPr="00000000">
        <w:rPr>
          <w:sz w:val="24"/>
          <w:szCs w:val="24"/>
          <w:rtl w:val="0"/>
        </w:rPr>
        <w:t xml:space="preserve"> phases, the database containing the extracted and staged data (</w:t>
      </w:r>
      <w:r w:rsidDel="00000000" w:rsidR="00000000" w:rsidRPr="00000000">
        <w:rPr>
          <w:sz w:val="24"/>
          <w:szCs w:val="24"/>
          <w:rtl w:val="0"/>
        </w:rPr>
        <w:t xml:space="preserve">base_proye</w:t>
      </w:r>
      <w:r w:rsidDel="00000000" w:rsidR="00000000" w:rsidRPr="00000000">
        <w:rPr>
          <w:sz w:val="24"/>
          <w:szCs w:val="24"/>
          <w:rtl w:val="0"/>
        </w:rPr>
        <w:t xml:space="preserve">) is accessed. Various sub-stages are implemented for better organization and data governance, including </w:t>
      </w:r>
      <w:r w:rsidDel="00000000" w:rsidR="00000000" w:rsidRPr="00000000">
        <w:rPr>
          <w:sz w:val="24"/>
          <w:szCs w:val="24"/>
          <w:rtl w:val="0"/>
        </w:rPr>
        <w:t xml:space="preserve">data cleaning, standardization, and initial processing</w:t>
      </w:r>
      <w:r w:rsidDel="00000000" w:rsidR="00000000" w:rsidRPr="00000000">
        <w:rPr>
          <w:sz w:val="24"/>
          <w:szCs w:val="24"/>
          <w:rtl w:val="0"/>
        </w:rPr>
        <w:t xml:space="preserv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sz w:val="24"/>
          <w:szCs w:val="24"/>
          <w:rtl w:val="0"/>
        </w:rPr>
        <w:t xml:space="preserve">Since the agency's licensed software exports data with formatting inconsistencies, standardization is applied. For example, the </w:t>
      </w:r>
      <w:r w:rsidDel="00000000" w:rsidR="00000000" w:rsidRPr="00000000">
        <w:rPr>
          <w:sz w:val="24"/>
          <w:szCs w:val="24"/>
          <w:rtl w:val="0"/>
        </w:rPr>
        <w:t xml:space="preserve">OBJETO_NUMERICO</w:t>
      </w:r>
      <w:r w:rsidDel="00000000" w:rsidR="00000000" w:rsidRPr="00000000">
        <w:rPr>
          <w:sz w:val="24"/>
          <w:szCs w:val="24"/>
          <w:rtl w:val="0"/>
        </w:rPr>
        <w:t xml:space="preserve"> field, a unique identifier for property owners, should contain </w:t>
      </w:r>
      <w:r w:rsidDel="00000000" w:rsidR="00000000" w:rsidRPr="00000000">
        <w:rPr>
          <w:sz w:val="24"/>
          <w:szCs w:val="24"/>
          <w:rtl w:val="0"/>
        </w:rPr>
        <w:t xml:space="preserve">20 digits</w:t>
      </w:r>
      <w:r w:rsidDel="00000000" w:rsidR="00000000" w:rsidRPr="00000000">
        <w:rPr>
          <w:sz w:val="24"/>
          <w:szCs w:val="24"/>
          <w:rtl w:val="0"/>
        </w:rPr>
        <w:t xml:space="preserve">, but the exported data often lacks a digit due to initial numerical format conversions (e.g., </w:t>
      </w:r>
      <w:r w:rsidDel="00000000" w:rsidR="00000000" w:rsidRPr="00000000">
        <w:rPr>
          <w:rFonts w:ascii="Arial Unicode MS" w:cs="Arial Unicode MS" w:eastAsia="Arial Unicode MS" w:hAnsi="Arial Unicode MS"/>
          <w:sz w:val="24"/>
          <w:szCs w:val="24"/>
          <w:rtl w:val="0"/>
        </w:rPr>
        <w:t xml:space="preserve">01 → 1</w:t>
      </w:r>
      <w:r w:rsidDel="00000000" w:rsidR="00000000" w:rsidRPr="00000000">
        <w:rPr>
          <w:sz w:val="24"/>
          <w:szCs w:val="24"/>
          <w:rtl w:val="0"/>
        </w:rPr>
        <w:t xml:space="preserv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sz w:val="24"/>
          <w:szCs w:val="24"/>
          <w:rtl w:val="0"/>
        </w:rPr>
        <w:t xml:space="preserve">Data type conversions are also performed to correct any issues from the extraction phase.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merge phase</w:t>
      </w:r>
      <w:r w:rsidDel="00000000" w:rsidR="00000000" w:rsidRPr="00000000">
        <w:rPr>
          <w:sz w:val="24"/>
          <w:szCs w:val="24"/>
          <w:rtl w:val="0"/>
        </w:rPr>
        <w:t xml:space="preserve"> integrates the agency’s </w:t>
      </w:r>
      <w:r w:rsidDel="00000000" w:rsidR="00000000" w:rsidRPr="00000000">
        <w:rPr>
          <w:sz w:val="24"/>
          <w:szCs w:val="24"/>
          <w:rtl w:val="0"/>
        </w:rPr>
        <w:t xml:space="preserve">tariff data (in JSON format)</w:t>
      </w:r>
      <w:r w:rsidDel="00000000" w:rsidR="00000000" w:rsidRPr="00000000">
        <w:rPr>
          <w:sz w:val="24"/>
          <w:szCs w:val="24"/>
          <w:rtl w:val="0"/>
        </w:rPr>
        <w:t xml:space="preserve"> with the dataset. Transformations are applied to ensure compatibility and enable property tax calculations.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C">
      <w:pPr>
        <w:spacing w:line="276" w:lineRule="auto"/>
        <w:jc w:val="both"/>
        <w:rPr>
          <w:sz w:val="24"/>
          <w:szCs w:val="24"/>
        </w:rPr>
      </w:pPr>
      <w:r w:rsidDel="00000000" w:rsidR="00000000" w:rsidRPr="00000000">
        <w:rPr>
          <w:sz w:val="36"/>
          <w:szCs w:val="36"/>
        </w:rPr>
        <w:drawing>
          <wp:inline distB="114300" distT="114300" distL="114300" distR="114300">
            <wp:extent cx="5731200" cy="2933700"/>
            <wp:effectExtent b="0" l="0" r="0" t="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rtl w:val="0"/>
        </w:rPr>
        <w:t xml:space="preserve">Transformation-merge phase image of the ETL Property Project</w:t>
      </w:r>
    </w:p>
    <w:p w:rsidR="00000000" w:rsidDel="00000000" w:rsidP="00000000" w:rsidRDefault="00000000" w:rsidRPr="00000000" w14:paraId="0000005E">
      <w:pPr>
        <w:spacing w:line="276" w:lineRule="auto"/>
        <w:jc w:val="both"/>
        <w:rPr>
          <w:rFonts w:ascii="Times New Roman" w:cs="Times New Roman" w:eastAsia="Times New Roman" w:hAnsi="Times New Roman"/>
        </w:rPr>
      </w:pPr>
      <w:r w:rsidDel="00000000" w:rsidR="00000000" w:rsidRPr="00000000">
        <w:rPr>
          <w:sz w:val="36"/>
          <w:szCs w:val="36"/>
        </w:rPr>
        <w:drawing>
          <wp:inline distB="114300" distT="114300" distL="114300" distR="114300">
            <wp:extent cx="5731200" cy="14732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276" w:lineRule="auto"/>
        <w:jc w:val="both"/>
        <w:rPr>
          <w:b w:val="1"/>
          <w:sz w:val="40"/>
          <w:szCs w:val="40"/>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rtl w:val="0"/>
        </w:rPr>
        <w:t xml:space="preserve">Tasks image for transformation-merge in the ETL Property Project</w:t>
      </w:r>
      <w:r w:rsidDel="00000000" w:rsidR="00000000" w:rsidRPr="00000000">
        <w:rPr>
          <w:rtl w:val="0"/>
        </w:rPr>
      </w:r>
    </w:p>
    <w:p w:rsidR="00000000" w:rsidDel="00000000" w:rsidP="00000000" w:rsidRDefault="00000000" w:rsidRPr="00000000" w14:paraId="00000060">
      <w:pPr>
        <w:spacing w:after="240" w:before="240" w:line="276" w:lineRule="auto"/>
        <w:jc w:val="both"/>
        <w:rPr>
          <w:sz w:val="40"/>
          <w:szCs w:val="40"/>
        </w:rPr>
      </w:pPr>
      <w:r w:rsidDel="00000000" w:rsidR="00000000" w:rsidRPr="00000000">
        <w:rPr>
          <w:sz w:val="24"/>
          <w:szCs w:val="24"/>
          <w:rtl w:val="0"/>
        </w:rPr>
        <w:t xml:space="preserve">Transformation and merge tasks communicate via transformed dataframes, passing the final output to the next phase.</w:t>
      </w:r>
      <w:r w:rsidDel="00000000" w:rsidR="00000000" w:rsidRPr="00000000">
        <w:rPr>
          <w:rtl w:val="0"/>
        </w:rPr>
      </w:r>
    </w:p>
    <w:p w:rsidR="00000000" w:rsidDel="00000000" w:rsidP="00000000" w:rsidRDefault="00000000" w:rsidRPr="00000000" w14:paraId="00000061">
      <w:pPr>
        <w:spacing w:line="276" w:lineRule="auto"/>
        <w:jc w:val="both"/>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pStyle w:val="Heading3"/>
        <w:keepNext w:val="0"/>
        <w:keepLines w:val="0"/>
        <w:spacing w:before="280" w:line="276" w:lineRule="auto"/>
        <w:jc w:val="both"/>
        <w:rPr>
          <w:b w:val="1"/>
          <w:color w:val="000000"/>
          <w:sz w:val="26"/>
          <w:szCs w:val="26"/>
        </w:rPr>
      </w:pPr>
      <w:bookmarkStart w:colFirst="0" w:colLast="0" w:name="_1ifm3j5wv35u" w:id="10"/>
      <w:bookmarkEnd w:id="10"/>
      <w:r w:rsidDel="00000000" w:rsidR="00000000" w:rsidRPr="00000000">
        <w:rPr>
          <w:color w:val="000000"/>
          <w:sz w:val="40"/>
          <w:szCs w:val="40"/>
          <w:rtl w:val="0"/>
        </w:rPr>
        <w:t xml:space="preserve">Load</w:t>
      </w:r>
      <w:r w:rsidDel="00000000" w:rsidR="00000000" w:rsidRPr="00000000">
        <w:rPr>
          <w:rtl w:val="0"/>
        </w:rPr>
      </w:r>
    </w:p>
    <w:p w:rsidR="00000000" w:rsidDel="00000000" w:rsidP="00000000" w:rsidRDefault="00000000" w:rsidRPr="00000000" w14:paraId="00000063">
      <w:pPr>
        <w:spacing w:after="240" w:before="240" w:line="276" w:lineRule="auto"/>
        <w:jc w:val="both"/>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Load</w:t>
      </w:r>
      <w:r w:rsidDel="00000000" w:rsidR="00000000" w:rsidRPr="00000000">
        <w:rPr>
          <w:sz w:val="24"/>
          <w:szCs w:val="24"/>
          <w:rtl w:val="0"/>
        </w:rPr>
        <w:t xml:space="preserve"> phase concludes the workflow by inserting the final data into dimensional tables within the database, using the following </w:t>
      </w:r>
      <w:r w:rsidDel="00000000" w:rsidR="00000000" w:rsidRPr="00000000">
        <w:rPr>
          <w:sz w:val="24"/>
          <w:szCs w:val="24"/>
          <w:rtl w:val="0"/>
        </w:rPr>
        <w:t xml:space="preserve">dimensional model</w:t>
      </w:r>
      <w:r w:rsidDel="00000000" w:rsidR="00000000" w:rsidRPr="00000000">
        <w:rPr>
          <w:sz w:val="24"/>
          <w:szCs w:val="24"/>
          <w:rtl w:val="0"/>
        </w:rPr>
        <w:t xml:space="preserve">:</w:t>
      </w:r>
    </w:p>
    <w:p w:rsidR="00000000" w:rsidDel="00000000" w:rsidP="00000000" w:rsidRDefault="00000000" w:rsidRPr="00000000" w14:paraId="00000064">
      <w:pPr>
        <w:spacing w:line="276" w:lineRule="auto"/>
        <w:jc w:val="both"/>
        <w:rPr>
          <w:sz w:val="24"/>
          <w:szCs w:val="24"/>
        </w:rPr>
      </w:pPr>
      <w:r w:rsidDel="00000000" w:rsidR="00000000" w:rsidRPr="00000000">
        <w:rPr>
          <w:sz w:val="24"/>
          <w:szCs w:val="24"/>
        </w:rPr>
        <w:drawing>
          <wp:inline distB="114300" distT="114300" distL="114300" distR="114300">
            <wp:extent cx="5731200" cy="3860800"/>
            <wp:effectExtent b="0" l="0" r="0" t="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276" w:lineRule="auto"/>
        <w:jc w:val="both"/>
        <w:rPr>
          <w:b w:val="1"/>
          <w:sz w:val="40"/>
          <w:szCs w:val="40"/>
        </w:rPr>
      </w:pPr>
      <w:r w:rsidDel="00000000" w:rsidR="00000000" w:rsidRPr="00000000">
        <w:rPr>
          <w:rFonts w:ascii="Times New Roman" w:cs="Times New Roman" w:eastAsia="Times New Roman" w:hAnsi="Times New Roman"/>
          <w:rtl w:val="0"/>
        </w:rPr>
        <w:t xml:space="preserve">(6) </w:t>
      </w:r>
      <w:r w:rsidDel="00000000" w:rsidR="00000000" w:rsidRPr="00000000">
        <w:rPr>
          <w:rFonts w:ascii="Times New Roman" w:cs="Times New Roman" w:eastAsia="Times New Roman" w:hAnsi="Times New Roman"/>
          <w:rtl w:val="0"/>
        </w:rPr>
        <w:t xml:space="preserve">Dimensional model image of the load phase in the ETL Property Project</w:t>
      </w:r>
      <w:r w:rsidDel="00000000" w:rsidR="00000000" w:rsidRPr="00000000">
        <w:rPr>
          <w:rtl w:val="0"/>
        </w:rPr>
      </w:r>
    </w:p>
    <w:p w:rsidR="00000000" w:rsidDel="00000000" w:rsidP="00000000" w:rsidRDefault="00000000" w:rsidRPr="00000000" w14:paraId="00000066">
      <w:pPr>
        <w:spacing w:after="240" w:before="240" w:line="276" w:lineRule="auto"/>
        <w:jc w:val="both"/>
        <w:rPr>
          <w:sz w:val="24"/>
          <w:szCs w:val="24"/>
        </w:rPr>
      </w:pPr>
      <w:r w:rsidDel="00000000" w:rsidR="00000000" w:rsidRPr="00000000">
        <w:rPr>
          <w:sz w:val="24"/>
          <w:szCs w:val="24"/>
          <w:rtl w:val="0"/>
        </w:rPr>
        <w:t xml:space="preserve">This model aims to enhance </w:t>
      </w:r>
      <w:r w:rsidDel="00000000" w:rsidR="00000000" w:rsidRPr="00000000">
        <w:rPr>
          <w:sz w:val="24"/>
          <w:szCs w:val="24"/>
          <w:rtl w:val="0"/>
        </w:rPr>
        <w:t xml:space="preserve">data analysis and visualization</w:t>
      </w:r>
      <w:r w:rsidDel="00000000" w:rsidR="00000000" w:rsidRPr="00000000">
        <w:rPr>
          <w:sz w:val="24"/>
          <w:szCs w:val="24"/>
          <w:rtl w:val="0"/>
        </w:rPr>
        <w:t xml:space="preserve"> in Power BI.</w:t>
      </w:r>
    </w:p>
    <w:p w:rsidR="00000000" w:rsidDel="00000000" w:rsidP="00000000" w:rsidRDefault="00000000" w:rsidRPr="00000000" w14:paraId="00000067">
      <w:pPr>
        <w:spacing w:line="276" w:lineRule="auto"/>
        <w:jc w:val="both"/>
        <w:rPr>
          <w:sz w:val="24"/>
          <w:szCs w:val="24"/>
        </w:rPr>
      </w:pPr>
      <w:r w:rsidDel="00000000" w:rsidR="00000000" w:rsidRPr="00000000">
        <w:rPr>
          <w:sz w:val="36"/>
          <w:szCs w:val="36"/>
        </w:rPr>
        <w:drawing>
          <wp:inline distB="114300" distT="114300" distL="114300" distR="114300">
            <wp:extent cx="4141479" cy="2681288"/>
            <wp:effectExtent b="0" l="0" r="0" t="0"/>
            <wp:docPr id="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141479"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w:t>
      </w:r>
      <w:r w:rsidDel="00000000" w:rsidR="00000000" w:rsidRPr="00000000">
        <w:rPr>
          <w:rFonts w:ascii="Times New Roman" w:cs="Times New Roman" w:eastAsia="Times New Roman" w:hAnsi="Times New Roman"/>
          <w:rtl w:val="0"/>
        </w:rPr>
        <w:t xml:space="preserve">Load phase image of the ETL Property Project</w:t>
      </w:r>
    </w:p>
    <w:p w:rsidR="00000000" w:rsidDel="00000000" w:rsidP="00000000" w:rsidRDefault="00000000" w:rsidRPr="00000000" w14:paraId="00000069">
      <w:pPr>
        <w:spacing w:line="276" w:lineRule="auto"/>
        <w:jc w:val="both"/>
        <w:rPr>
          <w:rFonts w:ascii="Times New Roman" w:cs="Times New Roman" w:eastAsia="Times New Roman" w:hAnsi="Times New Roman"/>
        </w:rPr>
      </w:pPr>
      <w:r w:rsidDel="00000000" w:rsidR="00000000" w:rsidRPr="00000000">
        <w:rPr>
          <w:sz w:val="36"/>
          <w:szCs w:val="36"/>
        </w:rPr>
        <w:drawing>
          <wp:inline distB="114300" distT="114300" distL="114300" distR="114300">
            <wp:extent cx="1476375" cy="666750"/>
            <wp:effectExtent b="0" l="0" r="0" t="0"/>
            <wp:docPr id="1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4763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276" w:lineRule="auto"/>
        <w:jc w:val="both"/>
        <w:rPr>
          <w:b w:val="1"/>
          <w:sz w:val="40"/>
          <w:szCs w:val="40"/>
        </w:rPr>
      </w:pPr>
      <w:r w:rsidDel="00000000" w:rsidR="00000000" w:rsidRPr="00000000">
        <w:rPr>
          <w:rFonts w:ascii="Times New Roman" w:cs="Times New Roman" w:eastAsia="Times New Roman" w:hAnsi="Times New Roman"/>
          <w:rtl w:val="0"/>
        </w:rPr>
        <w:t xml:space="preserve">(8) </w:t>
      </w:r>
      <w:r w:rsidDel="00000000" w:rsidR="00000000" w:rsidRPr="00000000">
        <w:rPr>
          <w:rFonts w:ascii="Times New Roman" w:cs="Times New Roman" w:eastAsia="Times New Roman" w:hAnsi="Times New Roman"/>
          <w:rtl w:val="0"/>
        </w:rPr>
        <w:t xml:space="preserve">Dimensional-fact table structure image of the ETL Property Project</w:t>
      </w:r>
      <w:r w:rsidDel="00000000" w:rsidR="00000000" w:rsidRPr="00000000">
        <w:rPr>
          <w:rtl w:val="0"/>
        </w:rPr>
      </w:r>
    </w:p>
    <w:p w:rsidR="00000000" w:rsidDel="00000000" w:rsidP="00000000" w:rsidRDefault="00000000" w:rsidRPr="00000000" w14:paraId="0000006B">
      <w:pPr>
        <w:spacing w:line="276" w:lineRule="auto"/>
        <w:jc w:val="both"/>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pStyle w:val="Heading3"/>
        <w:keepNext w:val="0"/>
        <w:keepLines w:val="0"/>
        <w:spacing w:before="280" w:line="276" w:lineRule="auto"/>
        <w:jc w:val="both"/>
        <w:rPr>
          <w:color w:val="000000"/>
          <w:sz w:val="40"/>
          <w:szCs w:val="40"/>
        </w:rPr>
      </w:pPr>
      <w:bookmarkStart w:colFirst="0" w:colLast="0" w:name="_jrhq755j2fb1" w:id="11"/>
      <w:bookmarkEnd w:id="11"/>
      <w:r w:rsidDel="00000000" w:rsidR="00000000" w:rsidRPr="00000000">
        <w:rPr>
          <w:color w:val="000000"/>
          <w:sz w:val="40"/>
          <w:szCs w:val="40"/>
          <w:rtl w:val="0"/>
        </w:rPr>
        <w:t xml:space="preserve">Evidences</w:t>
      </w:r>
    </w:p>
    <w:p w:rsidR="00000000" w:rsidDel="00000000" w:rsidP="00000000" w:rsidRDefault="00000000" w:rsidRPr="00000000" w14:paraId="0000006D">
      <w:pPr>
        <w:spacing w:line="276" w:lineRule="auto"/>
        <w:jc w:val="both"/>
        <w:rPr/>
      </w:pPr>
      <w:r w:rsidDel="00000000" w:rsidR="00000000" w:rsidRPr="00000000">
        <w:rPr/>
        <w:drawing>
          <wp:inline distB="114300" distT="114300" distL="114300" distR="114300">
            <wp:extent cx="5731200" cy="3086100"/>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PostgreSQL Workplace pgAdmin image</w:t>
      </w:r>
    </w:p>
    <w:p w:rsidR="00000000" w:rsidDel="00000000" w:rsidP="00000000" w:rsidRDefault="00000000" w:rsidRPr="00000000" w14:paraId="0000006F">
      <w:pPr>
        <w:spacing w:line="276" w:lineRule="auto"/>
        <w:jc w:val="both"/>
        <w:rPr>
          <w:rFonts w:ascii="Times New Roman" w:cs="Times New Roman" w:eastAsia="Times New Roman" w:hAnsi="Times New Roman"/>
        </w:rPr>
      </w:pPr>
      <w:r w:rsidDel="00000000" w:rsidR="00000000" w:rsidRPr="00000000">
        <w:rPr/>
        <w:drawing>
          <wp:inline distB="114300" distT="114300" distL="114300" distR="114300">
            <wp:extent cx="2025902" cy="4381602"/>
            <wp:effectExtent b="0" l="0" r="0" t="0"/>
            <wp:docPr id="1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025902" cy="438160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rtl w:val="0"/>
        </w:rPr>
        <w:t xml:space="preserve">Folder structure image in VSCode</w:t>
      </w:r>
    </w:p>
    <w:p w:rsidR="00000000" w:rsidDel="00000000" w:rsidP="00000000" w:rsidRDefault="00000000" w:rsidRPr="00000000" w14:paraId="00000071">
      <w:pPr>
        <w:spacing w:line="276" w:lineRule="auto"/>
        <w:jc w:val="both"/>
        <w:rPr>
          <w:rFonts w:ascii="Times New Roman" w:cs="Times New Roman" w:eastAsia="Times New Roman" w:hAnsi="Times New Roman"/>
        </w:rPr>
      </w:pPr>
      <w:r w:rsidDel="00000000" w:rsidR="00000000" w:rsidRPr="00000000">
        <w:rPr/>
        <w:drawing>
          <wp:inline distB="114300" distT="114300" distL="114300" distR="114300">
            <wp:extent cx="5731200" cy="3238500"/>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rtl w:val="0"/>
        </w:rPr>
        <w:t xml:space="preserve">Docker container image for the ETL Property Project</w:t>
      </w:r>
    </w:p>
    <w:p w:rsidR="00000000" w:rsidDel="00000000" w:rsidP="00000000" w:rsidRDefault="00000000" w:rsidRPr="00000000" w14:paraId="00000073">
      <w:pPr>
        <w:spacing w:line="276" w:lineRule="auto"/>
        <w:jc w:val="both"/>
        <w:rPr>
          <w:rFonts w:ascii="Times New Roman" w:cs="Times New Roman" w:eastAsia="Times New Roman" w:hAnsi="Times New Roman"/>
        </w:rPr>
      </w:pPr>
      <w:r w:rsidDel="00000000" w:rsidR="00000000" w:rsidRPr="00000000">
        <w:rPr/>
        <w:drawing>
          <wp:inline distB="114300" distT="114300" distL="114300" distR="114300">
            <wp:extent cx="5731200" cy="3187700"/>
            <wp:effectExtent b="0" l="0" r="0" t="0"/>
            <wp:docPr id="1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rtl w:val="0"/>
        </w:rPr>
        <w:t xml:space="preserve">Folder structure image inside Docker container</w:t>
      </w:r>
    </w:p>
    <w:p w:rsidR="00000000" w:rsidDel="00000000" w:rsidP="00000000" w:rsidRDefault="00000000" w:rsidRPr="00000000" w14:paraId="00000075">
      <w:pPr>
        <w:spacing w:line="276" w:lineRule="auto"/>
        <w:jc w:val="both"/>
        <w:rPr/>
      </w:pPr>
      <w:r w:rsidDel="00000000" w:rsidR="00000000" w:rsidRPr="00000000">
        <w:rPr>
          <w:rtl w:val="0"/>
        </w:rPr>
      </w:r>
    </w:p>
    <w:p w:rsidR="00000000" w:rsidDel="00000000" w:rsidP="00000000" w:rsidRDefault="00000000" w:rsidRPr="00000000" w14:paraId="00000076">
      <w:pPr>
        <w:spacing w:line="276" w:lineRule="auto"/>
        <w:jc w:val="both"/>
        <w:rPr/>
      </w:pPr>
      <w:r w:rsidDel="00000000" w:rsidR="00000000" w:rsidRPr="00000000">
        <w:rPr/>
        <w:drawing>
          <wp:inline distB="114300" distT="114300" distL="114300" distR="114300">
            <wp:extent cx="5731200" cy="2806700"/>
            <wp:effectExtent b="0" l="0" r="0" t="0"/>
            <wp:docPr id="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rtl w:val="0"/>
        </w:rPr>
        <w:t xml:space="preserve">Apache Airflow DAG tasks image</w:t>
      </w:r>
    </w:p>
    <w:p w:rsidR="00000000" w:rsidDel="00000000" w:rsidP="00000000" w:rsidRDefault="00000000" w:rsidRPr="00000000" w14:paraId="00000078">
      <w:pPr>
        <w:spacing w:line="276" w:lineRule="auto"/>
        <w:jc w:val="both"/>
        <w:rPr/>
      </w:pPr>
      <w:r w:rsidDel="00000000" w:rsidR="00000000" w:rsidRPr="00000000">
        <w:rPr>
          <w:rtl w:val="0"/>
        </w:rPr>
      </w:r>
    </w:p>
    <w:p w:rsidR="00000000" w:rsidDel="00000000" w:rsidP="00000000" w:rsidRDefault="00000000" w:rsidRPr="00000000" w14:paraId="00000079">
      <w:pPr>
        <w:spacing w:line="276" w:lineRule="auto"/>
        <w:jc w:val="both"/>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276" w:lineRule="auto"/>
        <w:jc w:val="both"/>
        <w:rPr>
          <w:b w:val="1"/>
          <w:sz w:val="40"/>
          <w:szCs w:val="40"/>
        </w:rPr>
      </w:pPr>
      <w:r w:rsidDel="00000000" w:rsidR="00000000" w:rsidRPr="00000000">
        <w:rPr>
          <w:rFonts w:ascii="Times New Roman" w:cs="Times New Roman" w:eastAsia="Times New Roman" w:hAnsi="Times New Roman"/>
          <w:rtl w:val="0"/>
        </w:rPr>
        <w:t xml:space="preserve">(6) </w:t>
      </w:r>
      <w:r w:rsidDel="00000000" w:rsidR="00000000" w:rsidRPr="00000000">
        <w:rPr>
          <w:rFonts w:ascii="Times New Roman" w:cs="Times New Roman" w:eastAsia="Times New Roman" w:hAnsi="Times New Roman"/>
          <w:rtl w:val="0"/>
        </w:rPr>
        <w:t xml:space="preserve">Power BI dashboard creation image</w:t>
      </w:r>
      <w:r w:rsidDel="00000000" w:rsidR="00000000" w:rsidRPr="00000000">
        <w:rPr>
          <w:rtl w:val="0"/>
        </w:rPr>
      </w:r>
    </w:p>
    <w:p w:rsidR="00000000" w:rsidDel="00000000" w:rsidP="00000000" w:rsidRDefault="00000000" w:rsidRPr="00000000" w14:paraId="0000007B">
      <w:pPr>
        <w:pStyle w:val="Heading3"/>
        <w:keepNext w:val="0"/>
        <w:keepLines w:val="0"/>
        <w:spacing w:before="280" w:line="276" w:lineRule="auto"/>
        <w:jc w:val="both"/>
        <w:rPr>
          <w:b w:val="1"/>
          <w:color w:val="000000"/>
          <w:sz w:val="26"/>
          <w:szCs w:val="26"/>
        </w:rPr>
      </w:pPr>
      <w:bookmarkStart w:colFirst="0" w:colLast="0" w:name="_9d2i79s2e95d" w:id="12"/>
      <w:bookmarkEnd w:id="12"/>
      <w:r w:rsidDel="00000000" w:rsidR="00000000" w:rsidRPr="00000000">
        <w:rPr>
          <w:color w:val="000000"/>
          <w:sz w:val="40"/>
          <w:szCs w:val="40"/>
          <w:rtl w:val="0"/>
        </w:rPr>
        <w:t xml:space="preserve">Dashboard</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dashboard</w:t>
      </w:r>
      <w:r w:rsidDel="00000000" w:rsidR="00000000" w:rsidRPr="00000000">
        <w:rPr>
          <w:sz w:val="24"/>
          <w:szCs w:val="24"/>
          <w:rtl w:val="0"/>
        </w:rPr>
        <w:t xml:space="preserve"> was built in </w:t>
      </w:r>
      <w:r w:rsidDel="00000000" w:rsidR="00000000" w:rsidRPr="00000000">
        <w:rPr>
          <w:sz w:val="24"/>
          <w:szCs w:val="24"/>
          <w:rtl w:val="0"/>
        </w:rPr>
        <w:t xml:space="preserve">Power BI</w:t>
      </w:r>
      <w:r w:rsidDel="00000000" w:rsidR="00000000" w:rsidRPr="00000000">
        <w:rPr>
          <w:sz w:val="24"/>
          <w:szCs w:val="24"/>
          <w:rtl w:val="0"/>
        </w:rPr>
        <w:t xml:space="preserve">, connecting directly to the final database from the Load process.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sz w:val="24"/>
          <w:szCs w:val="24"/>
          <w:rtl w:val="0"/>
        </w:rPr>
        <w:t xml:space="preserve">This allows for an analysis of key variables related to the </w:t>
      </w:r>
      <w:r w:rsidDel="00000000" w:rsidR="00000000" w:rsidRPr="00000000">
        <w:rPr>
          <w:sz w:val="24"/>
          <w:szCs w:val="24"/>
          <w:rtl w:val="0"/>
        </w:rPr>
        <w:t xml:space="preserve">2025 property tax projections</w:t>
      </w:r>
      <w:r w:rsidDel="00000000" w:rsidR="00000000" w:rsidRPr="00000000">
        <w:rPr>
          <w:sz w:val="24"/>
          <w:szCs w:val="24"/>
          <w:rtl w:val="0"/>
        </w:rPr>
        <w:t xml:space="preserve">.</w:t>
      </w:r>
    </w:p>
    <w:p w:rsidR="00000000" w:rsidDel="00000000" w:rsidP="00000000" w:rsidRDefault="00000000" w:rsidRPr="00000000" w14:paraId="0000007E">
      <w:pPr>
        <w:spacing w:line="259" w:lineRule="auto"/>
        <w:jc w:val="both"/>
        <w:rPr>
          <w:sz w:val="24"/>
          <w:szCs w:val="24"/>
        </w:rPr>
      </w:pPr>
      <w:r w:rsidDel="00000000" w:rsidR="00000000" w:rsidRPr="00000000">
        <w:rPr>
          <w:sz w:val="24"/>
          <w:szCs w:val="24"/>
        </w:rPr>
        <w:drawing>
          <wp:inline distB="114300" distT="114300" distL="114300" distR="114300">
            <wp:extent cx="5543550" cy="3055996"/>
            <wp:effectExtent b="0" l="0" r="0" t="0"/>
            <wp:docPr id="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543550" cy="305599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w:t>
      </w:r>
      <w:r w:rsidDel="00000000" w:rsidR="00000000" w:rsidRPr="00000000">
        <w:rPr>
          <w:rFonts w:ascii="Times New Roman" w:cs="Times New Roman" w:eastAsia="Times New Roman" w:hAnsi="Times New Roman"/>
          <w:rtl w:val="0"/>
        </w:rPr>
        <w:t xml:space="preserve">Dashboard page 1 image in Power BI</w:t>
      </w:r>
    </w:p>
    <w:p w:rsidR="00000000" w:rsidDel="00000000" w:rsidP="00000000" w:rsidRDefault="00000000" w:rsidRPr="00000000" w14:paraId="00000080">
      <w:pPr>
        <w:spacing w:line="259" w:lineRule="auto"/>
        <w:jc w:val="both"/>
        <w:rPr>
          <w:rFonts w:ascii="Times New Roman" w:cs="Times New Roman" w:eastAsia="Times New Roman" w:hAnsi="Times New Roman"/>
        </w:rPr>
      </w:pPr>
      <w:r w:rsidDel="00000000" w:rsidR="00000000" w:rsidRPr="00000000">
        <w:rPr>
          <w:sz w:val="24"/>
          <w:szCs w:val="24"/>
        </w:rPr>
        <w:drawing>
          <wp:inline distB="114300" distT="114300" distL="114300" distR="114300">
            <wp:extent cx="5731200" cy="3213100"/>
            <wp:effectExtent b="0" l="0" r="0" t="0"/>
            <wp:docPr id="1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40"/>
          <w:szCs w:val="40"/>
        </w:rPr>
      </w:pPr>
      <w:r w:rsidDel="00000000" w:rsidR="00000000" w:rsidRPr="00000000">
        <w:rPr>
          <w:rFonts w:ascii="Times New Roman" w:cs="Times New Roman" w:eastAsia="Times New Roman" w:hAnsi="Times New Roman"/>
          <w:rtl w:val="0"/>
        </w:rPr>
        <w:t xml:space="preserve">(11) </w:t>
      </w:r>
      <w:r w:rsidDel="00000000" w:rsidR="00000000" w:rsidRPr="00000000">
        <w:rPr>
          <w:rFonts w:ascii="Times New Roman" w:cs="Times New Roman" w:eastAsia="Times New Roman" w:hAnsi="Times New Roman"/>
          <w:rtl w:val="0"/>
        </w:rPr>
        <w:t xml:space="preserve">Dashboard page 2 image in Power BI</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sz w:val="24"/>
          <w:szCs w:val="24"/>
          <w:rtl w:val="0"/>
        </w:rPr>
        <w:t xml:space="preserve">Since advanced data analysis skills are currently lacking, the dashboard primarily displays metrics and values that highlight differences in </w:t>
      </w:r>
      <w:r w:rsidDel="00000000" w:rsidR="00000000" w:rsidRPr="00000000">
        <w:rPr>
          <w:sz w:val="24"/>
          <w:szCs w:val="24"/>
          <w:rtl w:val="0"/>
        </w:rPr>
        <w:t xml:space="preserve">property valuations between previous and current fiscal years</w:t>
      </w:r>
      <w:r w:rsidDel="00000000" w:rsidR="00000000" w:rsidRPr="00000000">
        <w:rPr>
          <w:sz w:val="24"/>
          <w:szCs w:val="24"/>
          <w:rtl w:val="0"/>
        </w:rPr>
        <w:t xml:space="preserve">.</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36"/>
          <w:szCs w:val="36"/>
        </w:rPr>
      </w:pPr>
      <w:r w:rsidDel="00000000" w:rsidR="00000000" w:rsidRPr="00000000">
        <w:rPr>
          <w:sz w:val="24"/>
          <w:szCs w:val="24"/>
          <w:rtl w:val="0"/>
        </w:rPr>
        <w:t xml:space="preserve">Additionally, the project emphasizes the significance of handling vast amounts of data for property projections and decision-making, given the substantial capital managed in the city’s real estate sector.</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4.png"/><Relationship Id="rId22" Type="http://schemas.openxmlformats.org/officeDocument/2006/relationships/image" Target="media/image15.png"/><Relationship Id="rId10" Type="http://schemas.openxmlformats.org/officeDocument/2006/relationships/image" Target="media/image9.png"/><Relationship Id="rId21" Type="http://schemas.openxmlformats.org/officeDocument/2006/relationships/image" Target="media/image11.png"/><Relationship Id="rId13" Type="http://schemas.openxmlformats.org/officeDocument/2006/relationships/image" Target="media/image5.png"/><Relationship Id="rId24" Type="http://schemas.openxmlformats.org/officeDocument/2006/relationships/image" Target="media/image10.png"/><Relationship Id="rId12" Type="http://schemas.openxmlformats.org/officeDocument/2006/relationships/image" Target="media/image1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18.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mailto:carlos.hidalgo@uao.edu.co" TargetMode="External"/><Relationship Id="rId18" Type="http://schemas.openxmlformats.org/officeDocument/2006/relationships/image" Target="media/image7.png"/><Relationship Id="rId7" Type="http://schemas.openxmlformats.org/officeDocument/2006/relationships/image" Target="media/image1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