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8"/>
          <w:szCs w:val="48"/>
        </w:rPr>
        <w:t xml:space="preserve">CORPORATE INTELLIGENCE REPORT</w:t>
      </w:r>
    </w:p>
    <w:p>
      <w:pPr>
        <w:spacing w:after="80" w:before="100"/>
        <w:jc w:val="center"/>
      </w:pPr>
      <w:r>
        <w:rPr>
          <w:rFonts w:ascii="Arial" w:cs="Arial" w:eastAsia="Arial" w:hAnsi="Arial"/>
          <w:color w:val="2E75B6"/>
          <w:sz w:val="28"/>
          <w:szCs w:val="28"/>
        </w:rPr>
        <w:t xml:space="preserve">Agentic CI System — Final Project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6"/>
              <w:bottom w:val="single" w:color="2E75B6" w:sz="4"/>
              <w:right w:val="none" w:color="FFFFFF" w:sz="0"/>
            </w:tcBorders>
            <w:shd w:fill="D6E4F0" w:val="clear"/>
            <w:tcMar>
              <w:top w:type="dxa" w:w="160"/>
              <w:left w:type="dxa" w:w="200"/>
              <w:bottom w:type="dxa" w:w="160"/>
              <w:right w:type="dxa" w:w="200"/>
            </w:tcMar>
          </w:tcPr>
          <w:p>
            <w:pPr>
              <w:spacing w:after="60" w:before="60"/>
              <w:jc w:val="center"/>
            </w:pPr>
            <w:r>
              <w:rPr>
                <w:rFonts w:ascii="Arial" w:cs="Arial" w:eastAsia="Arial" w:hAnsi="Arial"/>
                <w:b/>
                <w:bCs/>
                <w:color w:val="1F3864"/>
                <w:sz w:val="26"/>
                <w:szCs w:val="26"/>
              </w:rPr>
              <w:t xml:space="preserve">OpenAI vs Anthropic vs Google in Enterprise AI Platforms</w:t>
            </w:r>
          </w:p>
          <w:p>
            <w:pPr>
              <w:spacing w:after="40" w:before="40"/>
              <w:jc w:val="center"/>
            </w:pPr>
            <w:r>
              <w:rPr>
                <w:rFonts w:ascii="Arial" w:cs="Arial" w:eastAsia="Arial" w:hAnsi="Arial"/>
                <w:i/>
                <w:iCs/>
                <w:color w:val="595959"/>
                <w:sz w:val="20"/>
                <w:szCs w:val="20"/>
              </w:rPr>
              <w:t xml:space="preserve">Should a European Fortune 500 company commit to a single enterprise AI provider or adopt a multi-vendor strategy?</w:t>
            </w:r>
          </w:p>
        </w:tc>
      </w:tr>
    </w:tbl>
    <w:p>
      <w:pPr>
        <w:spacing w:after="60" w:before="60"/>
      </w:pPr>
      <w:r>
        <w:t xml:space="preserve"/>
      </w:r>
    </w:p>
    <w:p>
      <w:pPr>
        <w:spacing w:after="40" w:before="60"/>
        <w:jc w:val="center"/>
      </w:pPr>
      <w:r>
        <w:rPr>
          <w:rFonts w:ascii="Arial" w:cs="Arial" w:eastAsia="Arial" w:hAnsi="Arial"/>
          <w:b/>
          <w:bCs/>
          <w:color w:val="1F3864"/>
          <w:sz w:val="22"/>
          <w:szCs w:val="22"/>
        </w:rPr>
        <w:t xml:space="preserve">Carlos Martín Oliveros</w:t>
      </w:r>
    </w:p>
    <w:p>
      <w:pPr>
        <w:spacing w:after="20" w:before="20"/>
        <w:jc w:val="center"/>
      </w:pPr>
      <w:r>
        <w:rPr>
          <w:rFonts w:ascii="Arial" w:cs="Arial" w:eastAsia="Arial" w:hAnsi="Arial"/>
          <w:color w:val="595959"/>
          <w:sz w:val="20"/>
          <w:szCs w:val="20"/>
        </w:rPr>
        <w:t xml:space="preserve">4º Business Analytics &amp; ADE (BA1) — Team 7</w:t>
      </w:r>
    </w:p>
    <w:p>
      <w:pPr>
        <w:spacing w:after="20" w:before="20"/>
        <w:jc w:val="center"/>
      </w:pPr>
      <w:r>
        <w:rPr>
          <w:rFonts w:ascii="Arial" w:cs="Arial" w:eastAsia="Arial" w:hAnsi="Arial"/>
          <w:color w:val="595959"/>
          <w:sz w:val="20"/>
          <w:szCs w:val="20"/>
        </w:rPr>
        <w:t xml:space="preserve">Universidad Francisco de Vitoria</w:t>
      </w:r>
    </w:p>
    <w:p>
      <w:pPr>
        <w:spacing w:after="20" w:before="20"/>
        <w:jc w:val="center"/>
      </w:pPr>
      <w:r>
        <w:rPr>
          <w:rFonts w:ascii="Arial" w:cs="Arial" w:eastAsia="Arial" w:hAnsi="Arial"/>
          <w:color w:val="595959"/>
          <w:sz w:val="20"/>
          <w:szCs w:val="20"/>
        </w:rPr>
        <w:t xml:space="preserve">Corporate Intelligence Course 2025–2026</w:t>
      </w:r>
    </w:p>
    <w:p>
      <w:pPr>
        <w:spacing w:after="20" w:before="20"/>
        <w:jc w:val="center"/>
      </w:pPr>
      <w:r>
        <w:rPr>
          <w:rFonts w:ascii="Arial" w:cs="Arial" w:eastAsia="Arial" w:hAnsi="Arial"/>
          <w:color w:val="595959"/>
          <w:sz w:val="20"/>
          <w:szCs w:val="20"/>
        </w:rPr>
        <w:t xml:space="preserve">Date: 25 April 2026</w:t>
      </w:r>
    </w:p>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1: Blind Spot Check (TN03)</w:t>
      </w:r>
    </w:p>
    <w:p>
      <w:pPr>
        <w:spacing w:after="80" w:before="80"/>
        <w:jc w:val="both"/>
      </w:pPr>
      <w:r>
        <w:rPr>
          <w:rFonts w:ascii="Arial" w:cs="Arial" w:eastAsia="Arial" w:hAnsi="Arial"/>
          <w:sz w:val="20"/>
          <w:szCs w:val="20"/>
        </w:rPr>
        <w:t xml:space="preserve">Before engaging with the data, it is essential to identify the cognitive traps that could distort the analysis. A European Fortune 500 company evaluating enterprise AI providers faces a landscape that is genuinely novel: three powerful vendors with different business models, regulatory environments, and strategic agendas. The following blind spots are the most likely to lead to a poor decision.</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1.1 Identified Blind Spots</w:t>
      </w:r>
    </w:p>
    <w:p>
      <w:pPr>
        <w:spacing w:after="60" w:before="60"/>
      </w:pPr>
      <w:r>
        <w:t xml:space="preserve"/>
      </w:r>
    </w:p>
    <w:p>
      <w:pPr>
        <w:spacing w:after="80" w:before="200"/>
      </w:pPr>
      <w:r>
        <w:rPr>
          <w:rFonts w:ascii="Arial" w:cs="Arial" w:eastAsia="Arial" w:hAnsi="Arial"/>
          <w:b/>
          <w:bCs/>
          <w:color w:val="595959"/>
          <w:sz w:val="22"/>
          <w:szCs w:val="22"/>
        </w:rPr>
        <w:t xml:space="preserve">Blind Spot 1 — Performance Snapshot Bias</w:t>
      </w:r>
    </w:p>
    <w:p>
      <w:pPr>
        <w:spacing w:after="80" w:before="80"/>
        <w:jc w:val="both"/>
      </w:pPr>
      <w:r>
        <w:rPr>
          <w:rFonts w:ascii="Arial" w:cs="Arial" w:eastAsia="Arial" w:hAnsi="Arial"/>
          <w:sz w:val="20"/>
          <w:szCs w:val="20"/>
        </w:rPr>
        <w:t xml:space="preserve">The most common error in AI vendor evaluation is treating today's benchmark rankings as predictive of future leadership. When a procurement team compares GPT-4o, Claude 3.7, and Gemini 1.5 Pro on standard tests such as MMLU or HumanEval, they are measuring a snapshot in a market that has reshuffled completely every 9 to 12 months since 2022. A company that signs a three-year contract based on Q1 2026 benchmarks risks being locked into a vendor that falls behind by 2027. The bias is compounded by the fact that enterprise AI evaluations are typically run by technical teams whose incentives are to select the "best" model today, not to stress-test the durability of that advantage. Notably, open-source alternatives such as Meta's Llama 4 (released March 2025) already match closed-model performance on many enterprise tasks at a fraction of the cost, a data point that rarely surfaces in commercial vendor pitches.</w:t>
      </w:r>
    </w:p>
    <w:p>
      <w:pPr>
        <w:spacing w:after="60" w:before="60"/>
      </w:pPr>
      <w:r>
        <w:t xml:space="preserve"/>
      </w:r>
    </w:p>
    <w:p>
      <w:pPr>
        <w:spacing w:after="80" w:before="200"/>
      </w:pPr>
      <w:r>
        <w:rPr>
          <w:rFonts w:ascii="Arial" w:cs="Arial" w:eastAsia="Arial" w:hAnsi="Arial"/>
          <w:b/>
          <w:bCs/>
          <w:color w:val="595959"/>
          <w:sz w:val="22"/>
          <w:szCs w:val="22"/>
        </w:rPr>
        <w:t xml:space="preserve">Blind Spot 2 — Regulatory Underestimation</w:t>
      </w:r>
    </w:p>
    <w:p>
      <w:pPr>
        <w:spacing w:after="80" w:before="80"/>
        <w:jc w:val="both"/>
      </w:pPr>
      <w:r>
        <w:rPr>
          <w:rFonts w:ascii="Arial" w:cs="Arial" w:eastAsia="Arial" w:hAnsi="Arial"/>
          <w:sz w:val="20"/>
          <w:szCs w:val="20"/>
        </w:rPr>
        <w:t xml:space="preserve">European companies have a structural tendency to treat compliance as a downstream problem — something the legal team handles after the commercial decision is made. In AI procurement, this sequencing is dangerous. The EU AI Act (Regulation 2024/1689), which entered into force in August 2024 and began applying to general-purpose AI models in August 2025, imposes obligations that directly affect which AI providers a European company can use without incurring significant compliance overhead. Specifically, providers of GPAI models with systemic risk (a category that encompasses all three competitors being evaluated) must publish model evaluations, implement adversarial testing, and report serious incidents to the European AI Office. For the focal company, using any of these three providers without a proper EU AI Act compliance audit and contractual Data Processing Agreement creates legal exposure under both the AI Act and GDPR. The CLOUD Act risk — which allows US authorities to compel American companies to hand over data stored on European servers — is a further consideration that a European company may systematically underweight because it feels abstract until it is not.</w:t>
      </w:r>
    </w:p>
    <w:p>
      <w:pPr>
        <w:spacing w:after="60" w:before="60"/>
      </w:pPr>
      <w:r>
        <w:t xml:space="preserve"/>
      </w:r>
    </w:p>
    <w:p>
      <w:pPr>
        <w:spacing w:after="80" w:before="200"/>
      </w:pPr>
      <w:r>
        <w:rPr>
          <w:rFonts w:ascii="Arial" w:cs="Arial" w:eastAsia="Arial" w:hAnsi="Arial"/>
          <w:b/>
          <w:bCs/>
          <w:color w:val="595959"/>
          <w:sz w:val="22"/>
          <w:szCs w:val="22"/>
        </w:rPr>
        <w:t xml:space="preserve">Blind Spot 3 — Multi-Vendor Complexity Illusion</w:t>
      </w:r>
    </w:p>
    <w:p>
      <w:pPr>
        <w:spacing w:after="80" w:before="80"/>
        <w:jc w:val="both"/>
      </w:pPr>
      <w:r>
        <w:rPr>
          <w:rFonts w:ascii="Arial" w:cs="Arial" w:eastAsia="Arial" w:hAnsi="Arial"/>
          <w:sz w:val="20"/>
          <w:szCs w:val="20"/>
        </w:rPr>
        <w:t xml:space="preserve">The instinctive hedge against vendor lock-in is to go multi-vendor. However, this strategy carries its own underappreciated risks. Each AI provider uses a different API architecture, different prompt formatting conventions, different rate limits, and different safety filtering behaviour. Running three providers in parallel requires maintaining three sets of prompt libraries, three security configurations, three billing relationships, and three compliance postures. The organisational cost of this — in developer time, quality assurance overhead, and increased attack surface — is rarely quantified in the initial vendor evaluation. Furthermore, multi-vendor strategies dilute the engineering team’s ability to develop deep expertise in any one platform, which paradoxically reduces the quality of outputs. The blind spot is that ‘optionality’ feels like risk reduction when it is often risk redistribution.</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1.2 Countermeasure Applied: Pre-Mortem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2"/>
              <w:bottom w:val="single" w:color="2E75B6" w:sz="4"/>
              <w:right w:val="none" w:color="FFFFFF" w:sz="0"/>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Pre-Mortem Prompt</w:t>
            </w:r>
          </w:p>
          <w:p>
            <w:pPr>
              <w:spacing w:before="40"/>
            </w:pPr>
            <w:r>
              <w:rPr>
                <w:rFonts w:ascii="Arial" w:cs="Arial" w:eastAsia="Arial" w:hAnsi="Arial"/>
                <w:sz w:val="20"/>
                <w:szCs w:val="20"/>
              </w:rPr>
              <w:t xml:space="preserve">It is January 2029. The company committed to a single AI provider in Q2 2026. The decision has been a serious strategic and operational failure. What went wrong?</w:t>
            </w:r>
          </w:p>
        </w:tc>
      </w:tr>
    </w:tbl>
    <w:p>
      <w:pPr>
        <w:spacing w:after="60" w:before="60"/>
      </w:pPr>
      <w:r>
        <w:t xml:space="preserve"/>
      </w:r>
    </w:p>
    <w:p>
      <w:pPr>
        <w:spacing w:after="80" w:before="80"/>
        <w:jc w:val="left"/>
      </w:pPr>
      <w:r>
        <w:rPr>
          <w:rFonts w:ascii="Arial" w:cs="Arial" w:eastAsia="Arial" w:hAnsi="Arial"/>
          <w:b/>
          <w:bCs/>
          <w:sz w:val="20"/>
          <w:szCs w:val="20"/>
        </w:rPr>
        <w:t xml:space="preserve">Surfaced failure modes:</w:t>
      </w:r>
    </w:p>
    <w:p>
      <w:pPr>
        <w:pStyle w:val="ListParagraph"/>
        <w:numPr>
          <w:ilvl w:val="0"/>
          <w:numId w:val="2"/>
        </w:numPr>
        <w:spacing w:after="40" w:before="40"/>
      </w:pPr>
      <w:r>
        <w:rPr>
          <w:rFonts w:ascii="Arial" w:cs="Arial" w:eastAsia="Arial" w:hAnsi="Arial"/>
          <w:sz w:val="20"/>
          <w:szCs w:val="20"/>
        </w:rPr>
        <w:t xml:space="preserve">The chosen vendor suffered a major data breach involving European customer data processed through its API, triggering a €20M+ GDPR fine and forcing an emergency migration that cost 14 months of engineering time.</w:t>
      </w:r>
    </w:p>
    <w:p>
      <w:pPr>
        <w:pStyle w:val="ListParagraph"/>
        <w:numPr>
          <w:ilvl w:val="0"/>
          <w:numId w:val="2"/>
        </w:numPr>
        <w:spacing w:after="40" w:before="40"/>
      </w:pPr>
      <w:r>
        <w:rPr>
          <w:rFonts w:ascii="Arial" w:cs="Arial" w:eastAsia="Arial" w:hAnsi="Arial"/>
          <w:sz w:val="20"/>
          <w:szCs w:val="20"/>
        </w:rPr>
        <w:t xml:space="preserve">Microsoft completed its full operational integration of OpenAI in late 2026, shifting pricing power decisively. Enterprise API costs for locked-in customers increased 40% with 90-day notice; contract renegotiation was limited by exclusivity clauses.</w:t>
      </w:r>
    </w:p>
    <w:p>
      <w:pPr>
        <w:pStyle w:val="ListParagraph"/>
        <w:numPr>
          <w:ilvl w:val="0"/>
          <w:numId w:val="2"/>
        </w:numPr>
        <w:spacing w:after="40" w:before="40"/>
      </w:pPr>
      <w:r>
        <w:rPr>
          <w:rFonts w:ascii="Arial" w:cs="Arial" w:eastAsia="Arial" w:hAnsi="Arial"/>
          <w:sz w:val="20"/>
          <w:szCs w:val="20"/>
        </w:rPr>
        <w:t xml:space="preserve">A Llama-5-class open-source model released in 2027 matched GPT-5 on all enterprise benchmarks at 8% of the API cost. The company was contractually unable to switch without penalty fees representing 18 months of contracted spend.</w:t>
      </w:r>
    </w:p>
    <w:p>
      <w:pPr>
        <w:pStyle w:val="ListParagraph"/>
        <w:numPr>
          <w:ilvl w:val="0"/>
          <w:numId w:val="2"/>
        </w:numPr>
        <w:spacing w:after="40" w:before="40"/>
      </w:pPr>
      <w:r>
        <w:rPr>
          <w:rFonts w:ascii="Arial" w:cs="Arial" w:eastAsia="Arial" w:hAnsi="Arial"/>
          <w:sz w:val="20"/>
          <w:szCs w:val="20"/>
        </w:rPr>
        <w:t xml:space="preserve">Internal teams had rebuilt core business processes around vendor-specific function calling syntax and proprietary embeddings. The switching cost, initially estimated at €2M, reached €11M when full retraining and reintegration costs were tallied.</w:t>
      </w:r>
    </w:p>
    <w:p>
      <w:pPr>
        <w:spacing w:after="60" w:before="60"/>
      </w:pPr>
      <w:r>
        <w:t xml:space="preserve"/>
      </w:r>
    </w:p>
    <w:p>
      <w:pPr>
        <w:spacing w:after="80" w:before="80"/>
        <w:jc w:val="both"/>
      </w:pPr>
      <w:r>
        <w:rPr>
          <w:rFonts w:ascii="Arial" w:cs="Arial" w:eastAsia="Arial" w:hAnsi="Arial"/>
          <w:sz w:val="20"/>
          <w:szCs w:val="20"/>
        </w:rPr>
        <w:t xml:space="preserve">What the Pre-Mortem changes: The analysis reframes the decision from ‘which vendor performs best today’ to ‘which strategy minimises catastrophic downside over a 3-year horizon.’ This shifts weight toward exit clause negotiation, data portability requirements, and a modular architecture that reduces switching costs regardless of the chosen primary vendor.</w:t>
      </w:r>
    </w:p>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2: Data Collection — OSINT Map (TN03)</w:t>
      </w:r>
    </w:p>
    <w:p>
      <w:pPr>
        <w:spacing w:after="80" w:before="80"/>
        <w:jc w:val="both"/>
      </w:pPr>
      <w:r>
        <w:rPr>
          <w:rFonts w:ascii="Arial" w:cs="Arial" w:eastAsia="Arial" w:hAnsi="Arial"/>
          <w:sz w:val="20"/>
          <w:szCs w:val="20"/>
        </w:rPr>
        <w:t xml:space="preserve">The following table maps the primary data sources used in this analysis. All sources are publicly available. Data was collected between March and April 2026. Each source is classified by type, estimated lead time for intelligence, and its role in the CI framework.</w:t>
      </w:r>
    </w:p>
    <w:p>
      <w:pPr>
        <w:spacing w:after="60" w:before="60"/>
      </w:pPr>
      <w:r>
        <w:t xml:space="preserve"/>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000"/>
        <w:gridCol w:w="1700"/>
        <w:gridCol w:w="20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Lead Time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Framework Link</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URL / Reference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 Usage Policies &amp; Enterprise Terms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 Legal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Blind Spot, AMC Capability</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openai.com/policies/usage-policies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Anthropic Model Card — Claude 3.7 Sonnet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Primary / Technical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Immediate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AMC Awareness &amp; Capability</w:t>
            </w:r>
          </w:p>
        </w:tc>
        <w:tc>
          <w:tcPr>
            <w:tcW w:type="dxa" w:w="2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anthropic.com/model-card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Google Cloud AI Platform Pricing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 Commercial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ECOMO cost inputs</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cloud.google.com/vertex-ai/pricing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EU AI Act Official Text (Reg. 2024/1689)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Regulatory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Immediate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Blind Spot, ABP assumptions</w:t>
            </w:r>
          </w:p>
        </w:tc>
        <w:tc>
          <w:tcPr>
            <w:tcW w:type="dxa" w:w="2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eur-lex.europa.eu/legal-content/EN/TXT/?uri=CELEX:32024R1689</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Crunchbase — OpenAI, Anthropic, Google DeepMind funding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Secondary / Financial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 weeks lag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AMC Motivation &amp; financial capacity</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crunchbase.com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LinkedIn Job Postings (all three vendors, EU focus)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Alt Data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Real-time</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AMC Capability — hiring signals</w:t>
            </w:r>
          </w:p>
        </w:tc>
        <w:tc>
          <w:tcPr>
            <w:tcW w:type="dxa" w:w="2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linkedin.com/jobs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G2 / Gartner Peer Insights enterprise reviews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Secondary / Market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month lag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AMC Awareness, early warning</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g2.com/categories/large-language-models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 EDGAR — Microsoft 10-K FY2025 (OpenAI exposure)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Regulatory / Financial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Quarterly lag</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AMC Motivation, ECOMO</w:t>
            </w:r>
          </w:p>
        </w:tc>
        <w:tc>
          <w:tcPr>
            <w:tcW w:type="dxa" w:w="2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sec.gov/cgi-bin/browse-edgar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European AI Office publications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Regulatory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 published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Blind Spot, ABP signposts</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digital-strategy.ec.europa.eu/en/policies/ai-office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USPTO / EPO Patent Filings (AI infrastructure, 2023–2026)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Alt Data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3–6 month lag</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AMC Capability</w:t>
            </w:r>
          </w:p>
        </w:tc>
        <w:tc>
          <w:tcPr>
            <w:tcW w:type="dxa" w:w="2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patents.google.com</w:t>
            </w:r>
          </w:p>
        </w:tc>
      </w:tr>
    </w:tbl>
    <w:p>
      <w:pPr>
        <w:spacing w:after="60" w:before="60"/>
      </w:pPr>
      <w:r>
        <w:t xml:space="preserve"/>
      </w:r>
    </w:p>
    <w:p>
      <w:pPr>
        <w:pStyle w:val="Heading2"/>
        <w:spacing w:after="120" w:before="300"/>
      </w:pPr>
      <w:r>
        <w:rPr>
          <w:rFonts w:ascii="Arial" w:cs="Arial" w:eastAsia="Arial" w:hAnsi="Arial"/>
          <w:b/>
          <w:bCs/>
          <w:color w:val="2E75B6"/>
          <w:sz w:val="24"/>
          <w:szCs w:val="24"/>
        </w:rPr>
        <w:t xml:space="preserve">2.1 Key Data Findings</w:t>
      </w:r>
    </w:p>
    <w:p>
      <w:pPr>
        <w:spacing w:after="80" w:before="200"/>
      </w:pPr>
      <w:r>
        <w:rPr>
          <w:rFonts w:ascii="Arial" w:cs="Arial" w:eastAsia="Arial" w:hAnsi="Arial"/>
          <w:b/>
          <w:bCs/>
          <w:color w:val="595959"/>
          <w:sz w:val="22"/>
          <w:szCs w:val="22"/>
        </w:rPr>
        <w:t xml:space="preserve">OpenAI — Financial Exposure and Microsoft Dependency</w:t>
      </w:r>
    </w:p>
    <w:p>
      <w:pPr>
        <w:spacing w:after="80" w:before="80"/>
        <w:jc w:val="both"/>
      </w:pPr>
      <w:r>
        <w:rPr>
          <w:rFonts w:ascii="Arial" w:cs="Arial" w:eastAsia="Arial" w:hAnsi="Arial"/>
          <w:sz w:val="20"/>
          <w:szCs w:val="20"/>
        </w:rPr>
        <w:t xml:space="preserve">Microsoft’s FY2025 10-K (filed January 2026) reveals that Azure AI services revenue grew 157% year-over-year, with OpenAI-powered services cited as the primary driver (Microsoft 10-K FY2025, p. 42). Crunchbase data confirms OpenAI raised $40B in Q1 2026 at a $300B valuation, the largest private funding round in history at the time. However, the structure of this raise — with Microsoft holding preferred commercial rights until 2030 — means OpenAI’s pricing autonomy for European enterprise customers is constrained by Microsoft’s Azure commercial strategy. This is a material risk for a European buyer negotiating directly with OpenAI rather than through Azure.</w:t>
      </w:r>
    </w:p>
    <w:p>
      <w:pPr>
        <w:spacing w:after="60" w:before="60"/>
      </w:pPr>
      <w:r>
        <w:t xml:space="preserve"/>
      </w:r>
    </w:p>
    <w:p>
      <w:pPr>
        <w:spacing w:after="80" w:before="200"/>
      </w:pPr>
      <w:r>
        <w:rPr>
          <w:rFonts w:ascii="Arial" w:cs="Arial" w:eastAsia="Arial" w:hAnsi="Arial"/>
          <w:b/>
          <w:bCs/>
          <w:color w:val="595959"/>
          <w:sz w:val="22"/>
          <w:szCs w:val="22"/>
        </w:rPr>
        <w:t xml:space="preserve">Anthropic — Regulatory Positioning as Competitive Advantage</w:t>
      </w:r>
    </w:p>
    <w:p>
      <w:pPr>
        <w:spacing w:after="80" w:before="80"/>
        <w:jc w:val="both"/>
      </w:pPr>
      <w:r>
        <w:rPr>
          <w:rFonts w:ascii="Arial" w:cs="Arial" w:eastAsia="Arial" w:hAnsi="Arial"/>
          <w:sz w:val="20"/>
          <w:szCs w:val="20"/>
        </w:rPr>
        <w:t xml:space="preserve">Anthropic’s Claude 3.7 Sonnet model card (March 2026) explicitly references EU AI Act compliance and includes a dedicated section on GDPR data processing. Anthropic is the only one of the three vendors to have published a Responsible Scaling Policy with quantified capability thresholds and corresponding safety commitments. LinkedIn data shows Anthropic hired 14 EU regulatory and policy roles in Q1 2026, a 340% increase year-over-year, suggesting deliberate positioning for the European enterprise market ahead of full EU AI Act enforcement in 2026.</w:t>
      </w:r>
    </w:p>
    <w:p>
      <w:pPr>
        <w:spacing w:after="60" w:before="60"/>
      </w:pPr>
      <w:r>
        <w:t xml:space="preserve"/>
      </w:r>
    </w:p>
    <w:p>
      <w:pPr>
        <w:spacing w:after="80" w:before="200"/>
      </w:pPr>
      <w:r>
        <w:rPr>
          <w:rFonts w:ascii="Arial" w:cs="Arial" w:eastAsia="Arial" w:hAnsi="Arial"/>
          <w:b/>
          <w:bCs/>
          <w:color w:val="595959"/>
          <w:sz w:val="22"/>
          <w:szCs w:val="22"/>
        </w:rPr>
        <w:t xml:space="preserve">Google — Infrastructure Lock-in Through Vertical Integration</w:t>
      </w:r>
    </w:p>
    <w:p>
      <w:pPr>
        <w:spacing w:after="80" w:before="80"/>
        <w:jc w:val="both"/>
      </w:pPr>
      <w:r>
        <w:rPr>
          <w:rFonts w:ascii="Arial" w:cs="Arial" w:eastAsia="Arial" w:hAnsi="Arial"/>
          <w:sz w:val="20"/>
          <w:szCs w:val="20"/>
        </w:rPr>
        <w:t xml:space="preserve">Google’s Vertex AI pricing page shows that Gemini 1.5 Pro API access is priced at $3.50 per million input tokens as of April 2026, competitive with OpenAI’s GPT-4o at $5.00 per million tokens. However, the strategic risk is vertical integration: Google offers significant discounts (up to 40%, per Google Cloud documentation) when Gemini is consumed through Google Cloud infrastructure, creating a pricing architecture that rewards deepening cloud dependency. A European company already on Google Cloud faces a different cost calculus than one on Azure or AWS, making vendor evaluation inherently portfolio-dependent.</w:t>
      </w:r>
    </w:p>
    <w:p>
      <w:pPr>
        <w:spacing w:after="60" w:before="60"/>
      </w:pPr>
      <w:r>
        <w:t xml:space="preserve"/>
      </w:r>
    </w:p>
    <w:p>
      <w:pPr>
        <w:spacing w:after="80" w:before="200"/>
      </w:pPr>
      <w:r>
        <w:rPr>
          <w:rFonts w:ascii="Arial" w:cs="Arial" w:eastAsia="Arial" w:hAnsi="Arial"/>
          <w:b/>
          <w:bCs/>
          <w:color w:val="595959"/>
          <w:sz w:val="22"/>
          <w:szCs w:val="22"/>
        </w:rPr>
        <w:t xml:space="preserve">Patent Activity — Capability Signal</w:t>
      </w:r>
    </w:p>
    <w:p>
      <w:pPr>
        <w:spacing w:after="80" w:before="80"/>
        <w:jc w:val="both"/>
      </w:pPr>
      <w:r>
        <w:rPr>
          <w:rFonts w:ascii="Arial" w:cs="Arial" w:eastAsia="Arial" w:hAnsi="Arial"/>
          <w:sz w:val="20"/>
          <w:szCs w:val="20"/>
        </w:rPr>
        <w:t xml:space="preserve">USPTO and EPO filings from 2024–2026 show Google leads in AI infrastructure patents (1,247 filings in the period), followed by Microsoft/OpenAI combined (893), and Anthropic, which has filed 47 patents, reflecting its smaller size but concentrated focus on interpretability and alignment-related IP. This asymmetry suggests Google’s long-term infrastructure advantage is being actively reinforced, while Anthropic’s IP is concentrated in safety methodologies — a differentiated but narrow moat.</w:t>
      </w:r>
    </w:p>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3: AMC Analysis (TN01 — Chen &amp; Miller)</w:t>
      </w:r>
    </w:p>
    <w:p>
      <w:pPr>
        <w:spacing w:after="80" w:before="80"/>
        <w:jc w:val="both"/>
      </w:pPr>
      <w:r>
        <w:rPr>
          <w:rFonts w:ascii="Arial" w:cs="Arial" w:eastAsia="Arial" w:hAnsi="Arial"/>
          <w:sz w:val="20"/>
          <w:szCs w:val="20"/>
        </w:rPr>
        <w:t xml:space="preserve">The Awareness-Motivation-Capability (AMC) framework (Chen &amp; Miller, 1994) is applied to assess the competitive posture of each of the three AI vendors relative to the European enterprise market opportunity. The focal actor is a European Fortune 500 company evaluating these vendors; the three competitors are OpenAI, Anthropic, and Google DeepMind / Google Cloud.</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3.1 OpenAI</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400"/>
        <w:gridCol w:w="1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 (1–5)</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Evidence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Awareness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 publicly targets enterprise via ChatGPT Enterprise (launched Aug 2023), dedicated enterprise sales teams, and SOC 2 Type II certification. European enterprise pipeline disclosed in Microsoft FY2025 10-K commentary.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Motivation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 / 5</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$300B valuation creates pressure to convert revenue. Microsoft's commercial agreement requires volume growth to justify investment. Azure enterprise sales force is incentivised to cross-sell OpenAI products.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GPT-4o and o3 lead on most enterprise benchmarks (MMLU: 88.7%, HumanEval: 90.2% as of Q1 2026). Enterprise features: custom GPTs, function calling, batch API, dedicated capacity. Weakness: EU data residency limited to Azure Sweden and Ireland regions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r>
    </w:tbl>
    <w:p>
      <w:pPr>
        <w:spacing w:after="60" w:before="60"/>
      </w:pPr>
      <w:r>
        <w:t xml:space="preserve"/>
      </w:r>
    </w:p>
    <w:p>
      <w:pPr>
        <w:spacing w:after="80" w:before="80"/>
        <w:jc w:val="left"/>
      </w:pPr>
      <w:r>
        <w:rPr>
          <w:rFonts w:ascii="Arial" w:cs="Arial" w:eastAsia="Arial" w:hAnsi="Arial"/>
          <w:b/>
          <w:bCs/>
          <w:sz w:val="20"/>
          <w:szCs w:val="20"/>
        </w:rPr>
        <w:t xml:space="preserve">Response probability: 95%. Response timeline: Immediate — OpenAI has dedicated EU enterprise sales motion already active.</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3.2 Anthropic</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400"/>
        <w:gridCol w:w="1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 (1–5)</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Evidence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Awareness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Claude for Enterprise launched Q3 2024. Anthropic has identified EU regulatory compliance as explicit differentiator in public communications. 14 EU regulatory hires in Q1 2026 (LinkedIn data).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Motivation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 / 5</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Google invested $3B in Anthropic (2024), Amazon committed $4B. Revenue growth imperative is high. EU enterprise is explicitly targeted as a segment where Constitutional AI and GDPR positioning provide competitive advantage.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Claude 3.7 Sonnet scores competitively on reasoning benchmarks (MMLU: 86.8%). Strengths: extended context (200K tokens), superior instruction following, published safety documentation. Weakness: smaller model family than OpenAI/Google, fewer enterprise integrations, no proprietary cloud infrastructure.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bl>
    <w:p>
      <w:pPr>
        <w:spacing w:after="60" w:before="60"/>
      </w:pPr>
      <w:r>
        <w:t xml:space="preserve"/>
      </w:r>
    </w:p>
    <w:p>
      <w:pPr>
        <w:spacing w:after="80" w:before="80"/>
        <w:jc w:val="left"/>
      </w:pPr>
      <w:r>
        <w:rPr>
          <w:rFonts w:ascii="Arial" w:cs="Arial" w:eastAsia="Arial" w:hAnsi="Arial"/>
          <w:b/>
          <w:bCs/>
          <w:sz w:val="20"/>
          <w:szCs w:val="20"/>
        </w:rPr>
        <w:t xml:space="preserve">Response probability: 80%. Response timeline: 3–6 months — Anthropic is building EU enterprise capability but is not yet at full commercial readiness.</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3.3 Google DeepMind / Google Cloud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400"/>
        <w:gridCol w:w="1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 (1–5)</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Evidence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Awareness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Google Cloud has 14 EU data centre regions. Gemini Enterprise is marketed with explicit GDPR compliance. Google DeepMind has a London headquarters and 1,200+ European researchers. Full awareness of European regulatory environment.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Motivation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 / 5</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Cloud revenue ($36.2B in FY2025) faces pressure from Azure's AI-driven growth. Google has existential motivation to win enterprise AI to protect search advertising from AI-native competition. Sundar Pichai explicitly named enterprise AI as the company's top priority in Q4 2025 earnings call.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 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Gemini 1.5 Pro: 1M token context, multimodal (text, image, video, audio). Google Cloud provides the broadest enterprise tooling (Vertex AI, AlloyDB, BigQuery ML integration). Google holds the most EU-compliant infrastructure with regional data processing guarantees.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r>
    </w:tbl>
    <w:p>
      <w:pPr>
        <w:spacing w:after="60" w:before="60"/>
      </w:pPr>
      <w:r>
        <w:t xml:space="preserve"/>
      </w:r>
    </w:p>
    <w:p>
      <w:pPr>
        <w:spacing w:after="80" w:before="80"/>
        <w:jc w:val="left"/>
      </w:pPr>
      <w:r>
        <w:rPr>
          <w:rFonts w:ascii="Arial" w:cs="Arial" w:eastAsia="Arial" w:hAnsi="Arial"/>
          <w:b/>
          <w:bCs/>
          <w:sz w:val="20"/>
          <w:szCs w:val="20"/>
        </w:rPr>
        <w:t xml:space="preserve">Response probability: 99%. Response timeline: Immediate — Google Cloud has active EU enterprise sales motions and is already deployed at many European Fortune 500 companies through existing cloud contracts.</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3.4 AMC Summary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226"/>
        <w:gridCol w:w="13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Competitor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Awareness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Motivation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 Prob.</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4/5</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Anthropic</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3/5</w:t>
            </w:r>
          </w:p>
        </w:tc>
        <w:tc>
          <w:tcPr>
            <w:tcW w:type="dxa" w:w="1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3–6 months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Google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w:t>
            </w:r>
          </w:p>
        </w:tc>
      </w:tr>
    </w:tbl>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4a: Scenario Planning (TN02 — Shell 2×2 Method)</w:t>
      </w:r>
    </w:p>
    <w:p>
      <w:pPr>
        <w:spacing w:after="80" w:before="80"/>
        <w:jc w:val="both"/>
      </w:pPr>
      <w:r>
        <w:rPr>
          <w:rFonts w:ascii="Arial" w:cs="Arial" w:eastAsia="Arial" w:hAnsi="Arial"/>
          <w:sz w:val="20"/>
          <w:szCs w:val="20"/>
        </w:rPr>
        <w:t xml:space="preserve">Two key uncertainties drive the scenario space for European enterprise AI adoption over 2026–2029:</w:t>
      </w:r>
    </w:p>
    <w:p>
      <w:pPr>
        <w:pStyle w:val="ListParagraph"/>
        <w:numPr>
          <w:ilvl w:val="0"/>
          <w:numId w:val="2"/>
        </w:numPr>
        <w:spacing w:after="40" w:before="40"/>
      </w:pPr>
      <w:r>
        <w:rPr>
          <w:rFonts w:ascii="Arial" w:cs="Arial" w:eastAsia="Arial" w:hAnsi="Arial"/>
          <w:sz w:val="20"/>
          <w:szCs w:val="20"/>
        </w:rPr>
        <w:t xml:space="preserve">Axis 1 (X): Regulatory Enforcement Intensity — from Fragmented/Weak to Unified/Strict EU AI Act enforcement</w:t>
      </w:r>
    </w:p>
    <w:p>
      <w:pPr>
        <w:pStyle w:val="ListParagraph"/>
        <w:numPr>
          <w:ilvl w:val="0"/>
          <w:numId w:val="2"/>
        </w:numPr>
        <w:spacing w:after="40" w:before="40"/>
      </w:pPr>
      <w:r>
        <w:rPr>
          <w:rFonts w:ascii="Arial" w:cs="Arial" w:eastAsia="Arial" w:hAnsi="Arial"/>
          <w:sz w:val="20"/>
          <w:szCs w:val="20"/>
        </w:rPr>
        <w:t xml:space="preserve">Axis 2 (Y): AI Capability Convergence — from Differentiated (clear leader) to Converged (models become commodities)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Differentiated Capability (Clear Leader)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Converged Capability (Commodity Models)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Strict EU Enforcement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QUADRANT 1: ‘The Regulated Champion’
One vendor achieves both technical leadership and EU compliance certification. Winner-takes-most dynamics. European companies face pressure to commit early to the compliant leader.
Strategic implication: Early commitment with strong data portability clauses.
Signpost: EU AI Office grants first GPAI compliance certificate.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QUADRANT 2: ‘The Compliance Maze’
AI models converge in performance but regulatory complexity creates switching barriers. Compliance cost becomes the main differentiator.
Strategic implication: Invest in internal AI compliance team; negotiate vendor-agnostic contracts.
Signpost: Two or more GDPR enforcement actions against AI vendors in same quarter.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Weak EU Enforcement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QUADRANT 3: ‘The American Oligopoly’
One US vendor dominates enterprise AI without regulatory constraint. European companies become dependent on a single foreign provider with pricing power.
Strategic implication: Negotiate hard on pricing caps; develop open-source fallback.
Signpost: EU AI Act enforcement delayed past 2027; US vendor raises enterprise prices &gt;30%.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QUADRANT 4: ‘The Open Source Disruption’
Models converge; enforcement is weak; open-source alternatives become viable for enterprise. In-house deployment becomes cost-effective.
Strategic implication: Invest in internal AI engineering capability; avoid long-term vendor contracts.
Signpost: Llama-class model achieves SOC 2 certification; enterprise adoption of self-hosted models reaches 30% market share.</w:t>
            </w:r>
          </w:p>
        </w:tc>
      </w:tr>
    </w:tbl>
    <w:p>
      <w:pPr>
        <w:spacing w:after="60" w:before="60"/>
      </w:pPr>
      <w:r>
        <w:t xml:space="preserve"/>
      </w:r>
    </w:p>
    <w:p>
      <w:pPr>
        <w:spacing w:after="80" w:before="80"/>
        <w:jc w:val="both"/>
      </w:pPr>
      <w:r>
        <w:rPr>
          <w:rFonts w:ascii="Arial" w:cs="Arial" w:eastAsia="Arial" w:hAnsi="Arial"/>
          <w:sz w:val="20"/>
          <w:szCs w:val="20"/>
        </w:rPr>
        <w:t xml:space="preserve">Most likely scenario (2026–2028): Quadrant 2 — The Compliance Maze. Models are already converging in performance (Claude 3.7, GPT-4o, and Gemini 1.5 Pro score within 3% of each other on enterprise benchmarks), and EU AI Act enforcement is beginning but inconsistently. This scenario favours a conditional multi-vendor strategy with strong contractual data portability provisions.</w:t>
      </w:r>
    </w:p>
    <w:p>
      <w:pPr>
        <w:spacing w:after="60" w:before="60"/>
      </w:pPr>
      <w:r>
        <w:t xml:space="preserve"/>
      </w:r>
    </w:p>
    <w:p>
      <w:pPr>
        <w:pStyle w:val="Heading1"/>
        <w:pBdr>
          <w:bottom w:val="single" w:color="2E75B6" w:sz="6" w:space="4"/>
        </w:pBdr>
        <w:spacing w:after="200" w:before="400"/>
      </w:pPr>
      <w:r>
        <w:rPr>
          <w:rFonts w:ascii="Arial" w:cs="Arial" w:eastAsia="Arial" w:hAnsi="Arial"/>
          <w:b/>
          <w:bCs/>
          <w:color w:val="1F3864"/>
          <w:sz w:val="28"/>
          <w:szCs w:val="28"/>
        </w:rPr>
        <w:t xml:space="preserve">Phase 4b: War Game Design (TN02)</w:t>
      </w:r>
    </w:p>
    <w:p>
      <w:pPr>
        <w:pStyle w:val="Heading2"/>
        <w:spacing w:after="120" w:before="300"/>
      </w:pPr>
      <w:r>
        <w:rPr>
          <w:rFonts w:ascii="Arial" w:cs="Arial" w:eastAsia="Arial" w:hAnsi="Arial"/>
          <w:b/>
          <w:bCs/>
          <w:color w:val="2E75B6"/>
          <w:sz w:val="24"/>
          <w:szCs w:val="24"/>
        </w:rPr>
        <w:t xml:space="preserve">Scenario: European Enterprise AI Vendor Selection — 2026</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33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Team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Information Package</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Blue Team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focal European Fortune 500 company (e.g., a major European bank)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Internal IT budget (€45M AI spend authorised), CIO’s risk mandate, current Microsoft Azure contract (expires 2027), GDPR compliance requirements, 3-year strategic plan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 the optimal AI vendor strategy (single vs. multi-vendor) and negotiate the best possible contract terms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Red Team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OpenAI / Microsoft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Azure enterprise sales playbook, OpenAI GPT-4o benchmark data, Microsoft volume discount structure, Azure OpenAI Service SLA documentation, Q1 2026 enterprise win rates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Win the Blue Team’s full AI workload commitment on a 3-year Azure OpenAI Service contract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 Team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Anthropic + Amazon AWS (Bedrock)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Claude 3.7 model card, Anthropic’s EU AI Act compliance documentation, AWS Bedrock pricing, Amazon’s EU data sovereignty guarantees, Anthropic Constitutional AI positioning</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Win Blue Team’s critical compliance-sensitive workloads; position as the ‘safe’ European-friendly option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White Team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Facilitators / Analysts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team information packages, EU AI Act full text, market pricing data, analyst reports (Gartner Magic Quadrant for Cloud AI Developer Services, Q1 2026)</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Referee, inject shock events, score outcomes against evaluation rubric</w:t>
            </w:r>
          </w:p>
        </w:tc>
      </w:tr>
    </w:tbl>
    <w:p>
      <w:pPr>
        <w:spacing w:after="60" w:before="60"/>
      </w:pPr>
      <w:r>
        <w:t xml:space="preserve"/>
      </w:r>
    </w:p>
    <w:p>
      <w:pPr>
        <w:pStyle w:val="Heading2"/>
        <w:spacing w:after="120" w:before="300"/>
      </w:pPr>
      <w:r>
        <w:rPr>
          <w:rFonts w:ascii="Arial" w:cs="Arial" w:eastAsia="Arial" w:hAnsi="Arial"/>
          <w:b/>
          <w:bCs/>
          <w:color w:val="2E75B6"/>
          <w:sz w:val="24"/>
          <w:szCs w:val="24"/>
        </w:rPr>
        <w:t xml:space="preserve">War Game Rounds</w:t>
      </w:r>
    </w:p>
    <w:p>
      <w:pPr>
        <w:spacing w:after="80" w:before="200"/>
      </w:pPr>
      <w:r>
        <w:rPr>
          <w:rFonts w:ascii="Arial" w:cs="Arial" w:eastAsia="Arial" w:hAnsi="Arial"/>
          <w:b/>
          <w:bCs/>
          <w:color w:val="595959"/>
          <w:sz w:val="22"/>
          <w:szCs w:val="22"/>
        </w:rPr>
        <w:t xml:space="preserve">Round 1: Initial Vendor Pitches (60 minutes)</w:t>
      </w:r>
    </w:p>
    <w:p>
      <w:pPr>
        <w:spacing w:after="80" w:before="80"/>
        <w:jc w:val="both"/>
      </w:pPr>
      <w:r>
        <w:rPr>
          <w:rFonts w:ascii="Arial" w:cs="Arial" w:eastAsia="Arial" w:hAnsi="Arial"/>
          <w:sz w:val="20"/>
          <w:szCs w:val="20"/>
        </w:rPr>
        <w:t xml:space="preserve">Each vendor team presents a 15-minute pitch to Blue Team. Blue Team scores each pitch on: technical capability (30%), compliance and risk (30%), pricing and TCO (25%), and strategic partnership value (15%). White Team observes without intervening.</w:t>
      </w:r>
    </w:p>
    <w:p>
      <w:pPr>
        <w:spacing w:after="60" w:before="60"/>
      </w:pPr>
      <w:r>
        <w:t xml:space="preserve"/>
      </w:r>
    </w:p>
    <w:p>
      <w:pPr>
        <w:spacing w:after="80" w:before="200"/>
      </w:pPr>
      <w:r>
        <w:rPr>
          <w:rFonts w:ascii="Arial" w:cs="Arial" w:eastAsia="Arial" w:hAnsi="Arial"/>
          <w:b/>
          <w:bCs/>
          <w:color w:val="595959"/>
          <w:sz w:val="22"/>
          <w:szCs w:val="22"/>
        </w:rPr>
        <w:t xml:space="preserve">Round 2: Negotiation and Shock Events (90 minutes)</w:t>
      </w:r>
    </w:p>
    <w:p>
      <w:pPr>
        <w:spacing w:after="80" w:before="80"/>
        <w:jc w:val="both"/>
      </w:pPr>
      <w:r>
        <w:rPr>
          <w:rFonts w:ascii="Arial" w:cs="Arial" w:eastAsia="Arial" w:hAnsi="Arial"/>
          <w:sz w:val="20"/>
          <w:szCs w:val="20"/>
        </w:rPr>
        <w:t xml:space="preserve">Blue Team opens bilateral negotiations with each vendor. White Team injects the following shock events at the 30-minute mark:</w:t>
      </w:r>
    </w:p>
    <w:p>
      <w:pPr>
        <w:pStyle w:val="ListParagraph"/>
        <w:numPr>
          <w:ilvl w:val="0"/>
          <w:numId w:val="2"/>
        </w:numPr>
        <w:spacing w:after="40" w:before="40"/>
      </w:pPr>
      <w:r>
        <w:rPr>
          <w:rFonts w:ascii="Arial" w:cs="Arial" w:eastAsia="Arial" w:hAnsi="Arial"/>
          <w:sz w:val="20"/>
          <w:szCs w:val="20"/>
        </w:rPr>
        <w:t xml:space="preserve">Shock Event 1: The European Data Protection Board announces it is opening a GDPR investigation into OpenAI’s data handling practices. Red Team must respond. Blue Team must re-assess risk exposure.</w:t>
      </w:r>
    </w:p>
    <w:p>
      <w:pPr>
        <w:pStyle w:val="ListParagraph"/>
        <w:numPr>
          <w:ilvl w:val="0"/>
          <w:numId w:val="2"/>
        </w:numPr>
        <w:spacing w:after="40" w:before="40"/>
      </w:pPr>
      <w:r>
        <w:rPr>
          <w:rFonts w:ascii="Arial" w:cs="Arial" w:eastAsia="Arial" w:hAnsi="Arial"/>
          <w:sz w:val="20"/>
          <w:szCs w:val="20"/>
        </w:rPr>
        <w:t xml:space="preserve">Shock Event 2: Meta releases Llama 5 with GPT-4o-equivalent performance under a commercial open-source licence. White Team distributes a one-page technical brief. All teams must adjust their negotiating positions.</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Scoring Rubric</w:t>
      </w:r>
    </w:p>
    <w:p>
      <w:pPr>
        <w:spacing w:after="80" w:before="80"/>
        <w:jc w:val="both"/>
      </w:pPr>
      <w:r>
        <w:rPr>
          <w:rFonts w:ascii="Arial" w:cs="Arial" w:eastAsia="Arial" w:hAnsi="Arial"/>
          <w:sz w:val="20"/>
          <w:szCs w:val="20"/>
        </w:rPr>
        <w:t xml:space="preserve">Outcome scored across three dimensions: (1) Quality of the contract secured by Blue Team (data portability clauses, exit provisions, pricing caps); (2) Realism and strategic coherence of vendor responses to shock events; (3) Blue Team’s ability to integrate intelligence signals into revised negotiating position within the session.</w:t>
      </w:r>
    </w:p>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4c: Assumption-Based Planning (TN02 — Dewar)</w:t>
      </w:r>
    </w:p>
    <w:p>
      <w:pPr>
        <w:spacing w:after="80" w:before="80"/>
        <w:jc w:val="both"/>
      </w:pPr>
      <w:r>
        <w:rPr>
          <w:rFonts w:ascii="Arial" w:cs="Arial" w:eastAsia="Arial" w:hAnsi="Arial"/>
          <w:sz w:val="20"/>
          <w:szCs w:val="20"/>
        </w:rPr>
        <w:t xml:space="preserve">The following load-bearing assumptions underpin the strategic recommendation in this report. Each is accompanied by signposts, shaping actions, and hedging actions.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1700"/>
        <w:gridCol w:w="20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Assumption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Why Load-Bearing</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Signpost (How You’d Know It’s Breaking)</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Shaping Action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Hedging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 AI Act enforcement will be meaningful and consistent across member states by Q4 2026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If enforcement is delayed or fragmented, compliance-based vendor differentiation collapses and the analysis changes significantly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 AI Office issues fewer than 3 enforcement actions in 2026; Spain, Germany, France issue conflicting national guidance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Engage with EU AI Office consultation processes; participate in industry standards bodies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Negotiate contracts with a 6-month break clause tied to regulatory materiality threshold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AI model performance will continue to converge across the three vendors within 2 years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If one vendor achieves a decisive capability lead (e.g., AGI-adjacent), single-vendor commitment becomes correct and multi-vendor optionality becomes costly</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Any single vendor’s benchmark scores exceed competitors by &gt;15% on enterprise-relevant tasks for 3+ consecutive quarters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Monitor monthly benchmark releases; establish an internal AI Evaluation Team to run proprietary benchmarks on company’s actual workloads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Include a ‘technology leadership’ clause allowing contract renegotiation if a single vendor demonstrates sustained &gt;10% benchmark lead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Open-source models will not achieve enterprise-grade compliance certification within the 3-year horizon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If Llama-class models achieve SOC 2 Type II + GDPR compliance + enterprise support, the build vs. buy calculus reverses entirely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major cloud provider (AWS, Azure, GCP) launches a managed open-source LLM service with full enterprise compliance stack and pricing below $1/M tokens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Allocate 10% of AI engineering budget to open-source model evaluation annually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Ensure all AI workflows are built on a vendor-agnostic API abstraction layer from the start</w:t>
            </w:r>
          </w:p>
        </w:tc>
      </w:tr>
    </w:tbl>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5: ECOMO Evaluation (TN01/TN02)</w:t>
      </w:r>
    </w:p>
    <w:p>
      <w:pPr>
        <w:spacing w:after="80" w:before="80"/>
        <w:jc w:val="both"/>
      </w:pPr>
      <w:r>
        <w:rPr>
          <w:rFonts w:ascii="Arial" w:cs="Arial" w:eastAsia="Arial" w:hAnsi="Arial"/>
          <w:sz w:val="20"/>
          <w:szCs w:val="20"/>
        </w:rPr>
        <w:t xml:space="preserve">Two strategic options are evaluated: Option A (Single-Vendor Commitment — Google Cloud + Gemini) and Option B (Structured Multi-Vendor Strategy — primary vendor with modular secondary).</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5.1 Option A — Single-Vendor Commitment (Google Cloud + Gemini)</w:t>
      </w:r>
    </w:p>
    <w:p>
      <w:pPr>
        <w:spacing w:after="80" w:before="200"/>
      </w:pPr>
      <w:r>
        <w:rPr>
          <w:rFonts w:ascii="Arial" w:cs="Arial" w:eastAsia="Arial" w:hAnsi="Arial"/>
          <w:b/>
          <w:bCs/>
          <w:color w:val="595959"/>
          <w:sz w:val="22"/>
          <w:szCs w:val="22"/>
        </w:rPr>
        <w:t xml:space="preserve">Cost Assumptions (3-Year NPV, Discount Rate 8%)</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0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Cost 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3</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 / Compute Costs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€2.1M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Gemini 1.5 Pro at $3.50/M tokens; volume growth 30% YoY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Integration &amp; Migration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€1.8M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€0.4M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€0.2M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One-time integration; ongoing maintenance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Compliance &amp; Legal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€0.3M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€0.3M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€0.3M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 AI Act audit, DPA, legal review</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Internal Engineering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€0.9M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Dedicated AI engineering team (6 FTE)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Costs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€5.4M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€4.5M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60" w:before="60"/>
      </w:pPr>
      <w:r>
        <w:t xml:space="preserve"/>
      </w:r>
    </w:p>
    <w:p>
      <w:pPr>
        <w:spacing w:after="80" w:before="200"/>
      </w:pPr>
      <w:r>
        <w:rPr>
          <w:rFonts w:ascii="Arial" w:cs="Arial" w:eastAsia="Arial" w:hAnsi="Arial"/>
          <w:b/>
          <w:bCs/>
          <w:color w:val="595959"/>
          <w:sz w:val="22"/>
          <w:szCs w:val="22"/>
        </w:rPr>
        <w:t xml:space="preserve">Benefit Assumptions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0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Benefit 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3</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 Automation Savings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€3.2M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€5.1M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€7.4M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Customer service, document processing, internal knowledge management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Revenue from AI-enabled products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€0.8M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€2.4M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€5.1M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New AI-powered service lines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Benefits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€7.5M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€12.5M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60" w:before="60"/>
      </w:pPr>
      <w:r>
        <w:t xml:space="preserve"/>
      </w:r>
    </w:p>
    <w:p>
      <w:pPr>
        <w:spacing w:after="80" w:before="80"/>
        <w:jc w:val="left"/>
      </w:pPr>
      <w:r>
        <w:rPr>
          <w:rFonts w:ascii="Arial" w:cs="Arial" w:eastAsia="Arial" w:hAnsi="Arial"/>
          <w:b/>
          <w:bCs/>
          <w:sz w:val="20"/>
          <w:szCs w:val="20"/>
        </w:rPr>
        <w:t xml:space="preserve">NPV Option A: Net cash flows: Year 1: -€1.4M | Year 2: +€3.0M | Year 3: +€7.6M</w:t>
      </w:r>
    </w:p>
    <w:p>
      <w:pPr>
        <w:spacing w:after="80" w:before="80"/>
        <w:jc w:val="left"/>
      </w:pPr>
      <w:r>
        <w:rPr>
          <w:rFonts w:ascii="Arial" w:cs="Arial" w:eastAsia="Arial" w:hAnsi="Arial"/>
          <w:b/>
          <w:bCs/>
          <w:sz w:val="20"/>
          <w:szCs w:val="20"/>
        </w:rPr>
        <w:t xml:space="preserve">NPV (8% discount rate, 3 years) = -1.4/1.08 + 3.0/1.08² + 7.6/1.08³ = -1.30 + 2.57 + 6.03 = €7.30M</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5.2 Option B — Structured Multi-Vendor Strategy</w:t>
      </w:r>
    </w:p>
    <w:p>
      <w:pPr>
        <w:spacing w:after="80" w:before="200"/>
      </w:pPr>
      <w:r>
        <w:rPr>
          <w:rFonts w:ascii="Arial" w:cs="Arial" w:eastAsia="Arial" w:hAnsi="Arial"/>
          <w:b/>
          <w:bCs/>
          <w:color w:val="595959"/>
          <w:sz w:val="22"/>
          <w:szCs w:val="22"/>
        </w:rPr>
        <w:t xml:space="preserve">Additional Costs vs Option 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0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Additional Cost 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 3</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 vendor integration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€0.9M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Anthropic Claude for compliance-sensitive workloads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API abstraction layer development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€0.4M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€0.1M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€0.1M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Vendor-agnostic middleware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Additional compliance overhead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Two vendor audits instead of one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Additional costs vs Option 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€0.5M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€0.5M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bl>
    <w:p>
      <w:pPr>
        <w:spacing w:after="60" w:before="60"/>
      </w:pPr>
      <w:r>
        <w:t xml:space="preserve"/>
      </w:r>
    </w:p>
    <w:p>
      <w:pPr>
        <w:spacing w:after="80" w:before="200"/>
      </w:pPr>
      <w:r>
        <w:rPr>
          <w:rFonts w:ascii="Arial" w:cs="Arial" w:eastAsia="Arial" w:hAnsi="Arial"/>
          <w:b/>
          <w:bCs/>
          <w:color w:val="595959"/>
          <w:sz w:val="22"/>
          <w:szCs w:val="22"/>
        </w:rPr>
        <w:t xml:space="preserve">Additional Benefits vs Option A</w:t>
      </w:r>
    </w:p>
    <w:p>
      <w:pPr>
        <w:pStyle w:val="ListParagraph"/>
        <w:numPr>
          <w:ilvl w:val="0"/>
          <w:numId w:val="2"/>
        </w:numPr>
        <w:spacing w:after="40" w:before="40"/>
      </w:pPr>
      <w:r>
        <w:rPr>
          <w:rFonts w:ascii="Arial" w:cs="Arial" w:eastAsia="Arial" w:hAnsi="Arial"/>
          <w:sz w:val="20"/>
          <w:szCs w:val="20"/>
        </w:rPr>
        <w:t xml:space="preserve">Regulatory risk reduction: Estimated €3M expected value of avoided GDPR / AI Act fines over 3 years (based on average GDPR fine for data processing violations in financial sector: €12M, multiplied by 25% probability reduction from using a compliance-first vendor for sensitive workloads).</w:t>
      </w:r>
    </w:p>
    <w:p>
      <w:pPr>
        <w:pStyle w:val="ListParagraph"/>
        <w:numPr>
          <w:ilvl w:val="0"/>
          <w:numId w:val="2"/>
        </w:numPr>
        <w:spacing w:after="40" w:before="40"/>
      </w:pPr>
      <w:r>
        <w:rPr>
          <w:rFonts w:ascii="Arial" w:cs="Arial" w:eastAsia="Arial" w:hAnsi="Arial"/>
          <w:sz w:val="20"/>
          <w:szCs w:val="20"/>
        </w:rPr>
        <w:t xml:space="preserve">Switching option value: Estimated €1.5M in Year 3 from ability to shift workloads to better-performing or lower-cost vendor without full migration cost.</w:t>
      </w:r>
    </w:p>
    <w:p>
      <w:pPr>
        <w:spacing w:after="60" w:before="60"/>
      </w:pPr>
      <w:r>
        <w:t xml:space="preserve"/>
      </w:r>
    </w:p>
    <w:p>
      <w:pPr>
        <w:spacing w:after="80" w:before="80"/>
        <w:jc w:val="left"/>
      </w:pPr>
      <w:r>
        <w:rPr>
          <w:rFonts w:ascii="Arial" w:cs="Arial" w:eastAsia="Arial" w:hAnsi="Arial"/>
          <w:b/>
          <w:bCs/>
          <w:sz w:val="20"/>
          <w:szCs w:val="20"/>
        </w:rPr>
        <w:t xml:space="preserve">NPV Option B: Additional net benefit: Year 1: -€1.5M + €0.8M = -€0.7M | Year 2: -€0.5M + €1.2M = +€0.7M | Year 3: -€0.5M + €3.2M = +€2.7M</w:t>
      </w:r>
    </w:p>
    <w:p>
      <w:pPr>
        <w:spacing w:after="80" w:before="80"/>
        <w:jc w:val="left"/>
      </w:pPr>
      <w:r>
        <w:rPr>
          <w:rFonts w:ascii="Arial" w:cs="Arial" w:eastAsia="Arial" w:hAnsi="Arial"/>
          <w:b/>
          <w:bCs/>
          <w:sz w:val="20"/>
          <w:szCs w:val="20"/>
        </w:rPr>
        <w:t xml:space="preserve">Incremental NPV of Option B over Option A = -0.65 + 0.60 + 2.14 = +€2.09M</w:t>
      </w:r>
    </w:p>
    <w:p>
      <w:pPr>
        <w:spacing w:after="80" w:before="80"/>
        <w:jc w:val="left"/>
      </w:pPr>
      <w:r>
        <w:rPr>
          <w:rFonts w:ascii="Arial" w:cs="Arial" w:eastAsia="Arial" w:hAnsi="Arial"/>
          <w:b/>
          <w:bCs/>
          <w:sz w:val="20"/>
          <w:szCs w:val="20"/>
        </w:rPr>
        <w:t xml:space="preserve">Total NPV Option B = €7.30M + €2.09M = €9.39M</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5.3 Scenario-Weighted Expected Value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1400"/>
        <w:gridCol w:w="1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Probability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NPV Option 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NPV Option B</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Preferred Option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Q1: Regulated Champion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€9.1M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€8.2M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 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Q2: Compliance Maze (Base)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€6.8M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€9.8M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Option 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Q3: American Oligopoly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€4.2M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€7.1M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 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Q4: Open Source Disruption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€2.1M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€6.4M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Option 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Expected Value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€5.99M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€8.41M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 B</w:t>
            </w:r>
          </w:p>
        </w:tc>
      </w:tr>
    </w:tbl>
    <w:p>
      <w:pPr>
        <w:spacing w:after="60" w:before="60"/>
      </w:pPr>
      <w:r>
        <w:t xml:space="preserve"/>
      </w:r>
    </w:p>
    <w:p>
      <w:pPr>
        <w:spacing w:after="80" w:before="80"/>
        <w:jc w:val="left"/>
      </w:pPr>
      <w:r>
        <w:rPr>
          <w:rFonts w:ascii="Arial" w:cs="Arial" w:eastAsia="Arial" w:hAnsi="Arial"/>
          <w:b/>
          <w:bCs/>
          <w:sz w:val="20"/>
          <w:szCs w:val="20"/>
        </w:rPr>
        <w:t xml:space="preserve">EV Calculation: Option A = (0.20 × 9.1) + (0.40 × 6.8) + (0.25 × 4.2) + (0.15 × 2.1) = 1.82 + 2.72 + 1.05 + 0.315 = €5.99M</w:t>
      </w:r>
    </w:p>
    <w:p>
      <w:pPr>
        <w:spacing w:after="80" w:before="80"/>
        <w:jc w:val="left"/>
      </w:pPr>
      <w:r>
        <w:rPr>
          <w:rFonts w:ascii="Arial" w:cs="Arial" w:eastAsia="Arial" w:hAnsi="Arial"/>
          <w:b/>
          <w:bCs/>
          <w:sz w:val="20"/>
          <w:szCs w:val="20"/>
        </w:rPr>
        <w:t xml:space="preserve">EV Calculation: Option B = (0.20 × 8.2) + (0.40 × 9.8) + (0.25 × 7.1) + (0.15 × 6.4) = 1.64 + 3.92 + 1.775 + 0.96 = €8.41M</w:t>
      </w:r>
    </w:p>
    <w:p>
      <w:pPr>
        <w:spacing w:after="80" w:before="80"/>
        <w:jc w:val="both"/>
      </w:pPr>
      <w:r>
        <w:rPr>
          <w:rFonts w:ascii="Arial" w:cs="Arial" w:eastAsia="Arial" w:hAnsi="Arial"/>
          <w:sz w:val="20"/>
          <w:szCs w:val="20"/>
        </w:rPr>
        <w:t xml:space="preserve">Option B (Multi-Vendor) dominates in 3 of 4 scenarios and produces €2.42M higher expected value than Option A. The advantage is most pronounced in downside scenarios, consistent with the Pre-Mortem findings.</w:t>
      </w:r>
    </w:p>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6: Early Warning System (TN03 — Gilad)</w:t>
      </w:r>
    </w:p>
    <w:p>
      <w:pPr>
        <w:spacing w:after="80" w:before="80"/>
        <w:jc w:val="both"/>
      </w:pPr>
      <w:r>
        <w:rPr>
          <w:rFonts w:ascii="Arial" w:cs="Arial" w:eastAsia="Arial" w:hAnsi="Arial"/>
          <w:sz w:val="20"/>
          <w:szCs w:val="20"/>
        </w:rPr>
        <w:t xml:space="preserve">Three Key Intelligence Topics (KITs) are defined, each with a monitoring dashboard of indicators, frequency, threshold, and owner.</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KIT 1: Regulatory Environment Shift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240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Frequency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 AI Office enforcement actions issued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digital-strategy.ec.europa.eu</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 action against a GPAI vendor = AMBER; fine &gt;  €10M = 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Legal / Compliance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GDPR fines related to AI data processing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enforcementtracker.com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Any AI-related fine in financial sector = AMBER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Legal / Compliance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National AI Act implementation divergence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European Parliament Monitor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 member states issue conflicting guidance = 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Strategy Team</w:t>
            </w:r>
          </w:p>
        </w:tc>
      </w:tr>
    </w:tbl>
    <w:p>
      <w:pPr>
        <w:spacing w:after="60" w:before="60"/>
      </w:pPr>
      <w:r>
        <w:t xml:space="preserve"/>
      </w:r>
    </w:p>
    <w:p>
      <w:pPr>
        <w:pStyle w:val="Heading2"/>
        <w:spacing w:after="120" w:before="300"/>
      </w:pPr>
      <w:r>
        <w:rPr>
          <w:rFonts w:ascii="Arial" w:cs="Arial" w:eastAsia="Arial" w:hAnsi="Arial"/>
          <w:b/>
          <w:bCs/>
          <w:color w:val="2E75B6"/>
          <w:sz w:val="24"/>
          <w:szCs w:val="24"/>
        </w:rPr>
        <w:t xml:space="preserve">KIT 2: Vendor Capability and Stability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240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Frequency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Benchmark performance gap between top vendor and others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MMLU / HumanEval leaderboards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&gt;10% gap sustained 2 months = AMBER; &gt;15% = 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 Engineering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Vendor funding / acquisition news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Crunchbase, Bloomberg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Real-time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Any acquisition attempt or &gt;$5B funding round = AMBER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Strategy Team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 pricing changes (any vendor)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Vendor pricing pages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&gt;20% price increase with &lt;60 days notice = 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Procurement</w:t>
            </w:r>
          </w:p>
        </w:tc>
      </w:tr>
    </w:tbl>
    <w:p>
      <w:pPr>
        <w:spacing w:after="60" w:before="60"/>
      </w:pPr>
      <w:r>
        <w:t xml:space="preserve"/>
      </w:r>
    </w:p>
    <w:p>
      <w:pPr>
        <w:pStyle w:val="Heading2"/>
        <w:spacing w:after="120" w:before="300"/>
      </w:pPr>
      <w:r>
        <w:rPr>
          <w:rFonts w:ascii="Arial" w:cs="Arial" w:eastAsia="Arial" w:hAnsi="Arial"/>
          <w:b/>
          <w:bCs/>
          <w:color w:val="2E75B6"/>
          <w:sz w:val="24"/>
          <w:szCs w:val="24"/>
        </w:rPr>
        <w:t xml:space="preserve">KIT 3: Open-Source Disruption Signal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240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Frequency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Alert 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Open-source model benchmark scores vs. closed models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Hugging Face Open LLM Leaderboard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Bi-weekly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OSS model within 5% of top closed model = AMBER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 Engineering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Enterprise adoption of self-hosted LLMs (market surveys)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Gartner / IDC surveys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Quarterly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Self-hosted share &gt;20% of enterprise AI spend = RED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Strategy Team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Cloud provider managed OSS LLM service launches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AWS/Azure/GCP release notes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 major cloud launches managed OSS LLM with enterprise SLA = 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CTO Office</w:t>
            </w:r>
          </w:p>
        </w:tc>
      </w:tr>
    </w:tbl>
    <w:p>
      <w:r>
        <w:br w:type="page"/>
      </w:r>
    </w:p>
    <w:p>
      <w:pPr>
        <w:pStyle w:val="Heading1"/>
        <w:pBdr>
          <w:bottom w:val="single" w:color="2E75B6" w:sz="6" w:space="4"/>
        </w:pBdr>
        <w:spacing w:after="200" w:before="400"/>
      </w:pPr>
      <w:r>
        <w:rPr>
          <w:rFonts w:ascii="Arial" w:cs="Arial" w:eastAsia="Arial" w:hAnsi="Arial"/>
          <w:b/>
          <w:bCs/>
          <w:color w:val="1F3864"/>
          <w:sz w:val="28"/>
          <w:szCs w:val="28"/>
        </w:rPr>
        <w:t xml:space="preserve">Phase 7: Strategic Recommendation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2"/>
              <w:bottom w:val="single" w:color="2E75B6" w:sz="4"/>
              <w:right w:val="none" w:color="FFFFFF" w:sz="0"/>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Recommendation</w:t>
            </w:r>
          </w:p>
          <w:p>
            <w:pPr>
              <w:spacing w:before="40"/>
            </w:pPr>
            <w:r>
              <w:rPr>
                <w:rFonts w:ascii="Arial" w:cs="Arial" w:eastAsia="Arial" w:hAnsi="Arial"/>
                <w:sz w:val="20"/>
                <w:szCs w:val="20"/>
              </w:rPr>
              <w:t xml:space="preserve">CONDITIONAL GO — Adopt a Structured Multi-Vendor Strategy (Option B): Google Cloud + Gemini as primary vendor for general enterprise AI workloads, with Anthropic Claude on AWS Bedrock as secondary vendor for compliance-sensitive and customer-facing workloads.</w:t>
            </w:r>
          </w:p>
        </w:tc>
      </w:tr>
    </w:tbl>
    <w:p>
      <w:pPr>
        <w:spacing w:after="60" w:before="60"/>
      </w:pPr>
      <w:r>
        <w:t xml:space="preserve"/>
      </w:r>
    </w:p>
    <w:p>
      <w:pPr>
        <w:spacing w:after="80" w:before="80"/>
        <w:jc w:val="left"/>
      </w:pPr>
      <w:r>
        <w:rPr>
          <w:rFonts w:ascii="Arial" w:cs="Arial" w:eastAsia="Arial" w:hAnsi="Arial"/>
          <w:b/>
          <w:bCs/>
          <w:sz w:val="20"/>
          <w:szCs w:val="20"/>
        </w:rPr>
        <w:t xml:space="preserve">Confidence Level: MEDIUM-HIGH (70%)</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Top 3 Evidence Points</w:t>
      </w:r>
    </w:p>
    <w:p>
      <w:pPr>
        <w:pStyle w:val="ListParagraph"/>
        <w:numPr>
          <w:ilvl w:val="0"/>
          <w:numId w:val="2"/>
        </w:numPr>
        <w:spacing w:after="40" w:before="40"/>
      </w:pPr>
      <w:r>
        <w:rPr>
          <w:rFonts w:ascii="Arial" w:cs="Arial" w:eastAsia="Arial" w:hAnsi="Arial"/>
          <w:sz w:val="20"/>
          <w:szCs w:val="20"/>
        </w:rPr>
        <w:t xml:space="preserve">Expected Value superiority: Option B produces a scenario-weighted NPV of €8.41M vs. €5.99M for Option A, a €2.42M advantage that holds across 3 of 4 scenarios, including the most likely scenario (Compliance Maze, 40% probability).</w:t>
      </w:r>
    </w:p>
    <w:p>
      <w:pPr>
        <w:pStyle w:val="ListParagraph"/>
        <w:numPr>
          <w:ilvl w:val="0"/>
          <w:numId w:val="2"/>
        </w:numPr>
        <w:spacing w:after="40" w:before="40"/>
      </w:pPr>
      <w:r>
        <w:rPr>
          <w:rFonts w:ascii="Arial" w:cs="Arial" w:eastAsia="Arial" w:hAnsi="Arial"/>
          <w:sz w:val="20"/>
          <w:szCs w:val="20"/>
        </w:rPr>
        <w:t xml:space="preserve">Regulatory asymmetry: Anthropic is the only vendor of the three to have explicitly published EU AI Act compliance documentation and to have hired EU regulatory specialists at scale in Q1 2026. For compliance-sensitive workloads (customer data processing, credit scoring, fraud detection), using a compliance-first vendor reduces the expected cost of GDPR/AI Act enforcement actions by an estimated €3M over the 3-year horizon.</w:t>
      </w:r>
    </w:p>
    <w:p>
      <w:pPr>
        <w:pStyle w:val="ListParagraph"/>
        <w:numPr>
          <w:ilvl w:val="0"/>
          <w:numId w:val="2"/>
        </w:numPr>
        <w:spacing w:after="40" w:before="40"/>
      </w:pPr>
      <w:r>
        <w:rPr>
          <w:rFonts w:ascii="Arial" w:cs="Arial" w:eastAsia="Arial" w:hAnsi="Arial"/>
          <w:sz w:val="20"/>
          <w:szCs w:val="20"/>
        </w:rPr>
        <w:t xml:space="preserve">Switching cost architecture: Building on a vendor-agnostic API abstraction layer from the outset reduces the estimated switching cost from €11M (full re-integration) to €2–3M (reconfiguration only), preserving strategic flexibility as the market continues to evolve at pace.</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Hedging Action</w:t>
      </w:r>
    </w:p>
    <w:p>
      <w:pPr>
        <w:spacing w:after="80" w:before="80"/>
        <w:jc w:val="both"/>
      </w:pPr>
      <w:r>
        <w:rPr>
          <w:rFonts w:ascii="Arial" w:cs="Arial" w:eastAsia="Arial" w:hAnsi="Arial"/>
          <w:sz w:val="20"/>
          <w:szCs w:val="20"/>
        </w:rPr>
        <w:t xml:space="preserve">Negotiate a maximum 24-month initial contract term with both vendors (no 3-year lock-in). Include in both contracts: (1) a data portability clause requiring vendor to provide full data export within 30 days of contract termination; (2) a most-favoured-nation pricing clause triggered if the vendor offers lower pricing to any comparable enterprise customer; (3) a technology review clause allowing renegotiation if a competing vendor’s benchmark scores exceed the contracted vendor’s by more than 10% for two consecutive quarters.</w:t>
      </w:r>
    </w:p>
    <w:p>
      <w:pPr>
        <w:spacing w:after="60" w:before="60"/>
      </w:pPr>
      <w:r>
        <w:t xml:space="preserve"/>
      </w:r>
    </w:p>
    <w:p>
      <w:pPr>
        <w:pStyle w:val="Heading2"/>
        <w:spacing w:after="120" w:before="300"/>
      </w:pPr>
      <w:r>
        <w:rPr>
          <w:rFonts w:ascii="Arial" w:cs="Arial" w:eastAsia="Arial" w:hAnsi="Arial"/>
          <w:b/>
          <w:bCs/>
          <w:color w:val="2E75B6"/>
          <w:sz w:val="24"/>
          <w:szCs w:val="24"/>
        </w:rPr>
        <w:t xml:space="preserve">What This Recommendation Does Not Resolve</w:t>
      </w:r>
    </w:p>
    <w:p>
      <w:pPr>
        <w:spacing w:after="80" w:before="80"/>
        <w:jc w:val="both"/>
      </w:pPr>
      <w:r>
        <w:rPr>
          <w:rFonts w:ascii="Arial" w:cs="Arial" w:eastAsia="Arial" w:hAnsi="Arial"/>
          <w:sz w:val="20"/>
          <w:szCs w:val="20"/>
        </w:rPr>
        <w:t xml:space="preserve">This analysis does not evaluate specific workload-level vendor allocation, which requires internal process mapping beyond the scope of a CI report. It also does not account for existing contractual relationships with Microsoft Azure or Google Cloud that may create implicit vendor preferences. Internal capability to manage a multi-vendor AI strategy should be assessed before implementation — if the company lacks AI engineering expertise, Option A may be operationally superior despite its lower expected value.</w:t>
      </w:r>
    </w:p>
    <w:p>
      <w:pPr>
        <w:spacing w:after="60" w:before="60"/>
      </w:pPr>
      <w:r>
        <w:t xml:space="preserve"/>
      </w:r>
    </w:p>
    <w:p>
      <w:pPr>
        <w:spacing w:after="60" w:before="60"/>
      </w:pPr>
      <w:r>
        <w:t xml:space="preserve"/>
      </w:r>
    </w:p>
    <w:p>
      <w:pPr>
        <w:pBdr>
          <w:top w:val="single" w:color="2E75B6" w:sz="4" w:space="8"/>
        </w:pBdr>
        <w:spacing w:before="400"/>
        <w:jc w:val="center"/>
      </w:pPr>
      <w:r>
        <w:rPr>
          <w:rFonts w:ascii="Arial" w:cs="Arial" w:eastAsia="Arial" w:hAnsi="Arial"/>
          <w:i/>
          <w:iCs/>
          <w:color w:val="595959"/>
          <w:sz w:val="18"/>
          <w:szCs w:val="18"/>
        </w:rPr>
        <w:t xml:space="preserve">End of CI Analysis Report — Team 7 | Carlos Martín Oliveros | 25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026"/>
      </w:tabs>
    </w:pPr>
    <w:r>
      <w:rPr>
        <w:rFonts w:ascii="Arial" w:cs="Arial" w:eastAsia="Arial" w:hAnsi="Arial"/>
        <w:color w:val="595959"/>
        <w:sz w:val="16"/>
        <w:szCs w:val="16"/>
      </w:rPr>
      <w:t xml:space="preserve">Universidad Francisco de Vitoria — Corporate Intelligence 2025–2026</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026"/>
      </w:tabs>
    </w:pPr>
    <w:r>
      <w:rPr>
        <w:rFonts w:ascii="Arial" w:cs="Arial" w:eastAsia="Arial" w:hAnsi="Arial"/>
        <w:b/>
        <w:bCs/>
        <w:color w:val="1F3864"/>
        <w:sz w:val="18"/>
        <w:szCs w:val="18"/>
      </w:rPr>
      <w:t xml:space="preserve">CORPORATE INTELLIGENCE REPORT</w:t>
    </w:r>
    <w:r>
      <w:rPr>
        <w:rFonts w:ascii="Arial" w:cs="Arial" w:eastAsia="Arial" w:hAnsi="Arial"/>
        <w:color w:val="595959"/>
        <w:sz w:val="16"/>
        <w:szCs w:val="16"/>
      </w:rPr>
      <w:t xml:space="preserve">	Team 7 — Carlos Martín Oliveros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2026-05-07T07:58:14.092Z</dcterms:created>
  <dcterms:modified xsi:type="dcterms:W3CDTF">2026-05-07T07:58:14.093Z</dcterms:modified>
</cp:coreProperties>
</file>

<file path=docProps/custom.xml><?xml version="1.0" encoding="utf-8"?>
<Properties xmlns="http://schemas.openxmlformats.org/officeDocument/2006/custom-properties" xmlns:vt="http://schemas.openxmlformats.org/officeDocument/2006/docPropsVTypes"/>
</file>