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left"/>
      </w:pPr>
      <w:r>
        <w:rPr>
          <w:rFonts w:ascii="Aptos Display" w:hAnsi="Aptos Display"/>
          <w:b/>
          <w:color w:val="18324B"/>
          <w:sz w:val="60"/>
        </w:rPr>
        <w:t>DOCUMENTO 2: DISEÑO Y CONTENIDO (UI/UX Y REGLAS)</w:t>
      </w:r>
    </w:p>
    <w:p>
      <w:r>
        <w:rPr>
          <w:color w:val="2B6CB0"/>
          <w:sz w:val="28"/>
        </w:rPr>
        <w:t>Game design, flujo, interfaz responsive, escenarios y especificaciones de interacción</w:t>
      </w:r>
    </w:p>
    <w:p>
      <w:pPr>
        <w:spacing w:before="360"/>
      </w:pPr>
      <w:r>
        <w:rPr>
          <w:b/>
          <w:color w:val="1F2937"/>
          <w:sz w:val="24"/>
        </w:rPr>
        <w:t>Módulo Sala de Control / Control Room Communication Simulation</w:t>
      </w:r>
    </w:p>
    <w:p>
      <w:r>
        <w:rPr>
          <w:color w:val="5B6573"/>
          <w:sz w:val="20"/>
        </w:rPr>
        <w:t>ID de experiencia: EXP-COMM-001</w:t>
      </w:r>
    </w:p>
    <w:p/>
    <w:p/>
    <w:p/>
    <w:p>
      <w:pPr>
        <w:pStyle w:val="Heading1"/>
      </w:pPr>
      <w:r>
        <w:t>Resumen de experiencia</w:t>
      </w:r>
    </w:p>
    <w:p>
      <w:pPr>
        <w:spacing w:after="120"/>
      </w:pPr>
      <w:r>
        <w:rPr>
          <w:i w:val="0"/>
        </w:rPr>
        <w:t>Sala de Control es un minijuego 2D donde el usuario coordina incidentes con un interlocutor remoto. La pantalla siempre presenta una cantidad controlada de datos, un mensaje del NPC y una zona de respuesta. El jugador no escribe: comunica seleccionando preguntas, instrucciones o bloques de mensaje. Las consecuencias del incidente convierten la comunicación en una acción de juego, sin exigir 3D, físicas ni hardware especial.</w:t>
      </w:r>
    </w:p>
    <w:p>
      <w:pPr>
        <w:spacing w:after="120"/>
      </w:pPr>
      <w:r>
        <w:rPr>
          <w:i w:val="0"/>
        </w:rPr>
        <w:t>La experiencia debe sentirse como una simulación operacional clara y ágil. El reto no está en “encontrar el botón correcto”, sino en decidir qué información hace falta, qué vale la pena comunicar, en qué orden y cómo asegurarse de que la otra persona entendió.</w:t>
      </w:r>
    </w:p>
    <w:p>
      <w:pPr>
        <w:pStyle w:val="Heading1"/>
      </w:pPr>
      <w:r>
        <w:t>Índice de contenidos</w:t>
      </w:r>
    </w:p>
    <w:p>
      <w:pPr>
        <w:pStyle w:val="ListBullet"/>
        <w:spacing w:after="20"/>
      </w:pPr>
      <w:r>
        <w:t>1. Visión y objetivos de diseño</w:t>
      </w:r>
    </w:p>
    <w:p>
      <w:pPr>
        <w:pStyle w:val="ListBullet"/>
        <w:spacing w:after="20"/>
      </w:pPr>
      <w:r>
        <w:t>2. Pilares de experiencia</w:t>
      </w:r>
    </w:p>
    <w:p>
      <w:pPr>
        <w:pStyle w:val="ListBullet"/>
        <w:spacing w:after="20"/>
      </w:pPr>
      <w:r>
        <w:t>3. Fantasía, tono y loop principal</w:t>
      </w:r>
    </w:p>
    <w:p>
      <w:pPr>
        <w:pStyle w:val="ListBullet"/>
        <w:spacing w:after="20"/>
      </w:pPr>
      <w:r>
        <w:t>4. Flujo completo de usuario</w:t>
      </w:r>
    </w:p>
    <w:p>
      <w:pPr>
        <w:pStyle w:val="ListBullet"/>
        <w:spacing w:after="20"/>
      </w:pPr>
      <w:r>
        <w:t>5. Tutorial y onboarding</w:t>
      </w:r>
    </w:p>
    <w:p>
      <w:pPr>
        <w:pStyle w:val="ListBullet"/>
        <w:spacing w:after="20"/>
      </w:pPr>
      <w:r>
        <w:t>6. Arquitectura de pantallas</w:t>
      </w:r>
    </w:p>
    <w:p>
      <w:pPr>
        <w:pStyle w:val="ListBullet"/>
        <w:spacing w:after="20"/>
      </w:pPr>
      <w:r>
        <w:t>7. Layout responsive por dispositivo</w:t>
      </w:r>
    </w:p>
    <w:p>
      <w:pPr>
        <w:pStyle w:val="ListBullet"/>
        <w:spacing w:after="20"/>
      </w:pPr>
      <w:r>
        <w:t>8. Componentes interactivos</w:t>
      </w:r>
    </w:p>
    <w:p>
      <w:pPr>
        <w:pStyle w:val="ListBullet"/>
        <w:spacing w:after="20"/>
      </w:pPr>
      <w:r>
        <w:t>9. Sistema de acciones comunicativas</w:t>
      </w:r>
    </w:p>
    <w:p>
      <w:pPr>
        <w:pStyle w:val="ListBullet"/>
        <w:spacing w:after="20"/>
      </w:pPr>
      <w:r>
        <w:t>10. Blueprint y matriz de niveles</w:t>
      </w:r>
    </w:p>
    <w:p>
      <w:pPr>
        <w:pStyle w:val="ListBullet"/>
        <w:spacing w:after="20"/>
      </w:pPr>
      <w:r>
        <w:t>11. Biblioteca de escenarios base</w:t>
      </w:r>
    </w:p>
    <w:p>
      <w:pPr>
        <w:pStyle w:val="ListBullet"/>
        <w:spacing w:after="20"/>
      </w:pPr>
      <w:r>
        <w:t>12. Construcción y ordenamiento de mensajes</w:t>
      </w:r>
    </w:p>
    <w:p>
      <w:pPr>
        <w:pStyle w:val="ListBullet"/>
        <w:spacing w:after="20"/>
      </w:pPr>
      <w:r>
        <w:t>13. Comportamiento del interlocutor (NPC)</w:t>
      </w:r>
    </w:p>
    <w:p>
      <w:pPr>
        <w:pStyle w:val="ListBullet"/>
        <w:spacing w:after="20"/>
      </w:pPr>
      <w:r>
        <w:t>14. Timing, ritmo y presión</w:t>
      </w:r>
    </w:p>
    <w:p>
      <w:pPr>
        <w:pStyle w:val="ListBullet"/>
        <w:spacing w:after="20"/>
      </w:pPr>
      <w:r>
        <w:t>15. UX copy completo</w:t>
      </w:r>
    </w:p>
    <w:p>
      <w:pPr>
        <w:pStyle w:val="ListBullet"/>
        <w:spacing w:after="20"/>
      </w:pPr>
      <w:r>
        <w:t>16. Feedback visual, sonoro y háptico</w:t>
      </w:r>
    </w:p>
    <w:p>
      <w:pPr>
        <w:pStyle w:val="ListBullet"/>
        <w:spacing w:after="20"/>
      </w:pPr>
      <w:r>
        <w:t>17. Dirección visual y sistema de diseño</w:t>
      </w:r>
    </w:p>
    <w:p>
      <w:pPr>
        <w:pStyle w:val="ListBullet"/>
        <w:spacing w:after="20"/>
      </w:pPr>
      <w:r>
        <w:t>18. Accesibilidad y diseño inclusivo</w:t>
      </w:r>
    </w:p>
    <w:p>
      <w:pPr>
        <w:pStyle w:val="ListBullet"/>
        <w:spacing w:after="20"/>
      </w:pPr>
      <w:r>
        <w:t>19. Analítica de experiencia</w:t>
      </w:r>
    </w:p>
    <w:p>
      <w:pPr>
        <w:pStyle w:val="ListBullet"/>
        <w:spacing w:after="20"/>
      </w:pPr>
      <w:r>
        <w:t>20. Estados de error y recuperación</w:t>
      </w:r>
    </w:p>
    <w:p>
      <w:pPr>
        <w:pStyle w:val="ListBullet"/>
        <w:spacing w:after="20"/>
      </w:pPr>
      <w:r>
        <w:t>21. Casos límite de UI</w:t>
      </w:r>
    </w:p>
    <w:p>
      <w:pPr>
        <w:pStyle w:val="ListBullet"/>
        <w:spacing w:after="20"/>
      </w:pPr>
      <w:r>
        <w:t>22. QA visual y Definition of Done</w:t>
      </w:r>
    </w:p>
    <w:p>
      <w:pPr>
        <w:pStyle w:val="ListBullet"/>
        <w:spacing w:after="20"/>
      </w:pPr>
      <w:r>
        <w:t>23. Extensiones futuras</w:t>
      </w:r>
    </w:p>
    <w:p>
      <w:pPr>
        <w:pStyle w:val="Heading1"/>
      </w:pPr>
      <w:r>
        <w:t>1. Visión y objetivos de diseño</w:t>
      </w:r>
    </w:p>
    <w:p>
      <w:pPr>
        <w:spacing w:after="120"/>
      </w:pPr>
      <w:r>
        <w:rPr>
          <w:i w:val="0"/>
        </w:rPr>
        <w:t>La fantasía es “coordinar desde una sala de control”. El usuario no controla un avatar ni recorre un mapa: observa un incidente, recibe información parcial y se comunica con una persona situada en terreno. Cada mensaje cambia el estado del problema.</w:t>
      </w:r>
    </w:p>
    <w:p>
      <w:pPr>
        <w:pStyle w:val="ListBullet"/>
        <w:spacing w:after="40"/>
      </w:pPr>
      <w:r>
        <w:rPr>
          <w:b/>
        </w:rPr>
        <w:t xml:space="preserve">Objetivo de juego: </w:t>
      </w:r>
      <w:r>
        <w:t>resolver incidentes mediante comunicación adecuada, no mediante conocimiento técnico previo.</w:t>
      </w:r>
    </w:p>
    <w:p>
      <w:pPr>
        <w:pStyle w:val="ListBullet"/>
        <w:spacing w:after="40"/>
      </w:pPr>
      <w:r>
        <w:rPr>
          <w:b/>
        </w:rPr>
        <w:t xml:space="preserve">Objetivo evaluativo: </w:t>
      </w:r>
      <w:r>
        <w:t>observar claridad, relevancia, indagación, verificación, adaptación, reparación y comprensión.</w:t>
      </w:r>
    </w:p>
    <w:p>
      <w:pPr>
        <w:pStyle w:val="ListBullet"/>
        <w:spacing w:after="40"/>
      </w:pPr>
      <w:r>
        <w:rPr>
          <w:b/>
        </w:rPr>
        <w:t xml:space="preserve">Objetivo técnico: </w:t>
      </w:r>
      <w:r>
        <w:t>ejecución fluida en equipos modestos y dispositivos móviles, con una sola interacción de puntero.</w:t>
      </w:r>
    </w:p>
    <w:p>
      <w:pPr>
        <w:pStyle w:val="ListBullet"/>
        <w:spacing w:after="40"/>
      </w:pPr>
      <w:r>
        <w:rPr>
          <w:b/>
        </w:rPr>
        <w:t xml:space="preserve">Duración: </w:t>
      </w:r>
      <w:r>
        <w:t>sesión compacta de aproximadamente 8-12 minutos más tutorial.</w:t>
      </w:r>
    </w:p>
    <w:p>
      <w:pPr>
        <w:pStyle w:val="ListBullet"/>
        <w:spacing w:after="40"/>
      </w:pPr>
      <w:r>
        <w:rPr>
          <w:b/>
        </w:rPr>
        <w:t xml:space="preserve">Regla central: </w:t>
      </w:r>
      <w:r>
        <w:t>el usuario nunca debe necesitar teclado, clic secundario, hover, cámara, micrófono ni multitouch.</w:t>
      </w:r>
    </w:p>
    <w:p>
      <w:pPr>
        <w:pStyle w:val="Heading1"/>
      </w:pPr>
      <w:r>
        <w:t>2. Pilares de experiencia</w:t>
      </w:r>
    </w:p>
    <w:p>
      <w:pPr>
        <w:pStyle w:val="Heading2"/>
      </w:pPr>
      <w:r>
        <w:t>Comunicación con consecuencias</w:t>
      </w:r>
    </w:p>
    <w:p>
      <w:pPr>
        <w:spacing w:after="120"/>
      </w:pPr>
      <w:r>
        <w:rPr>
          <w:i w:val="0"/>
        </w:rPr>
        <w:t>Cada elección debe producir una respuesta o cambio visible. El juego evita cuestionarios estáticos.</w:t>
      </w:r>
    </w:p>
    <w:p>
      <w:pPr>
        <w:pStyle w:val="Heading2"/>
      </w:pPr>
      <w:r>
        <w:t>Tap-first</w:t>
      </w:r>
    </w:p>
    <w:p>
      <w:pPr>
        <w:spacing w:after="120"/>
      </w:pPr>
      <w:r>
        <w:rPr>
          <w:i w:val="0"/>
        </w:rPr>
        <w:t>Todo debe funcionar con tap/click. El drag es una mejora, nunca la única manera de completar una tarea.</w:t>
      </w:r>
    </w:p>
    <w:p>
      <w:pPr>
        <w:pStyle w:val="Heading2"/>
      </w:pPr>
      <w:r>
        <w:t>Información jerarquizada</w:t>
      </w:r>
    </w:p>
    <w:p>
      <w:pPr>
        <w:spacing w:after="120"/>
      </w:pPr>
      <w:r>
        <w:rPr>
          <w:i w:val="0"/>
        </w:rPr>
        <w:t>El usuario debe decidir qué es relevante, pero la interfaz nunca debe ser deliberadamente caótica o ilegible.</w:t>
      </w:r>
    </w:p>
    <w:p>
      <w:pPr>
        <w:pStyle w:val="Heading2"/>
      </w:pPr>
      <w:r>
        <w:t>Neutralidad evaluativa</w:t>
      </w:r>
    </w:p>
    <w:p>
      <w:pPr>
        <w:spacing w:after="120"/>
      </w:pPr>
      <w:r>
        <w:rPr>
          <w:i w:val="0"/>
        </w:rPr>
        <w:t>Durante la evaluación el feedback describe consecuencias, no enseña la clave del ítem.</w:t>
      </w:r>
    </w:p>
    <w:p>
      <w:pPr>
        <w:pStyle w:val="Heading2"/>
      </w:pPr>
      <w:r>
        <w:t>Dificultad cognitiva, no motora</w:t>
      </w:r>
    </w:p>
    <w:p>
      <w:pPr>
        <w:spacing w:after="120"/>
      </w:pPr>
      <w:r>
        <w:rPr>
          <w:i w:val="0"/>
        </w:rPr>
        <w:t>Targets grandes, controles simples y animaciones breves. La dificultad viene del contexto comunicativo.</w:t>
      </w:r>
    </w:p>
    <w:p>
      <w:pPr>
        <w:pStyle w:val="Heading2"/>
      </w:pPr>
      <w:r>
        <w:t>Consistencia entre dispositivos</w:t>
      </w:r>
    </w:p>
    <w:p>
      <w:pPr>
        <w:spacing w:after="120"/>
      </w:pPr>
      <w:r>
        <w:rPr>
          <w:i w:val="0"/>
        </w:rPr>
        <w:t>La estructura semántica y el orden de lectura se mantienen en desktop, tablet y móvil.</w:t>
      </w:r>
    </w:p>
    <w:p>
      <w:pPr>
        <w:pStyle w:val="Heading1"/>
      </w:pPr>
      <w:r>
        <w:t>3. Fantasía, tono y loop principal</w:t>
      </w:r>
    </w:p>
    <w:p>
      <w:pPr>
        <w:spacing w:after="120"/>
      </w:pPr>
      <w:r>
        <w:rPr>
          <w:i w:val="0"/>
        </w:rPr>
        <w:t>El usuario ocupa el rol de coordinador de una central remota. En terreno existe un operador, supervisor, técnico, colega o cliente. Ambos poseen información diferente. La narrativa debe ser suficientemente realista para generar compromiso, pero genérica para no favorecer a personas con experiencia en industrias específicas.</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172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Momento</w:t>
            </w:r>
          </w:p>
        </w:tc>
        <w:tc>
          <w:tcPr>
            <w:tcW w:type="dxa" w:w="37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Pregunta del jugador</w:t>
            </w:r>
          </w:p>
        </w:tc>
        <w:tc>
          <w:tcPr>
            <w:tcW w:type="dxa" w:w="460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Acción UI</w:t>
            </w:r>
          </w:p>
        </w:tc>
      </w:tr>
      <w:tr>
        <w:trPr>
          <w:cantSplit/>
        </w:trPr>
        <w:tc>
          <w:tcPr>
            <w:tcW w:type="dxa" w:w="172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Leer</w:t>
            </w:r>
          </w:p>
        </w:tc>
        <w:tc>
          <w:tcPr>
            <w:tcW w:type="dxa" w:w="37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¿Qué está pasando?</w:t>
            </w:r>
          </w:p>
        </w:tc>
        <w:tc>
          <w:tcPr>
            <w:tcW w:type="dxa" w:w="460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Revisa indicadores y mensaje.</w:t>
            </w:r>
          </w:p>
        </w:tc>
      </w:tr>
      <w:tr>
        <w:trPr>
          <w:cantSplit/>
        </w:trPr>
        <w:tc>
          <w:tcPr>
            <w:tcW w:type="dxa" w:w="172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Filtrar</w:t>
            </w:r>
          </w:p>
        </w:tc>
        <w:tc>
          <w:tcPr>
            <w:tcW w:type="dxa" w:w="37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¿Qué datos importan?</w:t>
            </w:r>
          </w:p>
        </w:tc>
        <w:tc>
          <w:tcPr>
            <w:tcW w:type="dxa" w:w="460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Identifica hechos críticos entre distractores.</w:t>
            </w:r>
          </w:p>
        </w:tc>
      </w:tr>
      <w:tr>
        <w:trPr>
          <w:cantSplit/>
        </w:trPr>
        <w:tc>
          <w:tcPr>
            <w:tcW w:type="dxa" w:w="172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Decidir</w:t>
            </w:r>
          </w:p>
        </w:tc>
        <w:tc>
          <w:tcPr>
            <w:tcW w:type="dxa" w:w="37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¿Sé lo suficiente?</w:t>
            </w:r>
          </w:p>
        </w:tc>
        <w:tc>
          <w:tcPr>
            <w:tcW w:type="dxa" w:w="460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Elige preguntar, informar, instruir o escalar.</w:t>
            </w:r>
          </w:p>
        </w:tc>
      </w:tr>
      <w:tr>
        <w:trPr>
          <w:cantSplit/>
        </w:trPr>
        <w:tc>
          <w:tcPr>
            <w:tcW w:type="dxa" w:w="172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Comunicar</w:t>
            </w:r>
          </w:p>
        </w:tc>
        <w:tc>
          <w:tcPr>
            <w:tcW w:type="dxa" w:w="37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¿Cómo lo digo?</w:t>
            </w:r>
          </w:p>
        </w:tc>
        <w:tc>
          <w:tcPr>
            <w:tcW w:type="dxa" w:w="460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Selecciona tarjeta o arma mensaje por bloques.</w:t>
            </w:r>
          </w:p>
        </w:tc>
      </w:tr>
      <w:tr>
        <w:trPr>
          <w:cantSplit/>
        </w:trPr>
        <w:tc>
          <w:tcPr>
            <w:tcW w:type="dxa" w:w="172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Escuchar</w:t>
            </w:r>
          </w:p>
        </w:tc>
        <w:tc>
          <w:tcPr>
            <w:tcW w:type="dxa" w:w="37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¿Qué entendió / qué respondió?</w:t>
            </w:r>
          </w:p>
        </w:tc>
        <w:tc>
          <w:tcPr>
            <w:tcW w:type="dxa" w:w="460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Recibe mensaje del NPC.</w:t>
            </w:r>
          </w:p>
        </w:tc>
      </w:tr>
      <w:tr>
        <w:trPr>
          <w:cantSplit/>
        </w:trPr>
        <w:tc>
          <w:tcPr>
            <w:tcW w:type="dxa" w:w="172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Cerrar</w:t>
            </w:r>
          </w:p>
        </w:tc>
        <w:tc>
          <w:tcPr>
            <w:tcW w:type="dxa" w:w="37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¿Debo corregir o confirmar?</w:t>
            </w:r>
          </w:p>
        </w:tc>
        <w:tc>
          <w:tcPr>
            <w:tcW w:type="dxa" w:w="460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Repara, verifica o finaliza.</w:t>
            </w:r>
          </w:p>
        </w:tc>
      </w:tr>
    </w:tbl>
    <w:p/>
    <w:p>
      <w:pPr>
        <w:pStyle w:val="Heading1"/>
      </w:pPr>
      <w:r>
        <w:t>4. Flujo completo de usuario</w:t>
      </w:r>
    </w:p>
    <w:p>
      <w:pPr>
        <w:pStyle w:val="ListNumber"/>
        <w:spacing w:after="40"/>
      </w:pPr>
      <w:r>
        <w:t>Pantalla de bienvenida.</w:t>
      </w:r>
    </w:p>
    <w:p>
      <w:pPr>
        <w:pStyle w:val="ListNumber"/>
        <w:spacing w:after="40"/>
      </w:pPr>
      <w:r>
        <w:t>Tutorial de controles: seleccionar respuesta, construir mensaje y confirmar.</w:t>
      </w:r>
    </w:p>
    <w:p>
      <w:pPr>
        <w:pStyle w:val="ListNumber"/>
        <w:spacing w:after="40"/>
      </w:pPr>
      <w:r>
        <w:t>Transición a evaluación real.</w:t>
      </w:r>
    </w:p>
    <w:p>
      <w:pPr>
        <w:pStyle w:val="ListNumber"/>
        <w:spacing w:after="40"/>
      </w:pPr>
      <w:r>
        <w:t>Bloque 1: claridad.</w:t>
      </w:r>
    </w:p>
    <w:p>
      <w:pPr>
        <w:pStyle w:val="ListNumber"/>
        <w:spacing w:after="40"/>
      </w:pPr>
      <w:r>
        <w:t>Bloque 2: relevancia.</w:t>
      </w:r>
    </w:p>
    <w:p>
      <w:pPr>
        <w:pStyle w:val="ListNumber"/>
        <w:spacing w:after="40"/>
      </w:pPr>
      <w:r>
        <w:t>Bloque 3: indagación.</w:t>
      </w:r>
    </w:p>
    <w:p>
      <w:pPr>
        <w:pStyle w:val="ListNumber"/>
        <w:spacing w:after="40"/>
      </w:pPr>
      <w:r>
        <w:t>Bloque 4: reparación.</w:t>
      </w:r>
    </w:p>
    <w:p>
      <w:pPr>
        <w:pStyle w:val="ListNumber"/>
        <w:spacing w:after="40"/>
      </w:pPr>
      <w:r>
        <w:t>Bloque 5: adaptación al receptor.</w:t>
      </w:r>
    </w:p>
    <w:p>
      <w:pPr>
        <w:pStyle w:val="ListNumber"/>
        <w:spacing w:after="40"/>
      </w:pPr>
      <w:r>
        <w:t>Bloque 6: integración bajo presión.</w:t>
      </w:r>
    </w:p>
    <w:p>
      <w:pPr>
        <w:pStyle w:val="ListNumber"/>
        <w:spacing w:after="40"/>
      </w:pPr>
      <w:r>
        <w:t>Pantalla final neutra y sincronización de resultados.</w:t>
      </w:r>
    </w:p>
    <w:tbl>
      <w:tblPr>
        <w:tblStyle w:val="TableGrid"/>
        <w:tblW w:type="auto" w:w="0"/>
        <w:tblLook w:firstColumn="1" w:firstRow="1" w:lastColumn="0" w:lastRow="0" w:noHBand="0" w:noVBand="1" w:val="04A0"/>
      </w:tblPr>
      <w:tblGrid>
        <w:gridCol w:w="10166"/>
      </w:tblGrid>
      <w:tr>
        <w:tc>
          <w:tcPr>
            <w:tcW w:type="dxa" w:w="10166"/>
            <w:shd w:fill="EEF4F8"/>
            <w:tcBorders>
              <w:top w:val="single" w:sz="8" w:color="2B6CB0"/>
              <w:left w:val="single" w:sz="8" w:color="2B6CB0"/>
              <w:bottom w:val="single" w:sz="8" w:color="2B6CB0"/>
              <w:right w:val="single" w:sz="8" w:color="2B6CB0"/>
              <w:insideH w:val="single" w:sz="8" w:color="2B6CB0"/>
              <w:insideV w:val="single" w:sz="8" w:color="2B6CB0"/>
            </w:tcBorders>
            <w:tcMar>
              <w:top w:w="150" w:type="dxa"/>
              <w:start w:w="180" w:type="dxa"/>
              <w:bottom w:w="150" w:type="dxa"/>
              <w:end w:w="180" w:type="dxa"/>
            </w:tcMar>
          </w:tcPr>
          <w:p>
            <w:r>
              <w:rPr>
                <w:b/>
                <w:color w:val="18324B"/>
                <w:sz w:val="20"/>
              </w:rPr>
              <w:t>Duración percibida</w:t>
              <w:br/>
            </w:r>
            <w:r>
              <w:rPr>
                <w:sz w:val="19"/>
              </w:rPr>
              <w:t>Evitar pantallas de carga o debrief largos entre escenarios. Una transición de 0,5-1,0 s y un resumen de consecuencia de 1,5-2,5 s son suficientes salvo que el usuario deba leer nueva información.</w:t>
            </w:r>
          </w:p>
        </w:tc>
      </w:tr>
    </w:tbl>
    <w:p/>
    <w:p>
      <w:pPr>
        <w:pStyle w:val="Heading1"/>
      </w:pPr>
      <w:r>
        <w:t>5. Tutorial y onboarding</w:t>
      </w:r>
    </w:p>
    <w:p>
      <w:pPr>
        <w:pStyle w:val="Heading2"/>
      </w:pPr>
      <w:r>
        <w:t>5.1. Pantalla de bienvenida</w:t>
      </w:r>
    </w:p>
    <w:tbl>
      <w:tblPr>
        <w:tblStyle w:val="TableGrid"/>
        <w:tblW w:type="auto" w:w="0"/>
        <w:jc w:val="center"/>
        <w:tblLayout w:type="autofit"/>
        <w:tblLook w:firstColumn="1" w:firstRow="1" w:lastColumn="0" w:lastRow="0" w:noHBand="0" w:noVBand="1" w:val="04A0"/>
      </w:tblPr>
      <w:tblGrid>
        <w:gridCol w:w="5083"/>
        <w:gridCol w:w="5083"/>
      </w:tblGrid>
      <w:tr>
        <w:trPr>
          <w:cantSplit/>
          <w:tblHeader w:val="true"/>
        </w:trPr>
        <w:tc>
          <w:tcPr>
            <w:tcW w:type="dxa" w:w="230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Elemento</w:t>
            </w:r>
          </w:p>
        </w:tc>
        <w:tc>
          <w:tcPr>
            <w:tcW w:type="dxa" w:w="777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Copy recomendado</w:t>
            </w:r>
          </w:p>
        </w:tc>
      </w:tr>
      <w:tr>
        <w:trPr>
          <w:cantSplit/>
        </w:trPr>
        <w:tc>
          <w:tcPr>
            <w:tcW w:type="dxa" w:w="230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Título</w:t>
            </w:r>
          </w:p>
        </w:tc>
        <w:tc>
          <w:tcPr>
            <w:tcW w:type="dxa" w:w="777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Sala de Control</w:t>
            </w:r>
          </w:p>
        </w:tc>
      </w:tr>
      <w:tr>
        <w:trPr>
          <w:cantSplit/>
        </w:trPr>
        <w:tc>
          <w:tcPr>
            <w:tcW w:type="dxa" w:w="230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Bajada</w:t>
            </w:r>
          </w:p>
        </w:tc>
        <w:tc>
          <w:tcPr>
            <w:tcW w:type="dxa" w:w="777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Coordina incidentes comunicándote con personas en terreno.</w:t>
            </w:r>
          </w:p>
        </w:tc>
      </w:tr>
      <w:tr>
        <w:trPr>
          <w:cantSplit/>
        </w:trPr>
        <w:tc>
          <w:tcPr>
            <w:tcW w:type="dxa" w:w="230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Texto</w:t>
            </w:r>
          </w:p>
        </w:tc>
        <w:tc>
          <w:tcPr>
            <w:tcW w:type="dxa" w:w="777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Revisa la información disponible, decide qué necesitas saber y envía instrucciones claras. En algunos casos tendrás que preguntar o corregir un malentendido antes de continuar.</w:t>
            </w:r>
          </w:p>
        </w:tc>
      </w:tr>
      <w:tr>
        <w:trPr>
          <w:cantSplit/>
        </w:trPr>
        <w:tc>
          <w:tcPr>
            <w:tcW w:type="dxa" w:w="230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CTA</w:t>
            </w:r>
          </w:p>
        </w:tc>
        <w:tc>
          <w:tcPr>
            <w:tcW w:type="dxa" w:w="777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Iniciar práctica</w:t>
            </w:r>
          </w:p>
        </w:tc>
      </w:tr>
    </w:tbl>
    <w:p/>
    <w:p>
      <w:pPr>
        <w:pStyle w:val="Heading2"/>
      </w:pPr>
      <w:r>
        <w:t>5.2. Tutorial guiado</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201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6"/>
              </w:rPr>
              <w:t>Nodo</w:t>
            </w:r>
          </w:p>
        </w:tc>
        <w:tc>
          <w:tcPr>
            <w:tcW w:type="dxa" w:w="532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6"/>
              </w:rPr>
              <w:t>Overlay</w:t>
            </w:r>
          </w:p>
        </w:tc>
        <w:tc>
          <w:tcPr>
            <w:tcW w:type="dxa" w:w="273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6"/>
              </w:rPr>
              <w:t>Acción esperada</w:t>
            </w:r>
          </w:p>
        </w:tc>
      </w:tr>
      <w:tr>
        <w:trPr>
          <w:cantSplit/>
        </w:trPr>
        <w:tc>
          <w:tcPr>
            <w:tcW w:type="dxa" w:w="201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T1 Selección</w:t>
            </w:r>
          </w:p>
        </w:tc>
        <w:tc>
          <w:tcPr>
            <w:tcW w:type="dxa" w:w="532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“Toca una respuesta para seleccionarla.”</w:t>
            </w:r>
          </w:p>
        </w:tc>
        <w:tc>
          <w:tcPr>
            <w:tcW w:type="dxa" w:w="273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Elegir una tarjeta.</w:t>
            </w:r>
          </w:p>
        </w:tc>
      </w:tr>
      <w:tr>
        <w:trPr>
          <w:cantSplit/>
        </w:trPr>
        <w:tc>
          <w:tcPr>
            <w:tcW w:type="dxa" w:w="201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T2 Envío</w:t>
            </w:r>
          </w:p>
        </w:tc>
        <w:tc>
          <w:tcPr>
            <w:tcW w:type="dxa" w:w="532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“Confirma cuando estés conforme. Después de enviar no podrás editar.”</w:t>
            </w:r>
          </w:p>
        </w:tc>
        <w:tc>
          <w:tcPr>
            <w:tcW w:type="dxa" w:w="273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Tap en Enviar.</w:t>
            </w:r>
          </w:p>
        </w:tc>
      </w:tr>
      <w:tr>
        <w:trPr>
          <w:cantSplit/>
        </w:trPr>
        <w:tc>
          <w:tcPr>
            <w:tcW w:type="dxa" w:w="201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T3 Pregunta</w:t>
            </w:r>
          </w:p>
        </w:tc>
        <w:tc>
          <w:tcPr>
            <w:tcW w:type="dxa" w:w="532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“Si falta información importante, puedes preguntar antes de dar una instrucción.”</w:t>
            </w:r>
          </w:p>
        </w:tc>
        <w:tc>
          <w:tcPr>
            <w:tcW w:type="dxa" w:w="273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Elegir pregunta crítica.</w:t>
            </w:r>
          </w:p>
        </w:tc>
      </w:tr>
      <w:tr>
        <w:trPr>
          <w:cantSplit/>
        </w:trPr>
        <w:tc>
          <w:tcPr>
            <w:tcW w:type="dxa" w:w="201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T4 Bloques</w:t>
            </w:r>
          </w:p>
        </w:tc>
        <w:tc>
          <w:tcPr>
            <w:tcW w:type="dxa" w:w="532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“Toca los bloques para construir el mensaje. Puedes cambiar el orden antes de enviarlo.”</w:t>
            </w:r>
          </w:p>
        </w:tc>
        <w:tc>
          <w:tcPr>
            <w:tcW w:type="dxa" w:w="273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Agregar y reordenar.</w:t>
            </w:r>
          </w:p>
        </w:tc>
      </w:tr>
      <w:tr>
        <w:trPr>
          <w:cantSplit/>
        </w:trPr>
        <w:tc>
          <w:tcPr>
            <w:tcW w:type="dxa" w:w="201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T5 Verificación</w:t>
            </w:r>
          </w:p>
        </w:tc>
        <w:tc>
          <w:tcPr>
            <w:tcW w:type="dxa" w:w="532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“A veces necesitarás confirmar que la instrucción fue entendida o ejecutada.”</w:t>
            </w:r>
          </w:p>
        </w:tc>
        <w:tc>
          <w:tcPr>
            <w:tcW w:type="dxa" w:w="273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Enviar verificación.</w:t>
            </w:r>
          </w:p>
        </w:tc>
      </w:tr>
    </w:tbl>
    <w:p/>
    <w:p>
      <w:pPr>
        <w:pStyle w:val="Heading2"/>
      </w:pPr>
      <w:r>
        <w:t>5.3. Salida del tutorial</w:t>
      </w:r>
    </w:p>
    <w:p>
      <w:pPr>
        <w:spacing w:after="120"/>
      </w:pPr>
      <w:r>
        <w:rPr>
          <w:i w:val="0"/>
        </w:rPr>
        <w:t>Modal: “Práctica completada. A partir de ahora tus decisiones formarán parte de la evaluación. Lee con atención la información disponible y responde como lo harías en una situación real.” CTA: “Comenzar evaluación”.</w:t>
      </w:r>
    </w:p>
    <w:p>
      <w:pPr>
        <w:pStyle w:val="Heading1"/>
      </w:pPr>
      <w:r>
        <w:t>6. Arquitectura de pantallas</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180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Zona</w:t>
            </w:r>
          </w:p>
        </w:tc>
        <w:tc>
          <w:tcPr>
            <w:tcW w:type="dxa" w:w="48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Contenido</w:t>
            </w:r>
          </w:p>
        </w:tc>
        <w:tc>
          <w:tcPr>
            <w:tcW w:type="dxa" w:w="345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Prioridad</w:t>
            </w:r>
          </w:p>
        </w:tc>
      </w:tr>
      <w:tr>
        <w:trPr>
          <w:cantSplit/>
        </w:trPr>
        <w:tc>
          <w:tcPr>
            <w:tcW w:type="dxa" w:w="180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Header</w:t>
            </w:r>
          </w:p>
        </w:tc>
        <w:tc>
          <w:tcPr>
            <w:tcW w:type="dxa" w:w="48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Nivel/bloque, progreso y temporizador si aplica.</w:t>
            </w:r>
          </w:p>
        </w:tc>
        <w:tc>
          <w:tcPr>
            <w:tcW w:type="dxa" w:w="345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Secundaria.</w:t>
            </w:r>
          </w:p>
        </w:tc>
      </w:tr>
      <w:tr>
        <w:trPr>
          <w:cantSplit/>
        </w:trPr>
        <w:tc>
          <w:tcPr>
            <w:tcW w:type="dxa" w:w="180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Contexto</w:t>
            </w:r>
          </w:p>
        </w:tc>
        <w:tc>
          <w:tcPr>
            <w:tcW w:type="dxa" w:w="48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Nombre breve del incidente y objetivo operativo.</w:t>
            </w:r>
          </w:p>
        </w:tc>
        <w:tc>
          <w:tcPr>
            <w:tcW w:type="dxa" w:w="345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Alta al inicio.</w:t>
            </w:r>
          </w:p>
        </w:tc>
      </w:tr>
      <w:tr>
        <w:trPr>
          <w:cantSplit/>
        </w:trPr>
        <w:tc>
          <w:tcPr>
            <w:tcW w:type="dxa" w:w="180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Panel de datos</w:t>
            </w:r>
          </w:p>
        </w:tc>
        <w:tc>
          <w:tcPr>
            <w:tcW w:type="dxa" w:w="48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Indicadores, alertas, reglas y hechos disponibles.</w:t>
            </w:r>
          </w:p>
        </w:tc>
        <w:tc>
          <w:tcPr>
            <w:tcW w:type="dxa" w:w="345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Alta.</w:t>
            </w:r>
          </w:p>
        </w:tc>
      </w:tr>
      <w:tr>
        <w:trPr>
          <w:cantSplit/>
        </w:trPr>
        <w:tc>
          <w:tcPr>
            <w:tcW w:type="dxa" w:w="180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Interlocutor</w:t>
            </w:r>
          </w:p>
        </w:tc>
        <w:tc>
          <w:tcPr>
            <w:tcW w:type="dxa" w:w="48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Avatar simple, rol y burbuja de mensaje.</w:t>
            </w:r>
          </w:p>
        </w:tc>
        <w:tc>
          <w:tcPr>
            <w:tcW w:type="dxa" w:w="345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Muy alta.</w:t>
            </w:r>
          </w:p>
        </w:tc>
      </w:tr>
      <w:tr>
        <w:trPr>
          <w:cantSplit/>
        </w:trPr>
        <w:tc>
          <w:tcPr>
            <w:tcW w:type="dxa" w:w="180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Respuesta</w:t>
            </w:r>
          </w:p>
        </w:tc>
        <w:tc>
          <w:tcPr>
            <w:tcW w:type="dxa" w:w="48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Tarjetas o compositor de bloques.</w:t>
            </w:r>
          </w:p>
        </w:tc>
        <w:tc>
          <w:tcPr>
            <w:tcW w:type="dxa" w:w="345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Muy alta.</w:t>
            </w:r>
          </w:p>
        </w:tc>
      </w:tr>
      <w:tr>
        <w:trPr>
          <w:cantSplit/>
        </w:trPr>
        <w:tc>
          <w:tcPr>
            <w:tcW w:type="dxa" w:w="180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Acción</w:t>
            </w:r>
          </w:p>
        </w:tc>
        <w:tc>
          <w:tcPr>
            <w:tcW w:type="dxa" w:w="48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Enviar / confirmar / deshacer.</w:t>
            </w:r>
          </w:p>
        </w:tc>
        <w:tc>
          <w:tcPr>
            <w:tcW w:type="dxa" w:w="345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Alta.</w:t>
            </w:r>
          </w:p>
        </w:tc>
      </w:tr>
      <w:tr>
        <w:trPr>
          <w:cantSplit/>
        </w:trPr>
        <w:tc>
          <w:tcPr>
            <w:tcW w:type="dxa" w:w="180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Consequence strip</w:t>
            </w:r>
          </w:p>
        </w:tc>
        <w:tc>
          <w:tcPr>
            <w:tcW w:type="dxa" w:w="48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Cambio de estado o resultado inmediato.</w:t>
            </w:r>
          </w:p>
        </w:tc>
        <w:tc>
          <w:tcPr>
            <w:tcW w:type="dxa" w:w="345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Temporal.</w:t>
            </w:r>
          </w:p>
        </w:tc>
      </w:tr>
    </w:tbl>
    <w:p/>
    <w:p>
      <w:pPr>
        <w:pStyle w:val="Heading2"/>
      </w:pPr>
      <w:r>
        <w:t>6.1. Layout conceptual</w:t>
      </w:r>
    </w:p>
    <w:tbl>
      <w:tblPr>
        <w:tblStyle w:val="TableGrid"/>
        <w:tblW w:type="auto" w:w="0"/>
        <w:tblLook w:firstColumn="1" w:firstRow="1" w:lastColumn="0" w:lastRow="0" w:noHBand="0" w:noVBand="1" w:val="04A0"/>
      </w:tblPr>
      <w:tblGrid>
        <w:gridCol w:w="10166"/>
      </w:tblGrid>
      <w:tr>
        <w:trPr>
          <w:cantSplit/>
        </w:trPr>
        <w:tc>
          <w:tcPr>
            <w:tcW w:type="dxa" w:w="10166"/>
            <w:shd w:fill="F3F4F6"/>
            <w:tcBorders>
              <w:top w:val="single" w:sz="4" w:color="CBD5E1"/>
              <w:left w:val="single" w:sz="4" w:color="CBD5E1"/>
              <w:bottom w:val="single" w:sz="4" w:color="CBD5E1"/>
              <w:right w:val="single" w:sz="4" w:color="CBD5E1"/>
              <w:insideH w:val="single" w:sz="4" w:color="CBD5E1"/>
              <w:insideV w:val="single" w:sz="4" w:color="CBD5E1"/>
            </w:tcBorders>
            <w:tcMar>
              <w:top w:w="120" w:type="dxa"/>
              <w:start w:w="140" w:type="dxa"/>
              <w:bottom w:w="120" w:type="dxa"/>
              <w:end w:w="140" w:type="dxa"/>
            </w:tcMar>
          </w:tcPr>
          <w:p>
            <w:pPr>
              <w:spacing w:after="0"/>
            </w:pPr>
            <w:r>
              <w:rPr>
                <w:rFonts w:ascii="Consolas" w:hAnsi="Consolas"/>
                <w:sz w:val="15"/>
              </w:rPr>
              <w:t>DESKTOP / TABLET LANDSCAPE</w:t>
              <w:br/>
            </w:r>
            <w:r>
              <w:rPr>
                <w:rFonts w:ascii="Consolas" w:hAnsi="Consolas"/>
                <w:sz w:val="15"/>
              </w:rPr>
              <w:t>┌──────────────────────────────────────────────────────┐</w:t>
              <w:br/>
            </w:r>
            <w:r>
              <w:rPr>
                <w:rFonts w:ascii="Consolas" w:hAnsi="Consolas"/>
                <w:sz w:val="15"/>
              </w:rPr>
              <w:t>│  BLOQUE 3 · INCIDENTE 02                  00:58      │</w:t>
              <w:br/>
            </w:r>
            <w:r>
              <w:rPr>
                <w:rFonts w:ascii="Consolas" w:hAnsi="Consolas"/>
                <w:sz w:val="15"/>
              </w:rPr>
              <w:t>├──────────────────────┬───────────────────────────────┤</w:t>
              <w:br/>
            </w:r>
            <w:r>
              <w:rPr>
                <w:rFonts w:ascii="Consolas" w:hAnsi="Consolas"/>
                <w:sz w:val="15"/>
              </w:rPr>
              <w:t>│ DATOS DEL SISTEMA    │ INTERLOCUTOR                  │</w:t>
              <w:br/>
            </w:r>
            <w:r>
              <w:rPr>
                <w:rFonts w:ascii="Consolas" w:hAnsi="Consolas"/>
                <w:sz w:val="15"/>
              </w:rPr>
              <w:t>│ Presión: 8.4 bar     │ 👷 Operador                   │</w:t>
              <w:br/>
            </w:r>
            <w:r>
              <w:rPr>
                <w:rFonts w:ascii="Consolas" w:hAnsi="Consolas"/>
                <w:sz w:val="15"/>
              </w:rPr>
              <w:t>│ Temp: 72 °C          │ “Estoy frente al panel.      │</w:t>
              <w:br/>
            </w:r>
            <w:r>
              <w:rPr>
                <w:rFonts w:ascii="Consolas" w:hAnsi="Consolas"/>
                <w:sz w:val="15"/>
              </w:rPr>
              <w:t>│ V3: ABIERTA          │  ¿Qué hago?”                  │</w:t>
              <w:br/>
            </w:r>
            <w:r>
              <w:rPr>
                <w:rFonts w:ascii="Consolas" w:hAnsi="Consolas"/>
                <w:sz w:val="15"/>
              </w:rPr>
              <w:t>│ Regla: &gt;8 → cerrar V3│                               │</w:t>
              <w:br/>
            </w:r>
            <w:r>
              <w:rPr>
                <w:rFonts w:ascii="Consolas" w:hAnsi="Consolas"/>
                <w:sz w:val="15"/>
              </w:rPr>
              <w:t>├──────────────────────┴───────────────────────────────┤</w:t>
              <w:br/>
            </w:r>
            <w:r>
              <w:rPr>
                <w:rFonts w:ascii="Consolas" w:hAnsi="Consolas"/>
                <w:sz w:val="15"/>
              </w:rPr>
              <w:t>│ RESPUESTA                                             │</w:t>
              <w:br/>
            </w:r>
            <w:r>
              <w:rPr>
                <w:rFonts w:ascii="Consolas" w:hAnsi="Consolas"/>
                <w:sz w:val="15"/>
              </w:rPr>
              <w:t>│ [ Cerrar V3 ] [ Reiniciar ] [ Preguntar presión ]   │</w:t>
              <w:br/>
            </w:r>
            <w:r>
              <w:rPr>
                <w:rFonts w:ascii="Consolas" w:hAnsi="Consolas"/>
                <w:sz w:val="15"/>
              </w:rPr>
              <w:t>│ [ Cerrar V3 + confirmar ]                            │</w:t>
              <w:br/>
            </w:r>
            <w:r>
              <w:rPr>
                <w:rFonts w:ascii="Consolas" w:hAnsi="Consolas"/>
                <w:sz w:val="15"/>
              </w:rPr>
              <w:t>│                                      [ ENVIAR ]      │</w:t>
              <w:br/>
            </w:r>
            <w:r>
              <w:rPr>
                <w:rFonts w:ascii="Consolas" w:hAnsi="Consolas"/>
                <w:sz w:val="15"/>
              </w:rPr>
              <w:t>└──────────────────────────────────────────────────────┘</w:t>
            </w:r>
          </w:p>
        </w:tc>
      </w:tr>
    </w:tbl>
    <w:p/>
    <w:p>
      <w:pPr>
        <w:pStyle w:val="Heading1"/>
      </w:pPr>
      <w:r>
        <w:t>7. Layout responsive por dispositivo</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201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Viewport</w:t>
            </w:r>
          </w:p>
        </w:tc>
        <w:tc>
          <w:tcPr>
            <w:tcW w:type="dxa" w:w="489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Composición</w:t>
            </w:r>
          </w:p>
        </w:tc>
        <w:tc>
          <w:tcPr>
            <w:tcW w:type="dxa" w:w="316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Reglas</w:t>
            </w:r>
          </w:p>
        </w:tc>
      </w:tr>
      <w:tr>
        <w:trPr>
          <w:cantSplit/>
        </w:trPr>
        <w:tc>
          <w:tcPr>
            <w:tcW w:type="dxa" w:w="201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≥1024 px</w:t>
            </w:r>
          </w:p>
        </w:tc>
        <w:tc>
          <w:tcPr>
            <w:tcW w:type="dxa" w:w="489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2 columnas: datos 40%, NPC 60%; respuesta a ancho completo.</w:t>
            </w:r>
          </w:p>
        </w:tc>
        <w:tc>
          <w:tcPr>
            <w:tcW w:type="dxa" w:w="316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Máxima simultaneidad.</w:t>
            </w:r>
          </w:p>
        </w:tc>
      </w:tr>
      <w:tr>
        <w:trPr>
          <w:cantSplit/>
        </w:trPr>
        <w:tc>
          <w:tcPr>
            <w:tcW w:type="dxa" w:w="201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600-1023 px</w:t>
            </w:r>
          </w:p>
        </w:tc>
        <w:tc>
          <w:tcPr>
            <w:tcW w:type="dxa" w:w="489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2 columnas compactas o stack según orientación.</w:t>
            </w:r>
          </w:p>
        </w:tc>
        <w:tc>
          <w:tcPr>
            <w:tcW w:type="dxa" w:w="316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Mantener mensaje NPC visible junto a CTA.</w:t>
            </w:r>
          </w:p>
        </w:tc>
      </w:tr>
      <w:tr>
        <w:trPr>
          <w:cantSplit/>
        </w:trPr>
        <w:tc>
          <w:tcPr>
            <w:tcW w:type="dxa" w:w="201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320-599 px</w:t>
            </w:r>
          </w:p>
        </w:tc>
        <w:tc>
          <w:tcPr>
            <w:tcW w:type="dxa" w:w="489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Stack vertical: contexto → datos → NPC → respuesta.</w:t>
            </w:r>
          </w:p>
        </w:tc>
        <w:tc>
          <w:tcPr>
            <w:tcW w:type="dxa" w:w="316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Sin scroll horizontal; CTA sticky local solo si no tapa contenido.</w:t>
            </w:r>
          </w:p>
        </w:tc>
      </w:tr>
    </w:tbl>
    <w:p/>
    <w:p>
      <w:pPr>
        <w:pStyle w:val="ListBullet"/>
        <w:spacing w:after="40"/>
      </w:pPr>
      <w:r>
        <w:t>En móvil, el orden de lectura debe ser siempre contexto → hechos → mensaje → respuesta.</w:t>
      </w:r>
    </w:p>
    <w:p>
      <w:pPr>
        <w:pStyle w:val="ListBullet"/>
        <w:spacing w:after="40"/>
      </w:pPr>
      <w:r>
        <w:t>Las tarjetas pueden ocupar 100% del ancho y apilarse verticalmente.</w:t>
      </w:r>
    </w:p>
    <w:p>
      <w:pPr>
        <w:pStyle w:val="ListBullet"/>
        <w:spacing w:after="40"/>
      </w:pPr>
      <w:r>
        <w:t>No usar hover para revelar información; los tooltips esenciales se sustituyen por labels visibles.</w:t>
      </w:r>
    </w:p>
    <w:p>
      <w:pPr>
        <w:pStyle w:val="ListBullet"/>
        <w:spacing w:after="40"/>
      </w:pPr>
      <w:r>
        <w:t>Cuando el teclado virtual no es necesario, ningún input debe invocarlo.</w:t>
      </w:r>
    </w:p>
    <w:p>
      <w:pPr>
        <w:pStyle w:val="ListBullet"/>
        <w:spacing w:after="40"/>
      </w:pPr>
      <w:r>
        <w:t>El juego debe tolerar orientación vertical y horizontal sin perder estado.</w:t>
      </w:r>
    </w:p>
    <w:p>
      <w:pPr>
        <w:pStyle w:val="Heading1"/>
      </w:pPr>
      <w:r>
        <w:t>8. Componentes interactivos</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216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6"/>
              </w:rPr>
              <w:t>Componente</w:t>
            </w:r>
          </w:p>
        </w:tc>
        <w:tc>
          <w:tcPr>
            <w:tcW w:type="dxa" w:w="37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6"/>
              </w:rPr>
              <w:t>Estados</w:t>
            </w:r>
          </w:p>
        </w:tc>
        <w:tc>
          <w:tcPr>
            <w:tcW w:type="dxa" w:w="417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6"/>
              </w:rPr>
              <w:t>Interacción</w:t>
            </w:r>
          </w:p>
        </w:tc>
      </w:tr>
      <w:tr>
        <w:trPr>
          <w:cantSplit/>
        </w:trPr>
        <w:tc>
          <w:tcPr>
            <w:tcW w:type="dxa" w:w="216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Info Card</w:t>
            </w:r>
          </w:p>
        </w:tc>
        <w:tc>
          <w:tcPr>
            <w:tcW w:type="dxa" w:w="37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normal / critical / updated / disabled</w:t>
            </w:r>
          </w:p>
        </w:tc>
        <w:tc>
          <w:tcPr>
            <w:tcW w:type="dxa" w:w="417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Tap opcional para destacar; nunca requiere hover.</w:t>
            </w:r>
          </w:p>
        </w:tc>
      </w:tr>
      <w:tr>
        <w:trPr>
          <w:cantSplit/>
        </w:trPr>
        <w:tc>
          <w:tcPr>
            <w:tcW w:type="dxa" w:w="216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NPC Bubble</w:t>
            </w:r>
          </w:p>
        </w:tc>
        <w:tc>
          <w:tcPr>
            <w:tcW w:type="dxa" w:w="37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incoming / waiting / misunderstanding / confirmed</w:t>
            </w:r>
          </w:p>
        </w:tc>
        <w:tc>
          <w:tcPr>
            <w:tcW w:type="dxa" w:w="417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Tap solo para avanzar si el mensaje ya fue leído.</w:t>
            </w:r>
          </w:p>
        </w:tc>
      </w:tr>
      <w:tr>
        <w:trPr>
          <w:cantSplit/>
        </w:trPr>
        <w:tc>
          <w:tcPr>
            <w:tcW w:type="dxa" w:w="216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Response Card</w:t>
            </w:r>
          </w:p>
        </w:tc>
        <w:tc>
          <w:tcPr>
            <w:tcW w:type="dxa" w:w="37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default / pressed / selected / disabled</w:t>
            </w:r>
          </w:p>
        </w:tc>
        <w:tc>
          <w:tcPr>
            <w:tcW w:type="dxa" w:w="417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Tap/click selecciona; segundo tap mantiene selección.</w:t>
            </w:r>
          </w:p>
        </w:tc>
      </w:tr>
      <w:tr>
        <w:trPr>
          <w:cantSplit/>
        </w:trPr>
        <w:tc>
          <w:tcPr>
            <w:tcW w:type="dxa" w:w="216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Message Block</w:t>
            </w:r>
          </w:p>
        </w:tc>
        <w:tc>
          <w:tcPr>
            <w:tcW w:type="dxa" w:w="37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available / added / selected</w:t>
            </w:r>
          </w:p>
        </w:tc>
        <w:tc>
          <w:tcPr>
            <w:tcW w:type="dxa" w:w="417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Tap agrega; drag o botones cambian orden.</w:t>
            </w:r>
          </w:p>
        </w:tc>
      </w:tr>
      <w:tr>
        <w:trPr>
          <w:cantSplit/>
        </w:trPr>
        <w:tc>
          <w:tcPr>
            <w:tcW w:type="dxa" w:w="216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Composer</w:t>
            </w:r>
          </w:p>
        </w:tc>
        <w:tc>
          <w:tcPr>
            <w:tcW w:type="dxa" w:w="37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empty / editing / valid / invalid</w:t>
            </w:r>
          </w:p>
        </w:tc>
        <w:tc>
          <w:tcPr>
            <w:tcW w:type="dxa" w:w="417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Muestra estructura del mensaje antes de enviar.</w:t>
            </w:r>
          </w:p>
        </w:tc>
      </w:tr>
      <w:tr>
        <w:trPr>
          <w:cantSplit/>
        </w:trPr>
        <w:tc>
          <w:tcPr>
            <w:tcW w:type="dxa" w:w="216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Primary CTA</w:t>
            </w:r>
          </w:p>
        </w:tc>
        <w:tc>
          <w:tcPr>
            <w:tcW w:type="dxa" w:w="37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disabled / enabled / pressed</w:t>
            </w:r>
          </w:p>
        </w:tc>
        <w:tc>
          <w:tcPr>
            <w:tcW w:type="dxa" w:w="417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Enviar o confirmar.</w:t>
            </w:r>
          </w:p>
        </w:tc>
      </w:tr>
      <w:tr>
        <w:trPr>
          <w:cantSplit/>
        </w:trPr>
        <w:tc>
          <w:tcPr>
            <w:tcW w:type="dxa" w:w="216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Undo</w:t>
            </w:r>
          </w:p>
        </w:tc>
        <w:tc>
          <w:tcPr>
            <w:tcW w:type="dxa" w:w="37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enabled / disabled</w:t>
            </w:r>
          </w:p>
        </w:tc>
        <w:tc>
          <w:tcPr>
            <w:tcW w:type="dxa" w:w="417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Revierte edición previa antes del envío.</w:t>
            </w:r>
          </w:p>
        </w:tc>
      </w:tr>
      <w:tr>
        <w:trPr>
          <w:cantSplit/>
        </w:trPr>
        <w:tc>
          <w:tcPr>
            <w:tcW w:type="dxa" w:w="216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Timer</w:t>
            </w:r>
          </w:p>
        </w:tc>
        <w:tc>
          <w:tcPr>
            <w:tcW w:type="dxa" w:w="37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normal / warning / critical</w:t>
            </w:r>
          </w:p>
        </w:tc>
        <w:tc>
          <w:tcPr>
            <w:tcW w:type="dxa" w:w="417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Solo visible en escenarios temporizados.</w:t>
            </w:r>
          </w:p>
        </w:tc>
      </w:tr>
    </w:tbl>
    <w:p/>
    <w:p>
      <w:pPr>
        <w:pStyle w:val="Heading1"/>
      </w:pPr>
      <w:r>
        <w:t>9. Sistema de acciones comunicativas</w:t>
      </w:r>
    </w:p>
    <w:p>
      <w:pPr>
        <w:spacing w:after="120"/>
      </w:pPr>
      <w:r>
        <w:rPr>
          <w:i w:val="0"/>
        </w:rPr>
        <w:t>La interfaz no presenta categorías teóricas al usuario. Internamente, cada tarjeta pertenece a una intención que permite diseñar escenarios y telemetría coherentes.</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201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Acción interna</w:t>
            </w:r>
          </w:p>
        </w:tc>
        <w:tc>
          <w:tcPr>
            <w:tcW w:type="dxa" w:w="44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Representación visible</w:t>
            </w:r>
          </w:p>
        </w:tc>
        <w:tc>
          <w:tcPr>
            <w:tcW w:type="dxa" w:w="360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Cuándo aparece</w:t>
            </w:r>
          </w:p>
        </w:tc>
      </w:tr>
      <w:tr>
        <w:trPr>
          <w:cantSplit/>
        </w:trPr>
        <w:tc>
          <w:tcPr>
            <w:tcW w:type="dxa" w:w="201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Preguntar</w:t>
            </w:r>
          </w:p>
        </w:tc>
        <w:tc>
          <w:tcPr>
            <w:tcW w:type="dxa" w:w="44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Tarjeta con signo ? o frase interrogativa</w:t>
            </w:r>
          </w:p>
        </w:tc>
        <w:tc>
          <w:tcPr>
            <w:tcW w:type="dxa" w:w="360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Falta información o existe ambigüedad.</w:t>
            </w:r>
          </w:p>
        </w:tc>
      </w:tr>
      <w:tr>
        <w:trPr>
          <w:cantSplit/>
        </w:trPr>
        <w:tc>
          <w:tcPr>
            <w:tcW w:type="dxa" w:w="201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Informar</w:t>
            </w:r>
          </w:p>
        </w:tc>
        <w:tc>
          <w:tcPr>
            <w:tcW w:type="dxa" w:w="44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Mensaje descriptivo</w:t>
            </w:r>
          </w:p>
        </w:tc>
        <w:tc>
          <w:tcPr>
            <w:tcW w:type="dxa" w:w="360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El receptor necesita contexto.</w:t>
            </w:r>
          </w:p>
        </w:tc>
      </w:tr>
      <w:tr>
        <w:trPr>
          <w:cantSplit/>
        </w:trPr>
        <w:tc>
          <w:tcPr>
            <w:tcW w:type="dxa" w:w="201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Instruir</w:t>
            </w:r>
          </w:p>
        </w:tc>
        <w:tc>
          <w:tcPr>
            <w:tcW w:type="dxa" w:w="44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Acción directa</w:t>
            </w:r>
          </w:p>
        </w:tc>
        <w:tc>
          <w:tcPr>
            <w:tcW w:type="dxa" w:w="360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Existe suficiente información para actuar.</w:t>
            </w:r>
          </w:p>
        </w:tc>
      </w:tr>
      <w:tr>
        <w:trPr>
          <w:cantSplit/>
        </w:trPr>
        <w:tc>
          <w:tcPr>
            <w:tcW w:type="dxa" w:w="201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Condicionar</w:t>
            </w:r>
          </w:p>
        </w:tc>
        <w:tc>
          <w:tcPr>
            <w:tcW w:type="dxa" w:w="44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“Si X, entonces Y”</w:t>
            </w:r>
          </w:p>
        </w:tc>
        <w:tc>
          <w:tcPr>
            <w:tcW w:type="dxa" w:w="360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La acción depende de estado.</w:t>
            </w:r>
          </w:p>
        </w:tc>
      </w:tr>
      <w:tr>
        <w:trPr>
          <w:cantSplit/>
        </w:trPr>
        <w:tc>
          <w:tcPr>
            <w:tcW w:type="dxa" w:w="201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Verificar</w:t>
            </w:r>
          </w:p>
        </w:tc>
        <w:tc>
          <w:tcPr>
            <w:tcW w:type="dxa" w:w="44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“Confírmame cuando…”</w:t>
            </w:r>
          </w:p>
        </w:tc>
        <w:tc>
          <w:tcPr>
            <w:tcW w:type="dxa" w:w="360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Se requiere closed loop.</w:t>
            </w:r>
          </w:p>
        </w:tc>
      </w:tr>
      <w:tr>
        <w:trPr>
          <w:cantSplit/>
        </w:trPr>
        <w:tc>
          <w:tcPr>
            <w:tcW w:type="dxa" w:w="201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Corregir</w:t>
            </w:r>
          </w:p>
        </w:tc>
        <w:tc>
          <w:tcPr>
            <w:tcW w:type="dxa" w:w="44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“No; me refiero a…”</w:t>
            </w:r>
          </w:p>
        </w:tc>
        <w:tc>
          <w:tcPr>
            <w:tcW w:type="dxa" w:w="360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Después de un malentendido.</w:t>
            </w:r>
          </w:p>
        </w:tc>
      </w:tr>
      <w:tr>
        <w:trPr>
          <w:cantSplit/>
        </w:trPr>
        <w:tc>
          <w:tcPr>
            <w:tcW w:type="dxa" w:w="201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Escalar</w:t>
            </w:r>
          </w:p>
        </w:tc>
        <w:tc>
          <w:tcPr>
            <w:tcW w:type="dxa" w:w="44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“Detén la operación y…”</w:t>
            </w:r>
          </w:p>
        </w:tc>
        <w:tc>
          <w:tcPr>
            <w:tcW w:type="dxa" w:w="360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Riesgo o información insuficiente.</w:t>
            </w:r>
          </w:p>
        </w:tc>
      </w:tr>
    </w:tbl>
    <w:p/>
    <w:p>
      <w:pPr>
        <w:pStyle w:val="Heading1"/>
      </w:pPr>
      <w:r>
        <w:t>10. Blueprint y matriz de niveles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cantSplit/>
          <w:tblHeader w:val="true"/>
        </w:trPr>
        <w:tc>
          <w:tcPr>
            <w:tcW w:type="dxa" w:w="165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5"/>
              </w:rPr>
              <w:t>Bloque</w:t>
            </w:r>
          </w:p>
        </w:tc>
        <w:tc>
          <w:tcPr>
            <w:tcW w:type="dxa" w:w="30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5"/>
              </w:rPr>
              <w:t>Escena dominante</w:t>
            </w:r>
          </w:p>
        </w:tc>
        <w:tc>
          <w:tcPr>
            <w:tcW w:type="dxa" w:w="288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5"/>
              </w:rPr>
              <w:t>Dificultad añadida</w:t>
            </w:r>
          </w:p>
        </w:tc>
        <w:tc>
          <w:tcPr>
            <w:tcW w:type="dxa" w:w="25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5"/>
              </w:rPr>
              <w:t>Objetivo de diseño</w:t>
            </w:r>
          </w:p>
        </w:tc>
      </w:tr>
      <w:tr>
        <w:trPr>
          <w:cantSplit/>
        </w:trPr>
        <w:tc>
          <w:tcPr>
            <w:tcW w:type="dxa" w:w="165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1 Claridad</w:t>
            </w:r>
          </w:p>
        </w:tc>
        <w:tc>
          <w:tcPr>
            <w:tcW w:type="dxa" w:w="30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Dar instrucción con información completa</w:t>
            </w:r>
          </w:p>
        </w:tc>
        <w:tc>
          <w:tcPr>
            <w:tcW w:type="dxa" w:w="288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Referentes similares</w:t>
            </w:r>
          </w:p>
        </w:tc>
        <w:tc>
          <w:tcPr>
            <w:tcW w:type="dxa" w:w="25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Obligar a especificar sin sobrecargar.</w:t>
            </w:r>
          </w:p>
        </w:tc>
      </w:tr>
      <w:tr>
        <w:trPr>
          <w:cantSplit/>
        </w:trPr>
        <w:tc>
          <w:tcPr>
            <w:tcW w:type="dxa" w:w="165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2 Relevancia</w:t>
            </w:r>
          </w:p>
        </w:tc>
        <w:tc>
          <w:tcPr>
            <w:tcW w:type="dxa" w:w="30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Comunicar con exceso de datos</w:t>
            </w:r>
          </w:p>
        </w:tc>
        <w:tc>
          <w:tcPr>
            <w:tcW w:type="dxa" w:w="288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4-8 distractores</w:t>
            </w:r>
          </w:p>
        </w:tc>
        <w:tc>
          <w:tcPr>
            <w:tcW w:type="dxa" w:w="25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Separar señal de ruido.</w:t>
            </w:r>
          </w:p>
        </w:tc>
      </w:tr>
      <w:tr>
        <w:trPr>
          <w:cantSplit/>
        </w:trPr>
        <w:tc>
          <w:tcPr>
            <w:tcW w:type="dxa" w:w="165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3 Indagación</w:t>
            </w:r>
          </w:p>
        </w:tc>
        <w:tc>
          <w:tcPr>
            <w:tcW w:type="dxa" w:w="30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Falta un dato crítico</w:t>
            </w:r>
          </w:p>
        </w:tc>
        <w:tc>
          <w:tcPr>
            <w:tcW w:type="dxa" w:w="288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No se puede resolver al inicio</w:t>
            </w:r>
          </w:p>
        </w:tc>
        <w:tc>
          <w:tcPr>
            <w:tcW w:type="dxa" w:w="25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Premiar preguntar antes de asumir.</w:t>
            </w:r>
          </w:p>
        </w:tc>
      </w:tr>
      <w:tr>
        <w:trPr>
          <w:cantSplit/>
        </w:trPr>
        <w:tc>
          <w:tcPr>
            <w:tcW w:type="dxa" w:w="165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4 Reparación</w:t>
            </w:r>
          </w:p>
        </w:tc>
        <w:tc>
          <w:tcPr>
            <w:tcW w:type="dxa" w:w="30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NPC interpreta mal</w:t>
            </w:r>
          </w:p>
        </w:tc>
        <w:tc>
          <w:tcPr>
            <w:tcW w:type="dxa" w:w="288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Malentendido controlado</w:t>
            </w:r>
          </w:p>
        </w:tc>
        <w:tc>
          <w:tcPr>
            <w:tcW w:type="dxa" w:w="25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Observar reformulación y precisión.</w:t>
            </w:r>
          </w:p>
        </w:tc>
      </w:tr>
      <w:tr>
        <w:trPr>
          <w:cantSplit/>
        </w:trPr>
        <w:tc>
          <w:tcPr>
            <w:tcW w:type="dxa" w:w="165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5 Adaptación</w:t>
            </w:r>
          </w:p>
        </w:tc>
        <w:tc>
          <w:tcPr>
            <w:tcW w:type="dxa" w:w="30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Mismo problema, receptor distinto</w:t>
            </w:r>
          </w:p>
        </w:tc>
        <w:tc>
          <w:tcPr>
            <w:tcW w:type="dxa" w:w="288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Técnico / supervisor / cliente</w:t>
            </w:r>
          </w:p>
        </w:tc>
        <w:tc>
          <w:tcPr>
            <w:tcW w:type="dxa" w:w="25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Cambiar detalle y registro.</w:t>
            </w:r>
          </w:p>
        </w:tc>
      </w:tr>
      <w:tr>
        <w:trPr>
          <w:cantSplit/>
        </w:trPr>
        <w:tc>
          <w:tcPr>
            <w:tcW w:type="dxa" w:w="165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6 Integración</w:t>
            </w:r>
          </w:p>
        </w:tc>
        <w:tc>
          <w:tcPr>
            <w:tcW w:type="dxa" w:w="30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Incidente complejo</w:t>
            </w:r>
          </w:p>
        </w:tc>
        <w:tc>
          <w:tcPr>
            <w:tcW w:type="dxa" w:w="288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Ruido + incertidumbre + tiempo</w:t>
            </w:r>
          </w:p>
        </w:tc>
        <w:tc>
          <w:tcPr>
            <w:tcW w:type="dxa" w:w="25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Combinar habilidades bajo presión moderada.</w:t>
            </w:r>
          </w:p>
        </w:tc>
      </w:tr>
    </w:tbl>
    <w:p/>
    <w:p>
      <w:pPr>
        <w:pStyle w:val="Heading1"/>
      </w:pPr>
      <w:r>
        <w:t>11. Biblioteca de escenarios base</w:t>
      </w:r>
    </w:p>
    <w:p>
      <w:pPr>
        <w:spacing w:after="120"/>
      </w:pPr>
      <w:r>
        <w:rPr>
          <w:i w:val="0"/>
        </w:rPr>
        <w:t>Los siguientes escenarios sirven como contenido inicial y como patrón para crear formas paralelas. Los datos técnicos son ficticios y todo conocimiento necesario aparece dentro de la escena.</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cantSplit/>
          <w:tblHeader w:val="true"/>
        </w:trPr>
        <w:tc>
          <w:tcPr>
            <w:tcW w:type="dxa" w:w="19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3"/>
              </w:rPr>
              <w:t>ID / nombre</w:t>
            </w:r>
          </w:p>
        </w:tc>
        <w:tc>
          <w:tcPr>
            <w:tcW w:type="dxa" w:w="129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3"/>
              </w:rPr>
              <w:t>Receptor</w:t>
            </w:r>
          </w:p>
        </w:tc>
        <w:tc>
          <w:tcPr>
            <w:tcW w:type="dxa" w:w="259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3"/>
              </w:rPr>
              <w:t>Información</w:t>
            </w:r>
          </w:p>
        </w:tc>
        <w:tc>
          <w:tcPr>
            <w:tcW w:type="dxa" w:w="237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3"/>
              </w:rPr>
              <w:t>Mensaje NPC</w:t>
            </w:r>
          </w:p>
        </w:tc>
        <w:tc>
          <w:tcPr>
            <w:tcW w:type="dxa" w:w="288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3"/>
              </w:rPr>
              <w:t>Conducta objetivo</w:t>
            </w:r>
          </w:p>
        </w:tc>
        <w:tc>
          <w:tcPr>
            <w:tcW w:type="dxa" w:w="144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3"/>
              </w:rPr>
              <w:t>Foco</w:t>
            </w:r>
          </w:p>
        </w:tc>
      </w:tr>
      <w:tr>
        <w:trPr>
          <w:cantSplit/>
        </w:trPr>
        <w:tc>
          <w:tcPr>
            <w:tcW w:type="dxa" w:w="19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3"/>
              </w:rPr>
              <w:t>CR-L1-S01 · Válvula secundaria</w:t>
            </w:r>
          </w:p>
        </w:tc>
        <w:tc>
          <w:tcPr>
            <w:tcW w:type="dxa" w:w="129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3"/>
              </w:rPr>
              <w:t>Operador</w:t>
            </w:r>
          </w:p>
        </w:tc>
        <w:tc>
          <w:tcPr>
            <w:tcW w:type="dxa" w:w="259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3"/>
              </w:rPr>
              <w:t>Presión 8,4 bar; V3 abierta; regla: “si presión &gt;8, cerrar V3 antes de reiniciar”.</w:t>
            </w:r>
          </w:p>
        </w:tc>
        <w:tc>
          <w:tcPr>
            <w:tcW w:type="dxa" w:w="237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3"/>
              </w:rPr>
              <w:t>“Estoy frente al panel. ¿Qué hago?”</w:t>
            </w:r>
          </w:p>
        </w:tc>
        <w:tc>
          <w:tcPr>
            <w:tcW w:type="dxa" w:w="288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3"/>
              </w:rPr>
              <w:t>Óptimo: “Cierra la válvula V3 y confírmame cuando quede cerrada.”</w:t>
            </w:r>
          </w:p>
        </w:tc>
        <w:tc>
          <w:tcPr>
            <w:tcW w:type="dxa" w:w="144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3"/>
              </w:rPr>
              <w:t>Claridad + verificación</w:t>
            </w:r>
          </w:p>
        </w:tc>
      </w:tr>
      <w:tr>
        <w:trPr>
          <w:cantSplit/>
        </w:trPr>
        <w:tc>
          <w:tcPr>
            <w:tcW w:type="dxa" w:w="19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3"/>
              </w:rPr>
              <w:t>CR-L2-S01 · Línea detenida</w:t>
            </w:r>
          </w:p>
        </w:tc>
        <w:tc>
          <w:tcPr>
            <w:tcW w:type="dxa" w:w="129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3"/>
              </w:rPr>
              <w:t>Técnico</w:t>
            </w:r>
          </w:p>
        </w:tc>
        <w:tc>
          <w:tcPr>
            <w:tcW w:type="dxa" w:w="259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3"/>
              </w:rPr>
              <w:t>8 datos de estado; solo presión &gt;8 y V3 abierta son críticos.</w:t>
            </w:r>
          </w:p>
        </w:tc>
        <w:tc>
          <w:tcPr>
            <w:tcW w:type="dxa" w:w="237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3"/>
              </w:rPr>
              <w:t>“¿Qué información necesitas que revise primero?”</w:t>
            </w:r>
          </w:p>
        </w:tc>
        <w:tc>
          <w:tcPr>
            <w:tcW w:type="dxa" w:w="288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3"/>
              </w:rPr>
              <w:t>Seleccionar presión y estado V3; evitar temperatura ambiente, turno, ID de gabinete, etc.</w:t>
            </w:r>
          </w:p>
        </w:tc>
        <w:tc>
          <w:tcPr>
            <w:tcW w:type="dxa" w:w="144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3"/>
              </w:rPr>
              <w:t>Relevancia</w:t>
            </w:r>
          </w:p>
        </w:tc>
      </w:tr>
      <w:tr>
        <w:trPr>
          <w:cantSplit/>
        </w:trPr>
        <w:tc>
          <w:tcPr>
            <w:tcW w:type="dxa" w:w="19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3"/>
              </w:rPr>
              <w:t>CR-L3-S01 · Etiqueta de contenedor</w:t>
            </w:r>
          </w:p>
        </w:tc>
        <w:tc>
          <w:tcPr>
            <w:tcW w:type="dxa" w:w="129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3"/>
              </w:rPr>
              <w:t>Operador</w:t>
            </w:r>
          </w:p>
        </w:tc>
        <w:tc>
          <w:tcPr>
            <w:tcW w:type="dxa" w:w="259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3"/>
              </w:rPr>
              <w:t>Regla: “etiqueta roja → zona C”; el usuario conoce ID y temperatura, no color.</w:t>
            </w:r>
          </w:p>
        </w:tc>
        <w:tc>
          <w:tcPr>
            <w:tcW w:type="dxa" w:w="237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3"/>
              </w:rPr>
              <w:t>“Tengo el contenedor AX-42. ¿Lo llevo a zona C?”</w:t>
            </w:r>
          </w:p>
        </w:tc>
        <w:tc>
          <w:tcPr>
            <w:tcW w:type="dxa" w:w="288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3"/>
              </w:rPr>
              <w:t>Preguntar: “¿De qué color es la etiqueta?” antes de instruir.</w:t>
            </w:r>
          </w:p>
        </w:tc>
        <w:tc>
          <w:tcPr>
            <w:tcW w:type="dxa" w:w="144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3"/>
              </w:rPr>
              <w:t>Indagación</w:t>
            </w:r>
          </w:p>
        </w:tc>
      </w:tr>
      <w:tr>
        <w:trPr>
          <w:cantSplit/>
        </w:trPr>
        <w:tc>
          <w:tcPr>
            <w:tcW w:type="dxa" w:w="19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3"/>
              </w:rPr>
              <w:t>CR-L4-S01 · Interruptor ambiguo</w:t>
            </w:r>
          </w:p>
        </w:tc>
        <w:tc>
          <w:tcPr>
            <w:tcW w:type="dxa" w:w="129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3"/>
              </w:rPr>
              <w:t>Operador</w:t>
            </w:r>
          </w:p>
        </w:tc>
        <w:tc>
          <w:tcPr>
            <w:tcW w:type="dxa" w:w="259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3"/>
              </w:rPr>
              <w:t>Panel con SW-1 amarillo, SW-2 azul, SW-3 rojo.</w:t>
            </w:r>
          </w:p>
        </w:tc>
        <w:tc>
          <w:tcPr>
            <w:tcW w:type="dxa" w:w="237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3"/>
              </w:rPr>
              <w:t>Tras “activa el interruptor derecho”, NPC: “¿El amarillo?”</w:t>
            </w:r>
          </w:p>
        </w:tc>
        <w:tc>
          <w:tcPr>
            <w:tcW w:type="dxa" w:w="288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3"/>
              </w:rPr>
              <w:t>Detener y corregir: “No. Activa SW-3, el interruptor rojo del extremo derecho.”</w:t>
            </w:r>
          </w:p>
        </w:tc>
        <w:tc>
          <w:tcPr>
            <w:tcW w:type="dxa" w:w="144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3"/>
              </w:rPr>
              <w:t>Reparación</w:t>
            </w:r>
          </w:p>
        </w:tc>
      </w:tr>
      <w:tr>
        <w:trPr>
          <w:cantSplit/>
        </w:trPr>
        <w:tc>
          <w:tcPr>
            <w:tcW w:type="dxa" w:w="19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3"/>
              </w:rPr>
              <w:t>CR-L5-S01 · Sobrepresión</w:t>
            </w:r>
          </w:p>
        </w:tc>
        <w:tc>
          <w:tcPr>
            <w:tcW w:type="dxa" w:w="129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3"/>
              </w:rPr>
              <w:t>Supervisor</w:t>
            </w:r>
          </w:p>
        </w:tc>
        <w:tc>
          <w:tcPr>
            <w:tcW w:type="dxa" w:w="259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3"/>
              </w:rPr>
              <w:t>Mismo estado técnico del escenario L1.</w:t>
            </w:r>
          </w:p>
        </w:tc>
        <w:tc>
          <w:tcPr>
            <w:tcW w:type="dxa" w:w="237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3"/>
              </w:rPr>
              <w:t>“¿Qué está pasando con la línea?”</w:t>
            </w:r>
          </w:p>
        </w:tc>
        <w:tc>
          <w:tcPr>
            <w:tcW w:type="dxa" w:w="288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3"/>
              </w:rPr>
              <w:t>“Hay una sobrepresión. La línea seguirá detenida mientras estabilizamos el sistema.”</w:t>
            </w:r>
          </w:p>
        </w:tc>
        <w:tc>
          <w:tcPr>
            <w:tcW w:type="dxa" w:w="144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3"/>
              </w:rPr>
              <w:t>Adaptación</w:t>
            </w:r>
          </w:p>
        </w:tc>
      </w:tr>
      <w:tr>
        <w:trPr>
          <w:cantSplit/>
        </w:trPr>
        <w:tc>
          <w:tcPr>
            <w:tcW w:type="dxa" w:w="19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3"/>
              </w:rPr>
              <w:t>CR-L6-S01 · Doble incidencia</w:t>
            </w:r>
          </w:p>
        </w:tc>
        <w:tc>
          <w:tcPr>
            <w:tcW w:type="dxa" w:w="129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3"/>
              </w:rPr>
              <w:t>Operador</w:t>
            </w:r>
          </w:p>
        </w:tc>
        <w:tc>
          <w:tcPr>
            <w:tcW w:type="dxa" w:w="259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3"/>
              </w:rPr>
              <w:t>Presión alta, alarma secundaria, un dato crítico faltante y 45 s.</w:t>
            </w:r>
          </w:p>
        </w:tc>
        <w:tc>
          <w:tcPr>
            <w:tcW w:type="dxa" w:w="237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3"/>
              </w:rPr>
              <w:t>“Tengo dos alarmas activas. ¿Procedo con el reinicio?”</w:t>
            </w:r>
          </w:p>
        </w:tc>
        <w:tc>
          <w:tcPr>
            <w:tcW w:type="dxa" w:w="288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3"/>
              </w:rPr>
              <w:t>Preguntar dato crítico, instruir acción previa y verificar.</w:t>
            </w:r>
          </w:p>
        </w:tc>
        <w:tc>
          <w:tcPr>
            <w:tcW w:type="dxa" w:w="144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3"/>
              </w:rPr>
              <w:t>Integración</w:t>
            </w:r>
          </w:p>
        </w:tc>
      </w:tr>
    </w:tbl>
    <w:p/>
    <w:p>
      <w:pPr>
        <w:pStyle w:val="Heading2"/>
      </w:pPr>
      <w:r>
        <w:t>11.1. Ejemplo completo: escenario de indagación</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100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6"/>
              </w:rPr>
              <w:t>Paso</w:t>
            </w:r>
          </w:p>
        </w:tc>
        <w:tc>
          <w:tcPr>
            <w:tcW w:type="dxa" w:w="648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6"/>
              </w:rPr>
              <w:t>Pantalla / copy</w:t>
            </w:r>
          </w:p>
        </w:tc>
        <w:tc>
          <w:tcPr>
            <w:tcW w:type="dxa" w:w="216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6"/>
              </w:rPr>
              <w:t>Respuesta del sistema</w:t>
            </w:r>
          </w:p>
        </w:tc>
      </w:tr>
      <w:tr>
        <w:trPr>
          <w:cantSplit/>
        </w:trPr>
        <w:tc>
          <w:tcPr>
            <w:tcW w:type="dxa" w:w="100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1</w:t>
            </w:r>
          </w:p>
        </w:tc>
        <w:tc>
          <w:tcPr>
            <w:tcW w:type="dxa" w:w="648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Datos: AX-42, 36 °C. Regla: “Si etiqueta roja → zona C”. NPC: “¿Lo llevo a zona C?”</w:t>
            </w:r>
          </w:p>
        </w:tc>
        <w:tc>
          <w:tcPr>
            <w:tcW w:type="dxa" w:w="216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Esperar decisión.</w:t>
            </w:r>
          </w:p>
        </w:tc>
      </w:tr>
      <w:tr>
        <w:trPr>
          <w:cantSplit/>
        </w:trPr>
        <w:tc>
          <w:tcPr>
            <w:tcW w:type="dxa" w:w="100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2A óptimo</w:t>
            </w:r>
          </w:p>
        </w:tc>
        <w:tc>
          <w:tcPr>
            <w:tcW w:type="dxa" w:w="648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Usuario selecciona: “¿De qué color es la etiqueta?”</w:t>
            </w:r>
          </w:p>
        </w:tc>
        <w:tc>
          <w:tcPr>
            <w:tcW w:type="dxa" w:w="216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NPC: “Roja.” Se habilitan instrucciones.</w:t>
            </w:r>
          </w:p>
        </w:tc>
      </w:tr>
      <w:tr>
        <w:trPr>
          <w:cantSplit/>
        </w:trPr>
        <w:tc>
          <w:tcPr>
            <w:tcW w:type="dxa" w:w="100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3A</w:t>
            </w:r>
          </w:p>
        </w:tc>
        <w:tc>
          <w:tcPr>
            <w:tcW w:type="dxa" w:w="648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Usuario: “Llévalo a zona C y confirma entrega.”</w:t>
            </w:r>
          </w:p>
        </w:tc>
        <w:tc>
          <w:tcPr>
            <w:tcW w:type="dxa" w:w="216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Outcome: traslado correcto.</w:t>
            </w:r>
          </w:p>
        </w:tc>
      </w:tr>
      <w:tr>
        <w:trPr>
          <w:cantSplit/>
        </w:trPr>
        <w:tc>
          <w:tcPr>
            <w:tcW w:type="dxa" w:w="100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2B subóptimo</w:t>
            </w:r>
          </w:p>
        </w:tc>
        <w:tc>
          <w:tcPr>
            <w:tcW w:type="dxa" w:w="648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Usuario: “¿Qué ves en el contenedor?”</w:t>
            </w:r>
          </w:p>
        </w:tc>
        <w:tc>
          <w:tcPr>
            <w:tcW w:type="dxa" w:w="216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NPC entrega descripción amplia; requiere otro intercambio.</w:t>
            </w:r>
          </w:p>
        </w:tc>
      </w:tr>
      <w:tr>
        <w:trPr>
          <w:cantSplit/>
        </w:trPr>
        <w:tc>
          <w:tcPr>
            <w:tcW w:type="dxa" w:w="100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2C incorrecto</w:t>
            </w:r>
          </w:p>
        </w:tc>
        <w:tc>
          <w:tcPr>
            <w:tcW w:type="dxa" w:w="648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Usuario: “Sí, llévalo a zona C.”</w:t>
            </w:r>
          </w:p>
        </w:tc>
        <w:tc>
          <w:tcPr>
            <w:tcW w:type="dxa" w:w="216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Outcome: compromiso prematuro; se registra error.</w:t>
            </w:r>
          </w:p>
        </w:tc>
      </w:tr>
    </w:tbl>
    <w:p/>
    <w:p>
      <w:pPr>
        <w:pStyle w:val="Heading1"/>
      </w:pPr>
      <w:r>
        <w:t>12. Construcción y ordenamiento de mensajes</w:t>
      </w:r>
    </w:p>
    <w:p>
      <w:pPr>
        <w:spacing w:after="120"/>
      </w:pPr>
      <w:r>
        <w:rPr>
          <w:i w:val="0"/>
        </w:rPr>
        <w:t>Los bloques convierten una respuesta simple en una microtarea de composición sin usar teclado. Se recomienda usarlos en aproximadamente un tercio de los escenarios para aumentar riqueza conductual sin hacer repetitiva la sesión.</w:t>
      </w:r>
    </w:p>
    <w:tbl>
      <w:tblPr>
        <w:tblStyle w:val="TableGrid"/>
        <w:tblW w:type="auto" w:w="0"/>
        <w:jc w:val="center"/>
        <w:tblLayout w:type="autofit"/>
        <w:tblLook w:firstColumn="1" w:firstRow="1" w:lastColumn="0" w:lastRow="0" w:noHBand="0" w:noVBand="1" w:val="04A0"/>
      </w:tblPr>
      <w:tblGrid>
        <w:gridCol w:w="5083"/>
        <w:gridCol w:w="5083"/>
      </w:tblGrid>
      <w:tr>
        <w:trPr>
          <w:cantSplit/>
          <w:tblHeader w:val="true"/>
        </w:trPr>
        <w:tc>
          <w:tcPr>
            <w:tcW w:type="dxa" w:w="489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Bandeja</w:t>
            </w:r>
          </w:p>
        </w:tc>
        <w:tc>
          <w:tcPr>
            <w:tcW w:type="dxa" w:w="518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Compositor posible</w:t>
            </w:r>
          </w:p>
        </w:tc>
      </w:tr>
      <w:tr>
        <w:trPr>
          <w:cantSplit/>
        </w:trPr>
        <w:tc>
          <w:tcPr>
            <w:tcW w:type="dxa" w:w="489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[Cierra] [V3] [antes de] [reiniciar] [y confirma] [cuando esté cerrada]</w:t>
            </w:r>
          </w:p>
        </w:tc>
        <w:tc>
          <w:tcPr>
            <w:tcW w:type="dxa" w:w="518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Cierra → V3 → antes de → reiniciar → y confirma → cuando esté cerrada</w:t>
            </w:r>
          </w:p>
        </w:tc>
      </w:tr>
      <w:tr>
        <w:trPr>
          <w:cantSplit/>
        </w:trPr>
        <w:tc>
          <w:tcPr>
            <w:tcW w:type="dxa" w:w="489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[Detén] [la operación] [hasta confirmar] [el color de la etiqueta]</w:t>
            </w:r>
          </w:p>
        </w:tc>
        <w:tc>
          <w:tcPr>
            <w:tcW w:type="dxa" w:w="518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Detén → la operación → hasta confirmar → el color de la etiqueta</w:t>
            </w:r>
          </w:p>
        </w:tc>
      </w:tr>
    </w:tbl>
    <w:p/>
    <w:p>
      <w:pPr>
        <w:pStyle w:val="ListBullet"/>
        <w:spacing w:after="40"/>
      </w:pPr>
      <w:r>
        <w:t>Tap en un bloque disponible: se añade al final del compositor.</w:t>
      </w:r>
    </w:p>
    <w:p>
      <w:pPr>
        <w:pStyle w:val="ListBullet"/>
        <w:spacing w:after="40"/>
      </w:pPr>
      <w:r>
        <w:t>Tap en bloque agregado: lo selecciona y muestra “mover izquierda/derecha” o “subir/bajar” según layout.</w:t>
      </w:r>
    </w:p>
    <w:p>
      <w:pPr>
        <w:pStyle w:val="ListBullet"/>
        <w:spacing w:after="40"/>
      </w:pPr>
      <w:r>
        <w:t>Drag &amp; drop puede coexistir como atajo en desktop/tablet, pero no es obligatorio.</w:t>
      </w:r>
    </w:p>
    <w:p>
      <w:pPr>
        <w:pStyle w:val="ListBullet"/>
        <w:spacing w:after="40"/>
      </w:pPr>
      <w:r>
        <w:t>El botón Enviar permanece deshabilitado si el escenario exige al menos una unidad y el compositor está vacío.</w:t>
      </w:r>
    </w:p>
    <w:p>
      <w:pPr>
        <w:pStyle w:val="ListBullet"/>
        <w:spacing w:after="40"/>
      </w:pPr>
      <w:r>
        <w:t>No usar penalización por cambios de orden antes de enviar; esos cambios sí pueden registrarse como telemetría de proceso.</w:t>
      </w:r>
    </w:p>
    <w:p>
      <w:pPr>
        <w:pStyle w:val="Heading1"/>
      </w:pPr>
      <w:r>
        <w:t>13. Comportamiento del interlocutor (NPC)</w:t>
      </w:r>
    </w:p>
    <w:p>
      <w:pPr>
        <w:spacing w:after="120"/>
      </w:pPr>
      <w:r>
        <w:rPr>
          <w:i w:val="0"/>
        </w:rPr>
        <w:t>El NPC no necesita IA generativa en V1. Utiliza un árbol de diálogo determinista, de modo que cada usuario enfrentado al mismo form_id reciba oportunidades comparables.</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230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Tipo de nodo</w:t>
            </w:r>
          </w:p>
        </w:tc>
        <w:tc>
          <w:tcPr>
            <w:tcW w:type="dxa" w:w="44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Comportamiento</w:t>
            </w:r>
          </w:p>
        </w:tc>
        <w:tc>
          <w:tcPr>
            <w:tcW w:type="dxa" w:w="331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Ejemplo</w:t>
            </w:r>
          </w:p>
        </w:tc>
      </w:tr>
      <w:tr>
        <w:trPr>
          <w:cantSplit/>
        </w:trPr>
        <w:tc>
          <w:tcPr>
            <w:tcW w:type="dxa" w:w="230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Confirmación</w:t>
            </w:r>
          </w:p>
        </w:tc>
        <w:tc>
          <w:tcPr>
            <w:tcW w:type="dxa" w:w="44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Repite o confirma estado.</w:t>
            </w:r>
          </w:p>
        </w:tc>
        <w:tc>
          <w:tcPr>
            <w:tcW w:type="dxa" w:w="331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“V3 cerrada. Presión bajando.”</w:t>
            </w:r>
          </w:p>
        </w:tc>
      </w:tr>
      <w:tr>
        <w:trPr>
          <w:cantSplit/>
        </w:trPr>
        <w:tc>
          <w:tcPr>
            <w:tcW w:type="dxa" w:w="230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Dato nuevo</w:t>
            </w:r>
          </w:p>
        </w:tc>
        <w:tc>
          <w:tcPr>
            <w:tcW w:type="dxa" w:w="44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Responde una pregunta crítica.</w:t>
            </w:r>
          </w:p>
        </w:tc>
        <w:tc>
          <w:tcPr>
            <w:tcW w:type="dxa" w:w="331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“La etiqueta es roja.”</w:t>
            </w:r>
          </w:p>
        </w:tc>
      </w:tr>
      <w:tr>
        <w:trPr>
          <w:cantSplit/>
        </w:trPr>
        <w:tc>
          <w:tcPr>
            <w:tcW w:type="dxa" w:w="230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Pregunta de precisión</w:t>
            </w:r>
          </w:p>
        </w:tc>
        <w:tc>
          <w:tcPr>
            <w:tcW w:type="dxa" w:w="44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Solicita referente.</w:t>
            </w:r>
          </w:p>
        </w:tc>
        <w:tc>
          <w:tcPr>
            <w:tcW w:type="dxa" w:w="331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“¿Te refieres a SW-2 o SW-3?”</w:t>
            </w:r>
          </w:p>
        </w:tc>
      </w:tr>
      <w:tr>
        <w:trPr>
          <w:cantSplit/>
        </w:trPr>
        <w:tc>
          <w:tcPr>
            <w:tcW w:type="dxa" w:w="230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Malentendido controlado</w:t>
            </w:r>
          </w:p>
        </w:tc>
        <w:tc>
          <w:tcPr>
            <w:tcW w:type="dxa" w:w="44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Interpreta deliberadamente una referencia ambigua.</w:t>
            </w:r>
          </w:p>
        </w:tc>
        <w:tc>
          <w:tcPr>
            <w:tcW w:type="dxa" w:w="331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“¿El amarillo?”</w:t>
            </w:r>
          </w:p>
        </w:tc>
      </w:tr>
      <w:tr>
        <w:trPr>
          <w:cantSplit/>
        </w:trPr>
        <w:tc>
          <w:tcPr>
            <w:tcW w:type="dxa" w:w="230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Resistencia contextual</w:t>
            </w:r>
          </w:p>
        </w:tc>
        <w:tc>
          <w:tcPr>
            <w:tcW w:type="dxa" w:w="44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Pide razón o prioridad.</w:t>
            </w:r>
          </w:p>
        </w:tc>
        <w:tc>
          <w:tcPr>
            <w:tcW w:type="dxa" w:w="331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“¿Por qué detengo la línea?”</w:t>
            </w:r>
          </w:p>
        </w:tc>
      </w:tr>
      <w:tr>
        <w:trPr>
          <w:cantSplit/>
        </w:trPr>
        <w:tc>
          <w:tcPr>
            <w:tcW w:type="dxa" w:w="230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Cierre</w:t>
            </w:r>
          </w:p>
        </w:tc>
        <w:tc>
          <w:tcPr>
            <w:tcW w:type="dxa" w:w="44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Informa resultado.</w:t>
            </w:r>
          </w:p>
        </w:tc>
        <w:tc>
          <w:tcPr>
            <w:tcW w:type="dxa" w:w="331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“Operación estabilizada.”</w:t>
            </w:r>
          </w:p>
        </w:tc>
      </w:tr>
    </w:tbl>
    <w:p/>
    <w:tbl>
      <w:tblPr>
        <w:tblStyle w:val="TableGrid"/>
        <w:tblW w:type="auto" w:w="0"/>
        <w:tblLook w:firstColumn="1" w:firstRow="1" w:lastColumn="0" w:lastRow="0" w:noHBand="0" w:noVBand="1" w:val="04A0"/>
      </w:tblPr>
      <w:tblGrid>
        <w:gridCol w:w="10166"/>
      </w:tblGrid>
      <w:tr>
        <w:tc>
          <w:tcPr>
            <w:tcW w:type="dxa" w:w="10166"/>
            <w:shd w:fill="EEF4F8"/>
            <w:tcBorders>
              <w:top w:val="single" w:sz="8" w:color="2B6CB0"/>
              <w:left w:val="single" w:sz="8" w:color="2B6CB0"/>
              <w:bottom w:val="single" w:sz="8" w:color="2B6CB0"/>
              <w:right w:val="single" w:sz="8" w:color="2B6CB0"/>
              <w:insideH w:val="single" w:sz="8" w:color="2B6CB0"/>
              <w:insideV w:val="single" w:sz="8" w:color="2B6CB0"/>
            </w:tcBorders>
            <w:tcMar>
              <w:top w:w="150" w:type="dxa"/>
              <w:start w:w="180" w:type="dxa"/>
              <w:bottom w:w="150" w:type="dxa"/>
              <w:end w:w="180" w:type="dxa"/>
            </w:tcMar>
          </w:tcPr>
          <w:p>
            <w:r>
              <w:rPr>
                <w:b/>
                <w:color w:val="18324B"/>
                <w:sz w:val="20"/>
              </w:rPr>
              <w:t>No aleatorizar el malentendido</w:t>
              <w:br/>
            </w:r>
            <w:r>
              <w:rPr>
                <w:sz w:val="19"/>
              </w:rPr>
              <w:t>En pruebas evaluativas el malentendido debe estar fijado por escenario o forma. Si aparece al azar, dos personas podrían recibir oportunidades distintas de demostrar reparación.</w:t>
            </w:r>
          </w:p>
        </w:tc>
      </w:tr>
    </w:tbl>
    <w:p/>
    <w:p>
      <w:pPr>
        <w:pStyle w:val="Heading1"/>
      </w:pPr>
      <w:r>
        <w:t>14. Timing, ritmo y presión</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201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Fase</w:t>
            </w:r>
          </w:p>
        </w:tc>
        <w:tc>
          <w:tcPr>
            <w:tcW w:type="dxa" w:w="388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Duración / regla</w:t>
            </w:r>
          </w:p>
        </w:tc>
        <w:tc>
          <w:tcPr>
            <w:tcW w:type="dxa" w:w="417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Diseño</w:t>
            </w:r>
          </w:p>
        </w:tc>
      </w:tr>
      <w:tr>
        <w:trPr>
          <w:cantSplit/>
        </w:trPr>
        <w:tc>
          <w:tcPr>
            <w:tcW w:type="dxa" w:w="201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Lectura inicial</w:t>
            </w:r>
          </w:p>
        </w:tc>
        <w:tc>
          <w:tcPr>
            <w:tcW w:type="dxa" w:w="388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Sin countdown visible en bloques 1-3; límite técnico amplio.</w:t>
            </w:r>
          </w:p>
        </w:tc>
        <w:tc>
          <w:tcPr>
            <w:tcW w:type="dxa" w:w="417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Reduce efecto de velocidad lectora.</w:t>
            </w:r>
          </w:p>
        </w:tc>
      </w:tr>
      <w:tr>
        <w:trPr>
          <w:cantSplit/>
        </w:trPr>
        <w:tc>
          <w:tcPr>
            <w:tcW w:type="dxa" w:w="201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Decisión</w:t>
            </w:r>
          </w:p>
        </w:tc>
        <w:tc>
          <w:tcPr>
            <w:tcW w:type="dxa" w:w="388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Timer visible solo en bloque 6 o ítems específicos.</w:t>
            </w:r>
          </w:p>
        </w:tc>
        <w:tc>
          <w:tcPr>
            <w:tcW w:type="dxa" w:w="417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Presión moderada, no reflejos.</w:t>
            </w:r>
          </w:p>
        </w:tc>
      </w:tr>
      <w:tr>
        <w:trPr>
          <w:cantSplit/>
        </w:trPr>
        <w:tc>
          <w:tcPr>
            <w:tcW w:type="dxa" w:w="201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NPC reply</w:t>
            </w:r>
          </w:p>
        </w:tc>
        <w:tc>
          <w:tcPr>
            <w:tcW w:type="dxa" w:w="388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Aparece en 200-400 ms tras envío.</w:t>
            </w:r>
          </w:p>
        </w:tc>
        <w:tc>
          <w:tcPr>
            <w:tcW w:type="dxa" w:w="417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Sensación inmediata sin animación pesada.</w:t>
            </w:r>
          </w:p>
        </w:tc>
      </w:tr>
      <w:tr>
        <w:trPr>
          <w:cantSplit/>
        </w:trPr>
        <w:tc>
          <w:tcPr>
            <w:tcW w:type="dxa" w:w="201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Consequence</w:t>
            </w:r>
          </w:p>
        </w:tc>
        <w:tc>
          <w:tcPr>
            <w:tcW w:type="dxa" w:w="388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1,5-2,5 s o tap para continuar.</w:t>
            </w:r>
          </w:p>
        </w:tc>
        <w:tc>
          <w:tcPr>
            <w:tcW w:type="dxa" w:w="417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Explica estado, no clave psicométrica.</w:t>
            </w:r>
          </w:p>
        </w:tc>
      </w:tr>
      <w:tr>
        <w:trPr>
          <w:cantSplit/>
        </w:trPr>
        <w:tc>
          <w:tcPr>
            <w:tcW w:type="dxa" w:w="201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Transición</w:t>
            </w:r>
          </w:p>
        </w:tc>
        <w:tc>
          <w:tcPr>
            <w:tcW w:type="dxa" w:w="388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0,4-0,8 s.</w:t>
            </w:r>
          </w:p>
        </w:tc>
        <w:tc>
          <w:tcPr>
            <w:tcW w:type="dxa" w:w="417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Mantener ritmo.</w:t>
            </w:r>
          </w:p>
        </w:tc>
      </w:tr>
    </w:tbl>
    <w:p/>
    <w:p>
      <w:pPr>
        <w:pStyle w:val="ListBullet"/>
        <w:spacing w:after="40"/>
      </w:pPr>
      <w:r>
        <w:t>Advertencia temporal: a &lt;25% del tiempo restante, el timer cambia de énfasis visual; no usar audio obligatorio.</w:t>
      </w:r>
    </w:p>
    <w:p>
      <w:pPr>
        <w:pStyle w:val="ListBullet"/>
        <w:spacing w:after="40"/>
      </w:pPr>
      <w:r>
        <w:t>Estado crítico: últimos 10 s en bloque 6, con pulso visual suave y opcional vibración breve.</w:t>
      </w:r>
    </w:p>
    <w:p>
      <w:pPr>
        <w:pStyle w:val="ListBullet"/>
        <w:spacing w:after="40"/>
      </w:pPr>
      <w:r>
        <w:t>No descontar tiempo por animaciones del sistema.</w:t>
      </w:r>
    </w:p>
    <w:p>
      <w:pPr>
        <w:pStyle w:val="ListBullet"/>
        <w:spacing w:after="40"/>
      </w:pPr>
      <w:r>
        <w:t>El usuario puede tocar “Continuar” para saltar una animación de cierre cuando el contenido ya es legible.</w:t>
      </w:r>
    </w:p>
    <w:p>
      <w:pPr>
        <w:pStyle w:val="Heading1"/>
      </w:pPr>
      <w:r>
        <w:t>15. UX copy completo</w:t>
      </w:r>
    </w:p>
    <w:tbl>
      <w:tblPr>
        <w:tblStyle w:val="TableGrid"/>
        <w:tblW w:type="auto" w:w="0"/>
        <w:jc w:val="center"/>
        <w:tblLayout w:type="autofit"/>
        <w:tblLook w:firstColumn="1" w:firstRow="1" w:lastColumn="0" w:lastRow="0" w:noHBand="0" w:noVBand="1" w:val="04A0"/>
      </w:tblPr>
      <w:tblGrid>
        <w:gridCol w:w="5083"/>
        <w:gridCol w:w="5083"/>
      </w:tblGrid>
      <w:tr>
        <w:trPr>
          <w:cantSplit/>
          <w:tblHeader w:val="true"/>
        </w:trPr>
        <w:tc>
          <w:tcPr>
            <w:tcW w:type="dxa" w:w="244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Estado</w:t>
            </w:r>
          </w:p>
        </w:tc>
        <w:tc>
          <w:tcPr>
            <w:tcW w:type="dxa" w:w="76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Copy</w:t>
            </w:r>
          </w:p>
        </w:tc>
      </w:tr>
      <w:tr>
        <w:trPr>
          <w:cantSplit/>
        </w:trPr>
        <w:tc>
          <w:tcPr>
            <w:tcW w:type="dxa" w:w="244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Inicio bloque</w:t>
            </w:r>
          </w:p>
        </w:tc>
        <w:tc>
          <w:tcPr>
            <w:tcW w:type="dxa" w:w="76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“En los siguientes incidentes tendrás que coordinarte con personas en terreno. Revisa la información antes de responder.”</w:t>
            </w:r>
          </w:p>
        </w:tc>
      </w:tr>
      <w:tr>
        <w:trPr>
          <w:cantSplit/>
        </w:trPr>
        <w:tc>
          <w:tcPr>
            <w:tcW w:type="dxa" w:w="244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Dato actualizado</w:t>
            </w:r>
          </w:p>
        </w:tc>
        <w:tc>
          <w:tcPr>
            <w:tcW w:type="dxa" w:w="76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“Nueva información recibida.”</w:t>
            </w:r>
          </w:p>
        </w:tc>
      </w:tr>
      <w:tr>
        <w:trPr>
          <w:cantSplit/>
        </w:trPr>
        <w:tc>
          <w:tcPr>
            <w:tcW w:type="dxa" w:w="244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Enviar</w:t>
            </w:r>
          </w:p>
        </w:tc>
        <w:tc>
          <w:tcPr>
            <w:tcW w:type="dxa" w:w="76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“Enviar mensaje”</w:t>
            </w:r>
          </w:p>
        </w:tc>
      </w:tr>
      <w:tr>
        <w:trPr>
          <w:cantSplit/>
        </w:trPr>
        <w:tc>
          <w:tcPr>
            <w:tcW w:type="dxa" w:w="244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Editar</w:t>
            </w:r>
          </w:p>
        </w:tc>
        <w:tc>
          <w:tcPr>
            <w:tcW w:type="dxa" w:w="76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“Cambiar respuesta”</w:t>
            </w:r>
          </w:p>
        </w:tc>
      </w:tr>
      <w:tr>
        <w:trPr>
          <w:cantSplit/>
        </w:trPr>
        <w:tc>
          <w:tcPr>
            <w:tcW w:type="dxa" w:w="244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Confirmar</w:t>
            </w:r>
          </w:p>
        </w:tc>
        <w:tc>
          <w:tcPr>
            <w:tcW w:type="dxa" w:w="76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“Confirmar”</w:t>
            </w:r>
          </w:p>
        </w:tc>
      </w:tr>
      <w:tr>
        <w:trPr>
          <w:cantSplit/>
        </w:trPr>
        <w:tc>
          <w:tcPr>
            <w:tcW w:type="dxa" w:w="244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Sin selección</w:t>
            </w:r>
          </w:p>
        </w:tc>
        <w:tc>
          <w:tcPr>
            <w:tcW w:type="dxa" w:w="76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“Selecciona una respuesta para continuar.”</w:t>
            </w:r>
          </w:p>
        </w:tc>
      </w:tr>
      <w:tr>
        <w:trPr>
          <w:cantSplit/>
        </w:trPr>
        <w:tc>
          <w:tcPr>
            <w:tcW w:type="dxa" w:w="244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Malentendido NPC</w:t>
            </w:r>
          </w:p>
        </w:tc>
        <w:tc>
          <w:tcPr>
            <w:tcW w:type="dxa" w:w="76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“¿Te refieres a [X]?”</w:t>
            </w:r>
          </w:p>
        </w:tc>
      </w:tr>
      <w:tr>
        <w:trPr>
          <w:cantSplit/>
        </w:trPr>
        <w:tc>
          <w:tcPr>
            <w:tcW w:type="dxa" w:w="244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Tiempo bajo</w:t>
            </w:r>
          </w:p>
        </w:tc>
        <w:tc>
          <w:tcPr>
            <w:tcW w:type="dxa" w:w="76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“Queda poco tiempo.”</w:t>
            </w:r>
          </w:p>
        </w:tc>
      </w:tr>
      <w:tr>
        <w:trPr>
          <w:cantSplit/>
        </w:trPr>
        <w:tc>
          <w:tcPr>
            <w:tcW w:type="dxa" w:w="244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Outcome correcto neutral</w:t>
            </w:r>
          </w:p>
        </w:tc>
        <w:tc>
          <w:tcPr>
            <w:tcW w:type="dxa" w:w="76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“La operación continúa con el nuevo estado.”</w:t>
            </w:r>
          </w:p>
        </w:tc>
      </w:tr>
      <w:tr>
        <w:trPr>
          <w:cantSplit/>
        </w:trPr>
        <w:tc>
          <w:tcPr>
            <w:tcW w:type="dxa" w:w="244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Outcome fallido neutral</w:t>
            </w:r>
          </w:p>
        </w:tc>
        <w:tc>
          <w:tcPr>
            <w:tcW w:type="dxa" w:w="76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“La acción no resolvió el incidente.”</w:t>
            </w:r>
          </w:p>
        </w:tc>
      </w:tr>
      <w:tr>
        <w:trPr>
          <w:cantSplit/>
        </w:trPr>
        <w:tc>
          <w:tcPr>
            <w:tcW w:type="dxa" w:w="244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Fin</w:t>
            </w:r>
          </w:p>
        </w:tc>
        <w:tc>
          <w:tcPr>
            <w:tcW w:type="dxa" w:w="76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“Simulación finalizada. Tus respuestas fueron registradas correctamente.”</w:t>
            </w:r>
          </w:p>
        </w:tc>
      </w:tr>
    </w:tbl>
    <w:p/>
    <w:p>
      <w:pPr>
        <w:pStyle w:val="Heading2"/>
      </w:pPr>
      <w:r>
        <w:t>15.1. Tono</w:t>
      </w:r>
    </w:p>
    <w:p>
      <w:pPr>
        <w:pStyle w:val="ListBullet"/>
        <w:spacing w:after="40"/>
      </w:pPr>
      <w:r>
        <w:t>Frases cortas y literales.</w:t>
      </w:r>
    </w:p>
    <w:p>
      <w:pPr>
        <w:pStyle w:val="ListBullet"/>
        <w:spacing w:after="40"/>
      </w:pPr>
      <w:r>
        <w:t>Sin humor durante incidentes críticos.</w:t>
      </w:r>
    </w:p>
    <w:p>
      <w:pPr>
        <w:pStyle w:val="ListBullet"/>
        <w:spacing w:after="40"/>
      </w:pPr>
      <w:r>
        <w:t>Evitar jerga corporativa o técnica no explicada.</w:t>
      </w:r>
    </w:p>
    <w:p>
      <w:pPr>
        <w:pStyle w:val="ListBullet"/>
        <w:spacing w:after="40"/>
      </w:pPr>
      <w:r>
        <w:t>No usar “correcto/incorrecto” durante evaluación cuando revele la clave.</w:t>
      </w:r>
    </w:p>
    <w:p>
      <w:pPr>
        <w:pStyle w:val="ListBullet"/>
        <w:spacing w:after="40"/>
      </w:pPr>
      <w:r>
        <w:t>No presentar etiquetas como “buena comunicación” dentro del juego.</w:t>
      </w:r>
    </w:p>
    <w:p>
      <w:pPr>
        <w:pStyle w:val="Heading1"/>
      </w:pPr>
      <w:r>
        <w:t>16. Feedback visual, sonoro y háptico</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18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6"/>
              </w:rPr>
              <w:t>Evento</w:t>
            </w:r>
          </w:p>
        </w:tc>
        <w:tc>
          <w:tcPr>
            <w:tcW w:type="dxa" w:w="504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6"/>
              </w:rPr>
              <w:t>Visual</w:t>
            </w:r>
          </w:p>
        </w:tc>
        <w:tc>
          <w:tcPr>
            <w:tcW w:type="dxa" w:w="316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6"/>
              </w:rPr>
              <w:t>Audio / háptica</w:t>
            </w:r>
          </w:p>
        </w:tc>
      </w:tr>
      <w:tr>
        <w:trPr>
          <w:cantSplit/>
        </w:trPr>
        <w:tc>
          <w:tcPr>
            <w:tcW w:type="dxa" w:w="18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Selección</w:t>
            </w:r>
          </w:p>
        </w:tc>
        <w:tc>
          <w:tcPr>
            <w:tcW w:type="dxa" w:w="504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Borde/acento y check visible.</w:t>
            </w:r>
          </w:p>
        </w:tc>
        <w:tc>
          <w:tcPr>
            <w:tcW w:type="dxa" w:w="316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Click suave opcional.</w:t>
            </w:r>
          </w:p>
        </w:tc>
      </w:tr>
      <w:tr>
        <w:trPr>
          <w:cantSplit/>
        </w:trPr>
        <w:tc>
          <w:tcPr>
            <w:tcW w:type="dxa" w:w="18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Mensaje enviado</w:t>
            </w:r>
          </w:p>
        </w:tc>
        <w:tc>
          <w:tcPr>
            <w:tcW w:type="dxa" w:w="504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Tarjeta se integra al hilo de conversación.</w:t>
            </w:r>
          </w:p>
        </w:tc>
        <w:tc>
          <w:tcPr>
            <w:tcW w:type="dxa" w:w="316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Tono corto.</w:t>
            </w:r>
          </w:p>
        </w:tc>
      </w:tr>
      <w:tr>
        <w:trPr>
          <w:cantSplit/>
        </w:trPr>
        <w:tc>
          <w:tcPr>
            <w:tcW w:type="dxa" w:w="18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Dato nuevo</w:t>
            </w:r>
          </w:p>
        </w:tc>
        <w:tc>
          <w:tcPr>
            <w:tcW w:type="dxa" w:w="504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Info Card actualizada con etiqueta “Nuevo”.</w:t>
            </w:r>
          </w:p>
        </w:tc>
        <w:tc>
          <w:tcPr>
            <w:tcW w:type="dxa" w:w="316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Tono sutil opcional.</w:t>
            </w:r>
          </w:p>
        </w:tc>
      </w:tr>
      <w:tr>
        <w:trPr>
          <w:cantSplit/>
        </w:trPr>
        <w:tc>
          <w:tcPr>
            <w:tcW w:type="dxa" w:w="18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Malentendido</w:t>
            </w:r>
          </w:p>
        </w:tc>
        <w:tc>
          <w:tcPr>
            <w:tcW w:type="dxa" w:w="504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Burbuja NPC con icono de duda; sin rojo de “error”.</w:t>
            </w:r>
          </w:p>
        </w:tc>
        <w:tc>
          <w:tcPr>
            <w:tcW w:type="dxa" w:w="316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Tono neutro.</w:t>
            </w:r>
          </w:p>
        </w:tc>
      </w:tr>
      <w:tr>
        <w:trPr>
          <w:cantSplit/>
        </w:trPr>
        <w:tc>
          <w:tcPr>
            <w:tcW w:type="dxa" w:w="18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Confirmación</w:t>
            </w:r>
          </w:p>
        </w:tc>
        <w:tc>
          <w:tcPr>
            <w:tcW w:type="dxa" w:w="504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Estado de sistema cambia y check de recepción.</w:t>
            </w:r>
          </w:p>
        </w:tc>
        <w:tc>
          <w:tcPr>
            <w:tcW w:type="dxa" w:w="316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Chime breve.</w:t>
            </w:r>
          </w:p>
        </w:tc>
      </w:tr>
      <w:tr>
        <w:trPr>
          <w:cantSplit/>
        </w:trPr>
        <w:tc>
          <w:tcPr>
            <w:tcW w:type="dxa" w:w="18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Tiempo crítico</w:t>
            </w:r>
          </w:p>
        </w:tc>
        <w:tc>
          <w:tcPr>
            <w:tcW w:type="dxa" w:w="504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Timer enfatizado; borde HUD pulsa suavemente.</w:t>
            </w:r>
          </w:p>
        </w:tc>
        <w:tc>
          <w:tcPr>
            <w:tcW w:type="dxa" w:w="316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Pulso opcional; vibración breve si está disponible y habilitada.</w:t>
            </w:r>
          </w:p>
        </w:tc>
      </w:tr>
      <w:tr>
        <w:trPr>
          <w:cantSplit/>
        </w:trPr>
        <w:tc>
          <w:tcPr>
            <w:tcW w:type="dxa" w:w="18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Fallo técnico</w:t>
            </w:r>
          </w:p>
        </w:tc>
        <w:tc>
          <w:tcPr>
            <w:tcW w:type="dxa" w:w="504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Modal independiente del outcome.</w:t>
            </w:r>
          </w:p>
        </w:tc>
        <w:tc>
          <w:tcPr>
            <w:tcW w:type="dxa" w:w="316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Sin sonido de penalización.</w:t>
            </w:r>
          </w:p>
        </w:tc>
      </w:tr>
    </w:tbl>
    <w:p/>
    <w:p>
      <w:pPr>
        <w:pStyle w:val="Heading1"/>
      </w:pPr>
      <w:r>
        <w:t>17. Dirección visual y sistema de diseño</w:t>
      </w:r>
    </w:p>
    <w:p>
      <w:pPr>
        <w:spacing w:after="120"/>
      </w:pPr>
      <w:r>
        <w:rPr>
          <w:i w:val="0"/>
        </w:rPr>
        <w:t>Estética recomendada: centro de operaciones contemporáneo, 2D, sobrio y legible. No necesita simular una cabina real. El lenguaje visual puede apoyarse en tarjetas, indicadores y diagramas planos.</w:t>
      </w:r>
    </w:p>
    <w:tbl>
      <w:tblPr>
        <w:tblStyle w:val="TableGrid"/>
        <w:tblW w:type="auto" w:w="0"/>
        <w:jc w:val="center"/>
        <w:tblLayout w:type="autofit"/>
        <w:tblLook w:firstColumn="1" w:firstRow="1" w:lastColumn="0" w:lastRow="0" w:noHBand="0" w:noVBand="1" w:val="04A0"/>
      </w:tblPr>
      <w:tblGrid>
        <w:gridCol w:w="5083"/>
        <w:gridCol w:w="5083"/>
      </w:tblGrid>
      <w:tr>
        <w:trPr>
          <w:cantSplit/>
          <w:tblHeader w:val="true"/>
        </w:trPr>
        <w:tc>
          <w:tcPr>
            <w:tcW w:type="dxa" w:w="244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Token / elemento</w:t>
            </w:r>
          </w:p>
        </w:tc>
        <w:tc>
          <w:tcPr>
            <w:tcW w:type="dxa" w:w="76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Especificación</w:t>
            </w:r>
          </w:p>
        </w:tc>
      </w:tr>
      <w:tr>
        <w:trPr>
          <w:cantSplit/>
        </w:trPr>
        <w:tc>
          <w:tcPr>
            <w:tcW w:type="dxa" w:w="244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Fondo</w:t>
            </w:r>
          </w:p>
        </w:tc>
        <w:tc>
          <w:tcPr>
            <w:tcW w:type="dxa" w:w="76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Neutro oscuro o claro según sistema KRUMM; contraste alto.</w:t>
            </w:r>
          </w:p>
        </w:tc>
      </w:tr>
      <w:tr>
        <w:trPr>
          <w:cantSplit/>
        </w:trPr>
        <w:tc>
          <w:tcPr>
            <w:tcW w:type="dxa" w:w="244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Paneles</w:t>
            </w:r>
          </w:p>
        </w:tc>
        <w:tc>
          <w:tcPr>
            <w:tcW w:type="dxa" w:w="76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Superficies planas con bordes suaves; evitar transparencias costosas.</w:t>
            </w:r>
          </w:p>
        </w:tc>
      </w:tr>
      <w:tr>
        <w:trPr>
          <w:cantSplit/>
        </w:trPr>
        <w:tc>
          <w:tcPr>
            <w:tcW w:type="dxa" w:w="244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Acento</w:t>
            </w:r>
          </w:p>
        </w:tc>
        <w:tc>
          <w:tcPr>
            <w:tcW w:type="dxa" w:w="76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Usar color de marca para selección/CTA, no para codificar respuestas correctas.</w:t>
            </w:r>
          </w:p>
        </w:tc>
      </w:tr>
      <w:tr>
        <w:trPr>
          <w:cantSplit/>
        </w:trPr>
        <w:tc>
          <w:tcPr>
            <w:tcW w:type="dxa" w:w="244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Critical data</w:t>
            </w:r>
          </w:p>
        </w:tc>
        <w:tc>
          <w:tcPr>
            <w:tcW w:type="dxa" w:w="76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Etiqueta + icono + énfasis tipográfico; nunca solo color.</w:t>
            </w:r>
          </w:p>
        </w:tc>
      </w:tr>
      <w:tr>
        <w:trPr>
          <w:cantSplit/>
        </w:trPr>
        <w:tc>
          <w:tcPr>
            <w:tcW w:type="dxa" w:w="244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Tipografía</w:t>
            </w:r>
          </w:p>
        </w:tc>
        <w:tc>
          <w:tcPr>
            <w:tcW w:type="dxa" w:w="76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Sans legible; 16 px mínimo en móvil para contenido principal.</w:t>
            </w:r>
          </w:p>
        </w:tc>
      </w:tr>
      <w:tr>
        <w:trPr>
          <w:cantSplit/>
        </w:trPr>
        <w:tc>
          <w:tcPr>
            <w:tcW w:type="dxa" w:w="244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Avatar NPC</w:t>
            </w:r>
          </w:p>
        </w:tc>
        <w:tc>
          <w:tcPr>
            <w:tcW w:type="dxa" w:w="76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Ilustración/ícono simple; 3-5 roles reutilizables.</w:t>
            </w:r>
          </w:p>
        </w:tc>
      </w:tr>
      <w:tr>
        <w:trPr>
          <w:cantSplit/>
        </w:trPr>
        <w:tc>
          <w:tcPr>
            <w:tcW w:type="dxa" w:w="244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Animaciones</w:t>
            </w:r>
          </w:p>
        </w:tc>
        <w:tc>
          <w:tcPr>
            <w:tcW w:type="dxa" w:w="76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Transform/opacity; 120-300 ms normalmente.</w:t>
            </w:r>
          </w:p>
        </w:tc>
      </w:tr>
      <w:tr>
        <w:trPr>
          <w:cantSplit/>
        </w:trPr>
        <w:tc>
          <w:tcPr>
            <w:tcW w:type="dxa" w:w="244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Iconografía</w:t>
            </w:r>
          </w:p>
        </w:tc>
        <w:tc>
          <w:tcPr>
            <w:tcW w:type="dxa" w:w="76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SVG liviano, estilo consistente.</w:t>
            </w:r>
          </w:p>
        </w:tc>
      </w:tr>
    </w:tbl>
    <w:p/>
    <w:p>
      <w:pPr>
        <w:pStyle w:val="Heading1"/>
      </w:pPr>
      <w:r>
        <w:t>18. Accesibilidad y diseño inclusivo</w:t>
      </w:r>
    </w:p>
    <w:p>
      <w:pPr>
        <w:pStyle w:val="ListBullet"/>
        <w:spacing w:after="40"/>
      </w:pPr>
      <w:r>
        <w:t>Targets táctiles cercanos o superiores a 44×44 CSS px.</w:t>
      </w:r>
    </w:p>
    <w:p>
      <w:pPr>
        <w:pStyle w:val="ListBullet"/>
        <w:spacing w:after="40"/>
      </w:pPr>
      <w:r>
        <w:t>Texto principal mínimo 16 px en móvil y contraste suficiente.</w:t>
      </w:r>
    </w:p>
    <w:p>
      <w:pPr>
        <w:pStyle w:val="ListBullet"/>
        <w:spacing w:after="40"/>
      </w:pPr>
      <w:r>
        <w:t>No depender de rojo/verde; combinar color con texto e iconos.</w:t>
      </w:r>
    </w:p>
    <w:p>
      <w:pPr>
        <w:pStyle w:val="ListBullet"/>
        <w:spacing w:after="40"/>
      </w:pPr>
      <w:r>
        <w:t>Drag siempre acompañado de alternativa por botones.</w:t>
      </w:r>
    </w:p>
    <w:p>
      <w:pPr>
        <w:pStyle w:val="ListBullet"/>
        <w:spacing w:after="40"/>
      </w:pPr>
      <w:r>
        <w:t>Animaciones respetan preferencia de movimiento reducido cuando sea posible.</w:t>
      </w:r>
    </w:p>
    <w:p>
      <w:pPr>
        <w:pStyle w:val="ListBullet"/>
        <w:spacing w:after="40"/>
      </w:pPr>
      <w:r>
        <w:t>Audio opcional y redundante con señales visuales.</w:t>
      </w:r>
    </w:p>
    <w:p>
      <w:pPr>
        <w:pStyle w:val="ListBullet"/>
        <w:spacing w:after="40"/>
      </w:pPr>
      <w:r>
        <w:t>Ninguna información esencial aparece solo durante un intervalo demasiado breve.</w:t>
      </w:r>
    </w:p>
    <w:p>
      <w:pPr>
        <w:pStyle w:val="ListBullet"/>
        <w:spacing w:after="40"/>
      </w:pPr>
      <w:r>
        <w:t>El avatar no transmite información evaluativa mediante expresión facial que pueda ser culturalmente ambigua.</w:t>
      </w:r>
    </w:p>
    <w:p>
      <w:pPr>
        <w:pStyle w:val="ListBullet"/>
        <w:spacing w:after="40"/>
      </w:pPr>
      <w:r>
        <w:t>El contenido debe ser localizable sin modificar tags de scoring.</w:t>
      </w:r>
    </w:p>
    <w:p>
      <w:pPr>
        <w:pStyle w:val="Heading1"/>
      </w:pPr>
      <w:r>
        <w:t>19. Analítica de experiencia</w:t>
      </w:r>
    </w:p>
    <w:tbl>
      <w:tblPr>
        <w:tblStyle w:val="TableGrid"/>
        <w:tblW w:type="auto" w:w="0"/>
        <w:jc w:val="center"/>
        <w:tblLayout w:type="autofit"/>
        <w:tblLook w:firstColumn="1" w:firstRow="1" w:lastColumn="0" w:lastRow="0" w:noHBand="0" w:noVBand="1" w:val="04A0"/>
      </w:tblPr>
      <w:tblGrid>
        <w:gridCol w:w="5083"/>
        <w:gridCol w:w="5083"/>
      </w:tblGrid>
      <w:tr>
        <w:trPr>
          <w:cantSplit/>
          <w:tblHeader w:val="true"/>
        </w:trPr>
        <w:tc>
          <w:tcPr>
            <w:tcW w:type="dxa" w:w="489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Pregunta UX</w:t>
            </w:r>
          </w:p>
        </w:tc>
        <w:tc>
          <w:tcPr>
            <w:tcW w:type="dxa" w:w="518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Eventos / métrica</w:t>
            </w:r>
          </w:p>
        </w:tc>
      </w:tr>
      <w:tr>
        <w:trPr>
          <w:cantSplit/>
        </w:trPr>
        <w:tc>
          <w:tcPr>
            <w:tcW w:type="dxa" w:w="489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¿Las personas entienden que pueden preguntar?</w:t>
            </w:r>
          </w:p>
        </w:tc>
        <w:tc>
          <w:tcPr>
            <w:tcW w:type="dxa" w:w="518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Uso de ASK en tutorial y primer escenario de indagación.</w:t>
            </w:r>
          </w:p>
        </w:tc>
      </w:tr>
      <w:tr>
        <w:trPr>
          <w:cantSplit/>
        </w:trPr>
        <w:tc>
          <w:tcPr>
            <w:tcW w:type="dxa" w:w="489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¿Las tarjetas generan dudas de selección?</w:t>
            </w:r>
          </w:p>
        </w:tc>
        <w:tc>
          <w:tcPr>
            <w:tcW w:type="dxa" w:w="518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select→deselect, cambios antes de enviar, latency.</w:t>
            </w:r>
          </w:p>
        </w:tc>
      </w:tr>
      <w:tr>
        <w:trPr>
          <w:cantSplit/>
        </w:trPr>
        <w:tc>
          <w:tcPr>
            <w:tcW w:type="dxa" w:w="489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¿El compositor móvil es usable?</w:t>
            </w:r>
          </w:p>
        </w:tc>
        <w:tc>
          <w:tcPr>
            <w:tcW w:type="dxa" w:w="518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reorder_count, accidental_remove, abandonos por viewport.</w:t>
            </w:r>
          </w:p>
        </w:tc>
      </w:tr>
      <w:tr>
        <w:trPr>
          <w:cantSplit/>
        </w:trPr>
        <w:tc>
          <w:tcPr>
            <w:tcW w:type="dxa" w:w="489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¿El NPC se entiende?</w:t>
            </w:r>
          </w:p>
        </w:tc>
        <w:tc>
          <w:tcPr>
            <w:tcW w:type="dxa" w:w="518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receptive errors y taps de avance anómalos.</w:t>
            </w:r>
          </w:p>
        </w:tc>
      </w:tr>
      <w:tr>
        <w:trPr>
          <w:cantSplit/>
        </w:trPr>
        <w:tc>
          <w:tcPr>
            <w:tcW w:type="dxa" w:w="489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¿La presión temporal es excesiva?</w:t>
            </w:r>
          </w:p>
        </w:tc>
        <w:tc>
          <w:tcPr>
            <w:tcW w:type="dxa" w:w="518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timeouts + precisión + device_class.</w:t>
            </w:r>
          </w:p>
        </w:tc>
      </w:tr>
      <w:tr>
        <w:trPr>
          <w:cantSplit/>
        </w:trPr>
        <w:tc>
          <w:tcPr>
            <w:tcW w:type="dxa" w:w="489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¿Hay equivalencia touch/mouse?</w:t>
            </w:r>
          </w:p>
        </w:tc>
        <w:tc>
          <w:tcPr>
            <w:tcW w:type="dxa" w:w="518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comparación de métricas operativas y errores UI por input.</w:t>
            </w:r>
          </w:p>
        </w:tc>
      </w:tr>
    </w:tbl>
    <w:p/>
    <w:p>
      <w:pPr>
        <w:pStyle w:val="Heading1"/>
      </w:pPr>
      <w:r>
        <w:t>20. Estados de error y recuperación</w:t>
      </w:r>
    </w:p>
    <w:p>
      <w:pPr>
        <w:pStyle w:val="Heading2"/>
      </w:pPr>
      <w:r>
        <w:t>20.1. Error evaluativo del usuario</w:t>
      </w:r>
    </w:p>
    <w:p>
      <w:pPr>
        <w:spacing w:after="120"/>
      </w:pPr>
      <w:r>
        <w:rPr>
          <w:i w:val="0"/>
        </w:rPr>
        <w:t>Se representa como consecuencia narrativa del incidente. El sistema no abre un modal de “respuesta incorrecta”. Ejemplo: “El operador reinició antes de cerrar V3; la alarma continúa activa.”</w:t>
      </w:r>
    </w:p>
    <w:p>
      <w:pPr>
        <w:pStyle w:val="Heading2"/>
      </w:pPr>
      <w:r>
        <w:t>20.2. Error técnico</w:t>
      </w:r>
    </w:p>
    <w:tbl>
      <w:tblPr>
        <w:tblStyle w:val="TableGrid"/>
        <w:tblW w:type="auto" w:w="0"/>
        <w:jc w:val="center"/>
        <w:tblLayout w:type="autofit"/>
        <w:tblLook w:firstColumn="1" w:firstRow="1" w:lastColumn="0" w:lastRow="0" w:noHBand="0" w:noVBand="1" w:val="04A0"/>
      </w:tblPr>
      <w:tblGrid>
        <w:gridCol w:w="5083"/>
        <w:gridCol w:w="5083"/>
      </w:tblGrid>
      <w:tr>
        <w:trPr>
          <w:cantSplit/>
          <w:tblHeader w:val="true"/>
        </w:trPr>
        <w:tc>
          <w:tcPr>
            <w:tcW w:type="dxa" w:w="288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Error</w:t>
            </w:r>
          </w:p>
        </w:tc>
        <w:tc>
          <w:tcPr>
            <w:tcW w:type="dxa" w:w="720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Comportamiento</w:t>
            </w:r>
          </w:p>
        </w:tc>
      </w:tr>
      <w:tr>
        <w:trPr>
          <w:cantSplit/>
        </w:trPr>
        <w:tc>
          <w:tcPr>
            <w:tcW w:type="dxa" w:w="288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Fallo de asset</w:t>
            </w:r>
          </w:p>
        </w:tc>
        <w:tc>
          <w:tcPr>
            <w:tcW w:type="dxa" w:w="720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Usar placeholder funcional; si afecta interpretación, invalidar escenario.</w:t>
            </w:r>
          </w:p>
        </w:tc>
      </w:tr>
      <w:tr>
        <w:trPr>
          <w:cantSplit/>
        </w:trPr>
        <w:tc>
          <w:tcPr>
            <w:tcW w:type="dxa" w:w="288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Pérdida de conexión</w:t>
            </w:r>
          </w:p>
        </w:tc>
        <w:tc>
          <w:tcPr>
            <w:tcW w:type="dxa" w:w="720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Mantener estado local y reintentar telemetría; no bloquear decisiones ya cargadas.</w:t>
            </w:r>
          </w:p>
        </w:tc>
      </w:tr>
      <w:tr>
        <w:trPr>
          <w:cantSplit/>
        </w:trPr>
        <w:tc>
          <w:tcPr>
            <w:tcW w:type="dxa" w:w="288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Rotación/cambio viewport</w:t>
            </w:r>
          </w:p>
        </w:tc>
        <w:tc>
          <w:tcPr>
            <w:tcW w:type="dxa" w:w="720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Reflow sin reiniciar escenario.</w:t>
            </w:r>
          </w:p>
        </w:tc>
      </w:tr>
      <w:tr>
        <w:trPr>
          <w:cantSplit/>
        </w:trPr>
        <w:tc>
          <w:tcPr>
            <w:tcW w:type="dxa" w:w="288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Doble tap en Enviar</w:t>
            </w:r>
          </w:p>
        </w:tc>
        <w:tc>
          <w:tcPr>
            <w:tcW w:type="dxa" w:w="720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Debounce; registrar un solo MESSAGE_SEND.</w:t>
            </w:r>
          </w:p>
        </w:tc>
      </w:tr>
      <w:tr>
        <w:trPr>
          <w:cantSplit/>
        </w:trPr>
        <w:tc>
          <w:tcPr>
            <w:tcW w:type="dxa" w:w="288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Evento sin nodo válido</w:t>
            </w:r>
          </w:p>
        </w:tc>
        <w:tc>
          <w:tcPr>
            <w:tcW w:type="dxa" w:w="720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Detener escenario y marcar technical_error; no asignar score.</w:t>
            </w:r>
          </w:p>
        </w:tc>
      </w:tr>
      <w:tr>
        <w:trPr>
          <w:cantSplit/>
        </w:trPr>
        <w:tc>
          <w:tcPr>
            <w:tcW w:type="dxa" w:w="288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Reanudación larga</w:t>
            </w:r>
          </w:p>
        </w:tc>
        <w:tc>
          <w:tcPr>
            <w:tcW w:type="dxa" w:w="720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Aplicar política de resume; nunca ocultar que la sesión fue interrumpida en flags.</w:t>
            </w:r>
          </w:p>
        </w:tc>
      </w:tr>
    </w:tbl>
    <w:p/>
    <w:p>
      <w:pPr>
        <w:pStyle w:val="Heading1"/>
      </w:pPr>
      <w:r>
        <w:t>21. Casos límite de UI</w:t>
      </w:r>
    </w:p>
    <w:p>
      <w:pPr>
        <w:pStyle w:val="ListBullet"/>
        <w:spacing w:after="40"/>
      </w:pPr>
      <w:r>
        <w:t>Mensaje NPC de dos líneas vs. seis líneas: el layout debe crecer sin cubrir respuestas.</w:t>
      </w:r>
    </w:p>
    <w:p>
      <w:pPr>
        <w:pStyle w:val="ListBullet"/>
        <w:spacing w:after="40"/>
      </w:pPr>
      <w:r>
        <w:t>Texto localizado 30% más largo: tarjetas deben envolver y mantener target completo.</w:t>
      </w:r>
    </w:p>
    <w:p>
      <w:pPr>
        <w:pStyle w:val="ListBullet"/>
        <w:spacing w:after="40"/>
      </w:pPr>
      <w:r>
        <w:t>Viewport 320 px: una sola columna, CTA visible después de opciones, sin recorte.</w:t>
      </w:r>
    </w:p>
    <w:p>
      <w:pPr>
        <w:pStyle w:val="ListBullet"/>
        <w:spacing w:after="40"/>
      </w:pPr>
      <w:r>
        <w:t>Tablet landscape con notch/safe area: no colocar controles críticos en bordes inseguros.</w:t>
      </w:r>
    </w:p>
    <w:p>
      <w:pPr>
        <w:pStyle w:val="ListBullet"/>
        <w:spacing w:after="40"/>
      </w:pPr>
      <w:r>
        <w:t>Usuario selecciona una tarjeta y gira el dispositivo: selección persiste.</w:t>
      </w:r>
    </w:p>
    <w:p>
      <w:pPr>
        <w:pStyle w:val="ListBullet"/>
        <w:spacing w:after="40"/>
      </w:pPr>
      <w:r>
        <w:t>Usuario construye mensaje con 6 bloques: compositor puede envolver en dos filas sin scroll horizontal.</w:t>
      </w:r>
    </w:p>
    <w:p>
      <w:pPr>
        <w:pStyle w:val="ListBullet"/>
        <w:spacing w:after="40"/>
      </w:pPr>
      <w:r>
        <w:t>Distractor count alto: panel de datos usa agrupación visual, no mini-font.</w:t>
      </w:r>
    </w:p>
    <w:p>
      <w:pPr>
        <w:pStyle w:val="ListBullet"/>
        <w:spacing w:after="40"/>
      </w:pPr>
      <w:r>
        <w:t>Timer desactivado: no dejar hueco prominente en header.</w:t>
      </w:r>
    </w:p>
    <w:p>
      <w:pPr>
        <w:pStyle w:val="ListBullet"/>
        <w:spacing w:after="40"/>
      </w:pPr>
      <w:r>
        <w:t>Audio bloqueado por navegador: experiencia permanece completa visualmente.</w:t>
      </w:r>
    </w:p>
    <w:p>
      <w:pPr>
        <w:pStyle w:val="Heading1"/>
      </w:pPr>
      <w:r>
        <w:t>22. QA visual y Definition of Done</w:t>
      </w:r>
    </w:p>
    <w:tbl>
      <w:tblPr>
        <w:tblStyle w:val="TableGrid"/>
        <w:tblW w:type="auto" w:w="0"/>
        <w:jc w:val="center"/>
        <w:tblLayout w:type="autofit"/>
        <w:tblLook w:firstColumn="1" w:firstRow="1" w:lastColumn="0" w:lastRow="0" w:noHBand="0" w:noVBand="1" w:val="04A0"/>
      </w:tblPr>
      <w:tblGrid>
        <w:gridCol w:w="5083"/>
        <w:gridCol w:w="5083"/>
      </w:tblGrid>
      <w:tr>
        <w:trPr>
          <w:cantSplit/>
          <w:tblHeader w:val="true"/>
        </w:trPr>
        <w:tc>
          <w:tcPr>
            <w:tcW w:type="dxa" w:w="216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Área</w:t>
            </w:r>
          </w:p>
        </w:tc>
        <w:tc>
          <w:tcPr>
            <w:tcW w:type="dxa" w:w="79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Criterio de aceptación</w:t>
            </w:r>
          </w:p>
        </w:tc>
      </w:tr>
      <w:tr>
        <w:trPr>
          <w:cantSplit/>
        </w:trPr>
        <w:tc>
          <w:tcPr>
            <w:tcW w:type="dxa" w:w="216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Desktop</w:t>
            </w:r>
          </w:p>
        </w:tc>
        <w:tc>
          <w:tcPr>
            <w:tcW w:type="dxa" w:w="79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Sin solapamientos a 1280×720 y 1366×768.</w:t>
            </w:r>
          </w:p>
        </w:tc>
      </w:tr>
      <w:tr>
        <w:trPr>
          <w:cantSplit/>
        </w:trPr>
        <w:tc>
          <w:tcPr>
            <w:tcW w:type="dxa" w:w="216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Tablet</w:t>
            </w:r>
          </w:p>
        </w:tc>
        <w:tc>
          <w:tcPr>
            <w:tcW w:type="dxa" w:w="79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Operable en portrait/landscape; todos los targets touch accesibles.</w:t>
            </w:r>
          </w:p>
        </w:tc>
      </w:tr>
      <w:tr>
        <w:trPr>
          <w:cantSplit/>
        </w:trPr>
        <w:tc>
          <w:tcPr>
            <w:tcW w:type="dxa" w:w="216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Mobile</w:t>
            </w:r>
          </w:p>
        </w:tc>
        <w:tc>
          <w:tcPr>
            <w:tcW w:type="dxa" w:w="79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320-430 px sin scroll horizontal; copy completo visible.</w:t>
            </w:r>
          </w:p>
        </w:tc>
      </w:tr>
      <w:tr>
        <w:trPr>
          <w:cantSplit/>
        </w:trPr>
        <w:tc>
          <w:tcPr>
            <w:tcW w:type="dxa" w:w="216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Mouse/touch</w:t>
            </w:r>
          </w:p>
        </w:tc>
        <w:tc>
          <w:tcPr>
            <w:tcW w:type="dxa" w:w="79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Mismas acciones y mismo score semántico.</w:t>
            </w:r>
          </w:p>
        </w:tc>
      </w:tr>
      <w:tr>
        <w:trPr>
          <w:cantSplit/>
        </w:trPr>
        <w:tc>
          <w:tcPr>
            <w:tcW w:type="dxa" w:w="216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Composer</w:t>
            </w:r>
          </w:p>
        </w:tc>
        <w:tc>
          <w:tcPr>
            <w:tcW w:type="dxa" w:w="79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Tap, reorder alternativo, remove, undo y send funcionan.</w:t>
            </w:r>
          </w:p>
        </w:tc>
      </w:tr>
      <w:tr>
        <w:trPr>
          <w:cantSplit/>
        </w:trPr>
        <w:tc>
          <w:tcPr>
            <w:tcW w:type="dxa" w:w="216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Estados</w:t>
            </w:r>
          </w:p>
        </w:tc>
        <w:tc>
          <w:tcPr>
            <w:tcW w:type="dxa" w:w="79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Selected/disabled/critical/error técnico distinguibles.</w:t>
            </w:r>
          </w:p>
        </w:tc>
      </w:tr>
      <w:tr>
        <w:trPr>
          <w:cantSplit/>
        </w:trPr>
        <w:tc>
          <w:tcPr>
            <w:tcW w:type="dxa" w:w="216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Accesibilidad</w:t>
            </w:r>
          </w:p>
        </w:tc>
        <w:tc>
          <w:tcPr>
            <w:tcW w:type="dxa" w:w="79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No hay información solo por hover, color o audio.</w:t>
            </w:r>
          </w:p>
        </w:tc>
      </w:tr>
      <w:tr>
        <w:trPr>
          <w:cantSplit/>
        </w:trPr>
        <w:tc>
          <w:tcPr>
            <w:tcW w:type="dxa" w:w="216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Performance</w:t>
            </w:r>
          </w:p>
        </w:tc>
        <w:tc>
          <w:tcPr>
            <w:tcW w:type="dxa" w:w="79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Animaciones estables y sin assets pesados innecesarios.</w:t>
            </w:r>
          </w:p>
        </w:tc>
      </w:tr>
      <w:tr>
        <w:trPr>
          <w:cantSplit/>
        </w:trPr>
        <w:tc>
          <w:tcPr>
            <w:tcW w:type="dxa" w:w="216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Telemetría</w:t>
            </w:r>
          </w:p>
        </w:tc>
        <w:tc>
          <w:tcPr>
            <w:tcW w:type="dxa" w:w="79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Cada envío produce un solo evento y conserva tags correctos.</w:t>
            </w:r>
          </w:p>
        </w:tc>
      </w:tr>
      <w:tr>
        <w:trPr>
          <w:cantSplit/>
        </w:trPr>
        <w:tc>
          <w:tcPr>
            <w:tcW w:type="dxa" w:w="216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Copy</w:t>
            </w:r>
          </w:p>
        </w:tc>
        <w:tc>
          <w:tcPr>
            <w:tcW w:type="dxa" w:w="79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Sin placeholders, lorem ipsum ni lenguaje que revele la respuesta.</w:t>
            </w:r>
          </w:p>
        </w:tc>
      </w:tr>
    </w:tbl>
    <w:p/>
    <w:p>
      <w:pPr>
        <w:pStyle w:val="Heading2"/>
      </w:pPr>
      <w:r>
        <w:t>22.1. Checklist por escenario</w:t>
      </w:r>
    </w:p>
    <w:p>
      <w:pPr>
        <w:pStyle w:val="ListBullet"/>
        <w:spacing w:after="40"/>
      </w:pPr>
      <w:r>
        <w:t>Objetivo comunicativo definido.</w:t>
      </w:r>
    </w:p>
    <w:p>
      <w:pPr>
        <w:pStyle w:val="ListBullet"/>
        <w:spacing w:after="40"/>
      </w:pPr>
      <w:r>
        <w:t>Hechos críticos y distractores etiquetados.</w:t>
      </w:r>
    </w:p>
    <w:p>
      <w:pPr>
        <w:pStyle w:val="ListBullet"/>
        <w:spacing w:after="40"/>
      </w:pPr>
      <w:r>
        <w:t>Opción óptima y alternativas plausibles revisadas.</w:t>
      </w:r>
    </w:p>
    <w:p>
      <w:pPr>
        <w:pStyle w:val="ListBullet"/>
        <w:spacing w:after="40"/>
      </w:pPr>
      <w:r>
        <w:t>Nodo NPC determinista configurado.</w:t>
      </w:r>
    </w:p>
    <w:p>
      <w:pPr>
        <w:pStyle w:val="ListBullet"/>
        <w:spacing w:after="40"/>
      </w:pPr>
      <w:r>
        <w:t>Resultado narrativo neutral.</w:t>
      </w:r>
    </w:p>
    <w:p>
      <w:pPr>
        <w:pStyle w:val="ListBullet"/>
        <w:spacing w:after="40"/>
      </w:pPr>
      <w:r>
        <w:t>Copy probado en móvil.</w:t>
      </w:r>
    </w:p>
    <w:p>
      <w:pPr>
        <w:pStyle w:val="ListBullet"/>
        <w:spacing w:after="40"/>
      </w:pPr>
      <w:r>
        <w:t>Eventos esperados documentados.</w:t>
      </w:r>
    </w:p>
    <w:p>
      <w:pPr>
        <w:pStyle w:val="ListBullet"/>
        <w:spacing w:after="40"/>
      </w:pPr>
      <w:r>
        <w:t>Criterio de score trazable.</w:t>
      </w:r>
    </w:p>
    <w:p>
      <w:pPr>
        <w:pStyle w:val="Heading1"/>
      </w:pPr>
      <w:r>
        <w:t>23. Extensiones futuras</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230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Extensión</w:t>
            </w:r>
          </w:p>
        </w:tc>
        <w:tc>
          <w:tcPr>
            <w:tcW w:type="dxa" w:w="43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Valor potencial</w:t>
            </w:r>
          </w:p>
        </w:tc>
        <w:tc>
          <w:tcPr>
            <w:tcW w:type="dxa" w:w="345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Condición previa</w:t>
            </w:r>
          </w:p>
        </w:tc>
      </w:tr>
      <w:tr>
        <w:trPr>
          <w:cantSplit/>
        </w:trPr>
        <w:tc>
          <w:tcPr>
            <w:tcW w:type="dxa" w:w="230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Texto libre</w:t>
            </w:r>
          </w:p>
        </w:tc>
        <w:tc>
          <w:tcPr>
            <w:tcW w:type="dxa" w:w="43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Analizar formulación espontánea.</w:t>
            </w:r>
          </w:p>
        </w:tc>
        <w:tc>
          <w:tcPr>
            <w:tcW w:type="dxa" w:w="345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Modelo validado + NLP + revisión de sesgo.</w:t>
            </w:r>
          </w:p>
        </w:tc>
      </w:tr>
      <w:tr>
        <w:trPr>
          <w:cantSplit/>
        </w:trPr>
        <w:tc>
          <w:tcPr>
            <w:tcW w:type="dxa" w:w="230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Voz</w:t>
            </w:r>
          </w:p>
        </w:tc>
        <w:tc>
          <w:tcPr>
            <w:tcW w:type="dxa" w:w="43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Prosodia y comunicación oral.</w:t>
            </w:r>
          </w:p>
        </w:tc>
        <w:tc>
          <w:tcPr>
            <w:tcW w:type="dxa" w:w="345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Permisos, privacidad, hardware y equidad resueltos.</w:t>
            </w:r>
          </w:p>
        </w:tc>
      </w:tr>
      <w:tr>
        <w:trPr>
          <w:cantSplit/>
        </w:trPr>
        <w:tc>
          <w:tcPr>
            <w:tcW w:type="dxa" w:w="230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NPC generativo</w:t>
            </w:r>
          </w:p>
        </w:tc>
        <w:tc>
          <w:tcPr>
            <w:tcW w:type="dxa" w:w="43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Conversación más abierta.</w:t>
            </w:r>
          </w:p>
        </w:tc>
        <w:tc>
          <w:tcPr>
            <w:tcW w:type="dxa" w:w="345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Guardrails y scoring reproducible.</w:t>
            </w:r>
          </w:p>
        </w:tc>
      </w:tr>
      <w:tr>
        <w:trPr>
          <w:cantSplit/>
        </w:trPr>
        <w:tc>
          <w:tcPr>
            <w:tcW w:type="dxa" w:w="230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Modo colaborativo real</w:t>
            </w:r>
          </w:p>
        </w:tc>
        <w:tc>
          <w:tcPr>
            <w:tcW w:type="dxa" w:w="43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Dos candidatos coordinan.</w:t>
            </w:r>
          </w:p>
        </w:tc>
        <w:tc>
          <w:tcPr>
            <w:tcW w:type="dxa" w:w="345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Sincronización y modelo de scoring grupal.</w:t>
            </w:r>
          </w:p>
        </w:tc>
      </w:tr>
      <w:tr>
        <w:trPr>
          <w:cantSplit/>
        </w:trPr>
        <w:tc>
          <w:tcPr>
            <w:tcW w:type="dxa" w:w="230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Escenarios por industria</w:t>
            </w:r>
          </w:p>
        </w:tc>
        <w:tc>
          <w:tcPr>
            <w:tcW w:type="dxa" w:w="43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Mayor realismo comercial.</w:t>
            </w:r>
          </w:p>
        </w:tc>
        <w:tc>
          <w:tcPr>
            <w:tcW w:type="dxa" w:w="345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Evitar conocimiento técnico como ventaja injusta.</w:t>
            </w:r>
          </w:p>
        </w:tc>
      </w:tr>
      <w:tr>
        <w:trPr>
          <w:cantSplit/>
        </w:trPr>
        <w:tc>
          <w:tcPr>
            <w:tcW w:type="dxa" w:w="230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Adaptación dinámica</w:t>
            </w:r>
          </w:p>
        </w:tc>
        <w:tc>
          <w:tcPr>
            <w:tcW w:type="dxa" w:w="43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Ajustar dificultad por desempeño.</w:t>
            </w:r>
          </w:p>
        </w:tc>
        <w:tc>
          <w:tcPr>
            <w:tcW w:type="dxa" w:w="345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Calibración psicométrica y reglas de comparabilidad.</w:t>
            </w:r>
          </w:p>
        </w:tc>
      </w:tr>
    </w:tbl>
    <w:p/>
    <w:tbl>
      <w:tblPr>
        <w:tblStyle w:val="TableGrid"/>
        <w:tblW w:type="auto" w:w="0"/>
        <w:tblLook w:firstColumn="1" w:firstRow="1" w:lastColumn="0" w:lastRow="0" w:noHBand="0" w:noVBand="1" w:val="04A0"/>
      </w:tblPr>
      <w:tblGrid>
        <w:gridCol w:w="10166"/>
      </w:tblGrid>
      <w:tr>
        <w:tc>
          <w:tcPr>
            <w:tcW w:type="dxa" w:w="10166"/>
            <w:shd w:fill="EEF4F8"/>
            <w:tcBorders>
              <w:top w:val="single" w:sz="8" w:color="2B6CB0"/>
              <w:left w:val="single" w:sz="8" w:color="2B6CB0"/>
              <w:bottom w:val="single" w:sz="8" w:color="2B6CB0"/>
              <w:right w:val="single" w:sz="8" w:color="2B6CB0"/>
              <w:insideH w:val="single" w:sz="8" w:color="2B6CB0"/>
              <w:insideV w:val="single" w:sz="8" w:color="2B6CB0"/>
            </w:tcBorders>
            <w:tcMar>
              <w:top w:w="150" w:type="dxa"/>
              <w:start w:w="180" w:type="dxa"/>
              <w:bottom w:w="150" w:type="dxa"/>
              <w:end w:w="180" w:type="dxa"/>
            </w:tcMar>
          </w:tcPr>
          <w:p>
            <w:r>
              <w:rPr>
                <w:b/>
                <w:color w:val="18324B"/>
                <w:sz w:val="20"/>
              </w:rPr>
              <w:t>Recomendación V1</w:t>
              <w:br/>
            </w:r>
            <w:r>
              <w:rPr>
                <w:sz w:val="19"/>
              </w:rPr>
              <w:t>Mantener la primera versión cerrada y determinista. Una vez demostrada la validez del paradigma, se puede abrir el lenguaje. Hacerlo al revés haría más difícil saber si estamos midiendo comunicación o la capacidad del modelo de interpretar texto/voz.</w:t>
            </w:r>
          </w:p>
        </w:tc>
      </w:tr>
    </w:tbl>
    <w:p/>
    <w:p>
      <w:pPr>
        <w:spacing w:after="120"/>
      </w:pPr>
      <w:r>
        <w:rPr>
          <w:i w:val="0"/>
        </w:rPr>
        <w:t>Estado del documento: Draft v1.0.0. La biblioteca de escenarios y el sistema visual deben iterarse con pruebas de usabilidad antes del pilotaje psicométrico.</w:t>
      </w:r>
    </w:p>
    <w:sectPr w:rsidR="00FC693F" w:rsidRPr="0006063C" w:rsidSect="00034616">
      <w:headerReference w:type="default" r:id="rId9"/>
      <w:footerReference w:type="default" r:id="rId10"/>
      <w:pgSz w:w="12240" w:h="15840"/>
      <w:pgMar w:top="1008"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EXP-COMM-001  |  KRUMM  |  Documento de trabajo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8324B"/>
      <w:sz w:val="3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2B6CB0"/>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w:hAnsi="Aptos"/>
      <w:b/>
      <w:bCs/>
      <w:color w:val="2A7F8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40"/>
      <w:contextualSpacing/>
    </w:pPr>
    <w:rPr>
      <w:rFonts w:asciiTheme="majorHAnsi" w:eastAsiaTheme="majorEastAsia" w:hAnsiTheme="majorHAnsi" w:cstheme="majorBidi" w:ascii="Aptos Display" w:hAnsi="Aptos Display"/>
      <w:b/>
      <w:color w:val="18324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B6573"/>
      <w:sz w:val="16"/>
    </w:rPr>
  </w:style>
  <w:style w:type="paragraph" w:customStyle="1" w:styleId="CodeBlock">
    <w:name w:val="Code Block"/>
    <w:pPr>
      <w:spacing w:after="20" w:line="240" w:lineRule="auto"/>
      <w:ind w:left="259" w:right="259"/>
    </w:pPr>
    <w:rPr>
      <w:rFonts w:ascii="Consolas" w:hAnsi="Consolas"/>
      <w:color w:val="111827"/>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