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left"/>
      </w:pPr>
      <w:r>
        <w:rPr>
          <w:rFonts w:ascii="Aptos Display" w:hAnsi="Aptos Display"/>
          <w:b/>
          <w:color w:val="18324B"/>
          <w:sz w:val="60"/>
        </w:rPr>
        <w:t>DOCUMENTO 1: ESPECIFICACIÓN TÉCNICA, TEÓRICA Y PSICOMÉTRICA</w:t>
      </w:r>
    </w:p>
    <w:p>
      <w:r>
        <w:t>Arquitectura funcional, modelo de comunicación, captura biométrica, telemetría, scoring y validación</w:t>
      </w:r>
    </w:p>
    <w:p>
      <w:pPr>
        <w:spacing w:before="360"/>
      </w:pPr>
      <w:r>
        <w:rPr>
          <w:b/>
          <w:color w:val="1F2937"/>
          <w:sz w:val="24"/>
        </w:rPr>
        <w:t>Módulo Sala de Control / Control Room Communication Simulation</w:t>
      </w:r>
    </w:p>
    <w:p>
      <w:r>
        <w:rPr>
          <w:color w:val="5B6573"/>
          <w:sz w:val="20"/>
        </w:rPr>
        <w:t>ID de experiencia: EXP-COMM-001</w:t>
      </w:r>
    </w:p>
    <w:p/>
    <w:p/>
    <w:p/>
    <w:p>
      <w:pPr>
        <w:pStyle w:val="Heading1"/>
      </w:pPr>
      <w:r>
        <w:t>Resumen ejecutivo</w:t>
      </w:r>
    </w:p>
    <w:p>
      <w:pPr>
        <w:spacing w:after="120"/>
      </w:pPr>
      <w:r>
        <w:rPr>
          <w:i w:val="0"/>
        </w:rPr>
        <w:t>EXP-COMM-001 es un micro-simulador 2D de comunicación aplicada. El usuario opera desde una sala de control y debe coordinar acciones con uno o más interlocutores virtuales que poseen información parcial. La tarea central no consiste en “hablar bien”, sino en seleccionar información relevante, formular preguntas cuando faltan datos, emitir instrucciones claras, verificar comprensión, adaptar el mensaje al receptor y reparar malentendidos.</w:t>
      </w:r>
    </w:p>
    <w:p>
      <w:pPr>
        <w:spacing w:after="120"/>
      </w:pPr>
      <w:r>
        <w:t>La experiencia base está diseñada para ejecutarse completamente mediante mouse o touch en computador, tablet o teléfono. El gameplay no requiere teclado, micrófono, navegación 3D ni procesamiento gráfico intensivo. La cámara se incorpora únicamente en modo biométrico/investigación, con consentimiento explícito, como capa auxiliar de inferencia y nunca como requisito para comprender o controlar el juego. La respuesta se construye mediante tarjetas, preguntas seleccionables y bloques ordenables, lo que permite registrar decisiones comparables entre dispositivos sin contaminar el resultado con velocidad de escritura u ortografía.</w:t>
      </w:r>
    </w:p>
    <w:p>
      <w:pPr>
        <w:spacing w:after="120"/>
      </w:pPr>
      <w:r>
        <w:rPr>
          <w:i w:val="0"/>
        </w:rPr>
        <w:t>El módulo se plantea como una simulación conductual con componentes de Situational Judgment Test (SJT), información asimétrica y comunicación de circuito cerrado. Sus puntuaciones son experimentales hasta completar pilotaje, análisis de confiabilidad, evidencia de validez y estudios de equivalencia entre dispositivos.</w:t>
      </w:r>
    </w:p>
    <w:p>
      <w:pPr>
        <w:pStyle w:val="Heading1"/>
      </w:pPr>
      <w:r>
        <w:t>Índice de contenidos</w:t>
      </w:r>
    </w:p>
    <w:p>
      <w:pPr>
        <w:pStyle w:val="ListBullet"/>
        <w:spacing w:after="20"/>
      </w:pPr>
      <w:r>
        <w:t>1. Propósito, alcance y supuestos</w:t>
      </w:r>
    </w:p>
    <w:p>
      <w:pPr>
        <w:pStyle w:val="ListBullet"/>
        <w:spacing w:after="20"/>
      </w:pPr>
      <w:r>
        <w:t>2. Identidad de la experiencia</w:t>
      </w:r>
    </w:p>
    <w:p>
      <w:pPr>
        <w:pStyle w:val="ListBullet"/>
        <w:spacing w:after="20"/>
      </w:pPr>
      <w:r>
        <w:t>3. Marco teórico y modelo de constructos</w:t>
      </w:r>
    </w:p>
    <w:p>
      <w:pPr>
        <w:pStyle w:val="ListBullet"/>
        <w:spacing w:after="20"/>
      </w:pPr>
      <w:r>
        <w:t>4. Paradigma de evaluación y unidad de análisis</w:t>
      </w:r>
    </w:p>
    <w:p>
      <w:pPr>
        <w:pStyle w:val="ListBullet"/>
        <w:spacing w:after="20"/>
      </w:pPr>
      <w:r>
        <w:t>5. Arquitectura de interacción</w:t>
      </w:r>
    </w:p>
    <w:p>
      <w:pPr>
        <w:pStyle w:val="ListBullet"/>
        <w:spacing w:after="20"/>
      </w:pPr>
      <w:r>
        <w:t>6. Arquitectura lógica del sistema</w:t>
      </w:r>
    </w:p>
    <w:p>
      <w:pPr>
        <w:pStyle w:val="ListBullet"/>
        <w:spacing w:after="20"/>
      </w:pPr>
      <w:r>
        <w:t>7. Máquina de estados</w:t>
      </w:r>
    </w:p>
    <w:p>
      <w:pPr>
        <w:pStyle w:val="ListBullet"/>
        <w:spacing w:after="20"/>
      </w:pPr>
      <w:r>
        <w:t>8. Motor de escenarios y gramática de comunicación</w:t>
      </w:r>
    </w:p>
    <w:p>
      <w:pPr>
        <w:pStyle w:val="ListBullet"/>
        <w:spacing w:after="20"/>
      </w:pPr>
      <w:r>
        <w:t>9. Parámetros configurables</w:t>
      </w:r>
    </w:p>
    <w:p>
      <w:pPr>
        <w:pStyle w:val="ListBullet"/>
        <w:spacing w:after="20"/>
      </w:pPr>
      <w:r>
        <w:t>10. Progresión de dificultad y blueprint evaluativo</w:t>
      </w:r>
    </w:p>
    <w:p>
      <w:pPr>
        <w:pStyle w:val="ListBullet"/>
        <w:spacing w:after="20"/>
      </w:pPr>
      <w:r>
        <w:t>11. Telemetría, captura biométrica e instrucciones para el modelo de inferencia</w:t>
      </w:r>
    </w:p>
    <w:p>
      <w:pPr>
        <w:pStyle w:val="ListBullet"/>
        <w:spacing w:after="20"/>
      </w:pPr>
      <w:r>
        <w:t>12. Métricas derivadas y scoring</w:t>
      </w:r>
    </w:p>
    <w:p>
      <w:pPr>
        <w:pStyle w:val="ListBullet"/>
        <w:spacing w:after="20"/>
      </w:pPr>
      <w:r>
        <w:t>13. Taxonomía de errores</w:t>
      </w:r>
    </w:p>
    <w:p>
      <w:pPr>
        <w:pStyle w:val="ListBullet"/>
        <w:spacing w:after="20"/>
      </w:pPr>
      <w:r>
        <w:t>14. Equidad, integridad, privacidad y sesgos</w:t>
      </w:r>
    </w:p>
    <w:p>
      <w:pPr>
        <w:pStyle w:val="ListBullet"/>
        <w:spacing w:after="20"/>
      </w:pPr>
      <w:r>
        <w:t>15. Requisitos no funcionales y performance</w:t>
      </w:r>
    </w:p>
    <w:p>
      <w:pPr>
        <w:pStyle w:val="ListBullet"/>
        <w:spacing w:after="20"/>
      </w:pPr>
      <w:r>
        <w:t>16. QA y criterios de aceptación</w:t>
      </w:r>
    </w:p>
    <w:p>
      <w:pPr>
        <w:pStyle w:val="ListBullet"/>
        <w:spacing w:after="20"/>
      </w:pPr>
      <w:r>
        <w:t>17. Plan de validación psicométrica</w:t>
      </w:r>
    </w:p>
    <w:p>
      <w:pPr>
        <w:pStyle w:val="ListBullet"/>
        <w:spacing w:after="20"/>
      </w:pPr>
      <w:r>
        <w:t>18. Riesgos y mitigaciones</w:t>
      </w:r>
    </w:p>
    <w:p>
      <w:pPr>
        <w:pStyle w:val="ListBullet"/>
        <w:spacing w:after="20"/>
      </w:pPr>
      <w:r>
        <w:t>19. Esquema de integración JSON</w:t>
      </w:r>
    </w:p>
    <w:p>
      <w:pPr>
        <w:pStyle w:val="ListBullet"/>
        <w:spacing w:after="20"/>
      </w:pPr>
      <w:r>
        <w:t>20. Glosario y referencias</w:t>
      </w:r>
    </w:p>
    <w:p>
      <w:pPr>
        <w:pStyle w:val="Heading1"/>
      </w:pPr>
      <w:r>
        <w:t>1. Propósito, alcance y supuestos</w:t>
      </w:r>
    </w:p>
    <w:p>
      <w:pPr>
        <w:spacing w:after="120"/>
      </w:pPr>
      <w:r>
        <w:rPr>
          <w:i w:val="0"/>
        </w:rPr>
        <w:t>Este documento define la especificación de referencia para producto, desarrollo, diseño, datos y psicometría. Describe qué debe ocurrir en pantalla, qué eventos deben registrarse, cómo se construyen los escenarios y qué inferencias pueden o no realizarse a partir del comportamiento observado.</w:t>
      </w:r>
    </w:p>
    <w:p>
      <w:pPr>
        <w:pStyle w:val="ListBullet"/>
        <w:spacing w:after="40"/>
      </w:pPr>
      <w:r>
        <w:rPr>
          <w:b/>
        </w:rPr>
        <w:t xml:space="preserve">Plataformas objetivo: </w:t>
      </w:r>
      <w:r>
        <w:t>navegador web responsive en escritorio, notebook, tablet y teléfono.</w:t>
      </w:r>
    </w:p>
    <w:p>
      <w:pPr>
        <w:pStyle w:val="ListBullet"/>
        <w:spacing w:after="40"/>
      </w:pPr>
      <w:r>
        <w:rPr>
          <w:b/>
        </w:rPr>
        <w:t xml:space="preserve">Métodos de entrada: </w:t>
      </w:r>
      <w:r>
        <w:t>mouse, trackpad o touch. Toda acción evaluativa debe ser realizable con un solo puntero.</w:t>
      </w:r>
    </w:p>
    <w:p>
      <w:pPr>
        <w:pStyle w:val="ListBullet"/>
        <w:spacing w:after="40"/>
      </w:pPr>
      <w:r>
        <w:rPr>
          <w:b/>
        </w:rPr>
        <w:t xml:space="preserve">Modo de respuesta V1: </w:t>
      </w:r>
      <w:r>
        <w:t>selección de tarjetas, preguntas, confirmaciones y ordenamiento de bloques. Sin texto libre ni voz.</w:t>
      </w:r>
    </w:p>
    <w:p>
      <w:pPr>
        <w:pStyle w:val="ListBullet"/>
        <w:spacing w:after="40"/>
      </w:pPr>
      <w:r>
        <w:rPr>
          <w:b/>
        </w:rPr>
        <w:t xml:space="preserve">Duración objetivo: </w:t>
      </w:r>
      <w:r>
        <w:t>8 a 12 minutos para la batería estándar, más un tutorial breve no evaluativo.</w:t>
      </w:r>
    </w:p>
    <w:p>
      <w:pPr>
        <w:pStyle w:val="ListBullet"/>
        <w:spacing w:after="40"/>
      </w:pPr>
      <w:r>
        <w:rPr>
          <w:b/>
        </w:rPr>
        <w:t xml:space="preserve">Contexto narrativo: </w:t>
      </w:r>
      <w:r>
        <w:t>sala de control operacional; el usuario coordina a un interlocutor remoto frente a incidentes simulados.</w:t>
      </w:r>
    </w:p>
    <w:p>
      <w:pPr>
        <w:pStyle w:val="ListBullet"/>
        <w:spacing w:after="40"/>
      </w:pPr>
      <w:r>
        <w:rPr>
          <w:b/>
        </w:rPr>
        <w:t xml:space="preserve">Principio evaluativo: </w:t>
      </w:r>
      <w:r>
        <w:t>la dificultad debe provenir de la calidad de la comunicación y de la información disponible, no de controles complejos ni lectura excesiva.</w:t>
      </w:r>
    </w:p>
    <w:tbl>
      <w:tblPr>
        <w:tblStyle w:val="TableGrid"/>
        <w:tblW w:type="auto" w:w="0"/>
        <w:tblLook w:firstColumn="1" w:firstRow="1" w:lastColumn="0" w:lastRow="0" w:noHBand="0" w:noVBand="1" w:val="04A0"/>
      </w:tblPr>
      <w:tblGrid>
        <w:gridCol w:w="10166"/>
      </w:tblGrid>
      <w:tr>
        <w:tc>
          <w:tcPr>
            <w:tcW w:type="dxa" w:w="10166"/>
            <w:shd w:fill="EEF4F8"/>
            <w:tcBorders>
              <w:top w:val="single" w:sz="8" w:color="2B6CB0"/>
              <w:left w:val="single" w:sz="8" w:color="2B6CB0"/>
              <w:bottom w:val="single" w:sz="8" w:color="2B6CB0"/>
              <w:right w:val="single" w:sz="8" w:color="2B6CB0"/>
              <w:insideH w:val="single" w:sz="8" w:color="2B6CB0"/>
              <w:insideV w:val="single" w:sz="8" w:color="2B6CB0"/>
            </w:tcBorders>
            <w:tcMar>
              <w:top w:w="150" w:type="dxa"/>
              <w:start w:w="180" w:type="dxa"/>
              <w:bottom w:w="150" w:type="dxa"/>
              <w:end w:w="180" w:type="dxa"/>
            </w:tcMar>
          </w:tcPr>
          <w:p>
            <w:r>
              <w:rPr>
                <w:b/>
                <w:color w:val="18324B"/>
                <w:sz w:val="20"/>
              </w:rPr>
              <w:t>Límite de interpretación</w:t>
              <w:br/>
            </w:r>
            <w:r>
              <w:rPr>
                <w:sz w:val="19"/>
              </w:rPr>
              <w:t>EXP-COMM-001 no pretende medir “personalidad comunicativa”, carisma, extroversión, acento ni nivel cultural. Busca observar conductas de comunicación aplicadas a situaciones estructuradas y comparables.</w:t>
            </w:r>
          </w:p>
        </w:tc>
      </w:tr>
    </w:tbl>
    <w:p/>
    <w:p>
      <w:pPr>
        <w:pStyle w:val="Heading1"/>
      </w:pPr>
      <w:r>
        <w:t>2. Identidad de la experiencia</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Campo</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Definición</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ID</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EXP-COMM-001</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Nombre interno</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Sala de Control / Control Room Communication Simulation</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Dominio primario</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Competencia de comunicación aplicada en contextos operacionales</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Dimensiones objetivo</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Claridad, relevancia, indagación, verificación, adaptación, reparación, comprensión receptiva</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Paradigma</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SJT interactivo + información asimétrica + closed-loop communication + branching scenarios</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Formato</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2D responsive, click/touch, single-pointer</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Versión</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r>
              <w:t>Draft v1.1.0</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Estado psicométrico</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Prototipo; requiere validación antes de uso inferencial de alto impacto</w:t>
            </w:r>
          </w:p>
        </w:tc>
      </w:tr>
    </w:tbl>
    <w:p/>
    <w:p>
      <w:pPr>
        <w:pStyle w:val="Heading1"/>
      </w:pPr>
      <w:r>
        <w:t>3. Marco teórico y modelo de constructos</w:t>
      </w:r>
    </w:p>
    <w:p>
      <w:pPr>
        <w:pStyle w:val="Heading2"/>
      </w:pPr>
      <w:r>
        <w:t>3.1. Constructo primario: competencia de comunicación aplicada</w:t>
      </w:r>
    </w:p>
    <w:p>
      <w:pPr>
        <w:spacing w:after="120"/>
      </w:pPr>
      <w:r>
        <w:rPr>
          <w:i w:val="0"/>
        </w:rPr>
        <w:t>Se define operacionalmente como la capacidad de intercambiar información suficiente, relevante y comprensible para coordinar una acción correcta con otra persona bajo restricciones de contexto. En esta experiencia la competencia se observa en decisiones concretas: qué comunicar, qué preguntar, cuándo confirmar y cómo corregir una interpretación errónea.</w:t>
      </w:r>
    </w:p>
    <w:p>
      <w:pPr>
        <w:pStyle w:val="Heading2"/>
      </w:pPr>
      <w:r>
        <w:t>3.2. Dimensiones observables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Dimensión</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Definición operacional</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Conducta observable</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Claridad</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Reduce ambigüedad y especifica referentes críticos.</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Usa identificadores, orden y condiciones suficientes para ejecutar sin adivinar.</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Relevancia / síntesis</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Prioriza datos necesarios y evita ruido.</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Incluye hechos críticos y omite distractores no funcionales.</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Indagación / clarificación</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Reconoce información faltante antes de comprometer una acción.</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Formula la pregunta que reduce la incertidumbre relevante.</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Verificación / closed loop</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Comprueba que el mensaje fue recibido y comprendido.</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Solicita confirmación o valida el estado antes de continuar.</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Adaptación al receptor</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Ajusta nivel de detalle y lenguaje al rol del interlocutor.</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Selecciona mensajes equivalentes pero apropiados para técnico, supervisor o cliente.</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Reparación</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Detecta y corrige malentendidos.</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Reformula, especifica o detiene una acción cuando el receptor interpreta mal.</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Comprensión receptiva</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Interpreta correctamente mensajes recibidos.</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Distingue hechos, solicitudes, dudas y confirmaciones del interlocutor.</w:t>
            </w:r>
          </w:p>
        </w:tc>
      </w:tr>
    </w:tbl>
    <w:p/>
    <w:p>
      <w:pPr>
        <w:pStyle w:val="Heading2"/>
      </w:pPr>
      <w:r>
        <w:t>3.3. Fundamentos conceptuales</w:t>
      </w:r>
    </w:p>
    <w:p>
      <w:pPr>
        <w:pStyle w:val="ListBullet"/>
        <w:spacing w:after="40"/>
      </w:pPr>
      <w:r>
        <w:rPr>
          <w:b/>
        </w:rPr>
        <w:t xml:space="preserve">Cooperación y relevancia: </w:t>
      </w:r>
      <w:r>
        <w:t>el diseño favorece mensajes suficientes, verdaderos, pertinentes y claros; se operacionaliza mediante cobertura de información crítica y redundancia.</w:t>
      </w:r>
    </w:p>
    <w:p>
      <w:pPr>
        <w:pStyle w:val="ListBullet"/>
        <w:spacing w:after="40"/>
      </w:pPr>
      <w:r>
        <w:rPr>
          <w:b/>
        </w:rPr>
        <w:t xml:space="preserve">Grounding / terreno común: </w:t>
      </w:r>
      <w:r>
        <w:t>la coordinación requiere evidencias de comprensión compartida; se observa mediante preguntas, confirmaciones y reparaciones.</w:t>
      </w:r>
    </w:p>
    <w:p>
      <w:pPr>
        <w:pStyle w:val="ListBullet"/>
        <w:spacing w:after="40"/>
      </w:pPr>
      <w:r>
        <w:rPr>
          <w:b/>
        </w:rPr>
        <w:t xml:space="preserve">Comunicación de circuito cerrado: </w:t>
      </w:r>
      <w:r>
        <w:t>una instrucción no se considera completa solo por ser emitida; el sistema puede exigir confirmación de recepción y estado.</w:t>
      </w:r>
    </w:p>
    <w:p>
      <w:pPr>
        <w:pStyle w:val="ListBullet"/>
        <w:spacing w:after="40"/>
      </w:pPr>
      <w:r>
        <w:rPr>
          <w:b/>
        </w:rPr>
        <w:t xml:space="preserve">Situational Judgment: </w:t>
      </w:r>
      <w:r>
        <w:t>el usuario elige entre conductas plausibles dentro de escenarios contextualizados, permitiendo comparar calidad de decisión comunicativa.</w:t>
      </w:r>
    </w:p>
    <w:p>
      <w:pPr>
        <w:pStyle w:val="ListBullet"/>
        <w:spacing w:after="40"/>
      </w:pPr>
      <w:r>
        <w:rPr>
          <w:b/>
        </w:rPr>
        <w:t xml:space="preserve">Carga contextual controlada: </w:t>
      </w:r>
      <w:r>
        <w:t>la dificultad aumenta por información parcial, distractores, ambigüedad, cambio de interlocutor y presión temporal, no por destreza motora.</w:t>
      </w:r>
    </w:p>
    <w:p>
      <w:pPr>
        <w:pStyle w:val="Heading2"/>
      </w:pPr>
      <w:r>
        <w:t>3.4. Constructos colaterales y límites</w:t>
      </w:r>
    </w:p>
    <w:p>
      <w:pPr>
        <w:spacing w:after="120"/>
      </w:pPr>
      <w:r>
        <w:rPr>
          <w:i w:val="0"/>
        </w:rPr>
        <w:t>Atención, memoria de trabajo, comprensión lectora y velocidad de procesamiento participan de forma inevitable, pero deben minimizarse como fuentes alternativas de varianza. Por ello los textos serán breves, las relaciones visuales consistentes y el tiempo de respuesta no dominará el score salvo en bloques específicamente diseñados para presión.</w:t>
      </w:r>
    </w:p>
    <w:p>
      <w:pPr>
        <w:pStyle w:val="Heading1"/>
      </w:pPr>
      <w:r>
        <w:t>4. Paradigma de evaluación y unidad de análisis</w:t>
      </w:r>
    </w:p>
    <w:p>
      <w:pPr>
        <w:spacing w:after="120"/>
      </w:pPr>
      <w:r>
        <w:rPr>
          <w:i w:val="0"/>
        </w:rPr>
        <w:t>Cada escenario representa un microciclo de coordinación. El sistema conoce la información disponible para el usuario, la información disponible para el NPC, los hechos críticos necesarios para decidir y el conjunto de conductas comunicativas aceptables.</w:t>
      </w:r>
    </w:p>
    <w:p>
      <w:pPr>
        <w:pStyle w:val="ListNumber"/>
        <w:spacing w:after="40"/>
      </w:pPr>
      <w:r>
        <w:t>Observar: revisar estado, datos del incidente y mensaje del interlocutor.</w:t>
      </w:r>
    </w:p>
    <w:p>
      <w:pPr>
        <w:pStyle w:val="ListNumber"/>
        <w:spacing w:after="40"/>
      </w:pPr>
      <w:r>
        <w:t>Interpretar: determinar qué información es relevante y si existe incertidumbre crítica.</w:t>
      </w:r>
    </w:p>
    <w:p>
      <w:pPr>
        <w:pStyle w:val="ListNumber"/>
        <w:spacing w:after="40"/>
      </w:pPr>
      <w:r>
        <w:t>Comunicar: seleccionar una pregunta, instrucción, explicación o confirmación.</w:t>
      </w:r>
    </w:p>
    <w:p>
      <w:pPr>
        <w:pStyle w:val="ListNumber"/>
        <w:spacing w:after="40"/>
      </w:pPr>
      <w:r>
        <w:t>Recibir: el NPC responde, confirma, entrega un dato o introduce un malentendido controlado.</w:t>
      </w:r>
    </w:p>
    <w:p>
      <w:pPr>
        <w:pStyle w:val="ListNumber"/>
        <w:spacing w:after="40"/>
      </w:pPr>
      <w:r>
        <w:t>Reparar / verificar: el usuario corrige o confirma según corresponda.</w:t>
      </w:r>
    </w:p>
    <w:p>
      <w:pPr>
        <w:pStyle w:val="ListNumber"/>
        <w:spacing w:after="40"/>
      </w:pPr>
      <w:r>
        <w:t>Resolver: el sistema ejecuta la consecuencia y registra resultado.</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17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Unidad</w:t>
            </w:r>
          </w:p>
        </w:tc>
        <w:tc>
          <w:tcPr>
            <w:tcW w:type="dxa" w:w="47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Contenido</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Uso</w:t>
            </w:r>
          </w:p>
        </w:tc>
      </w:tr>
      <w:tr>
        <w:trPr>
          <w:cantSplit/>
        </w:trPr>
        <w:tc>
          <w:tcPr>
            <w:tcW w:type="dxa" w:w="17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Trial</w:t>
            </w:r>
          </w:p>
        </w:tc>
        <w:tc>
          <w:tcPr>
            <w:tcW w:type="dxa" w:w="47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Una decisión comunicativa dentro de un escenario.</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Métrica de conducta puntual.</w:t>
            </w:r>
          </w:p>
        </w:tc>
      </w:tr>
      <w:tr>
        <w:trPr>
          <w:cantSplit/>
        </w:trPr>
        <w:tc>
          <w:tcPr>
            <w:tcW w:type="dxa" w:w="17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Scenario</w:t>
            </w:r>
          </w:p>
        </w:tc>
        <w:tc>
          <w:tcPr>
            <w:tcW w:type="dxa" w:w="47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Cadena de 2-5 trials con un objetivo operacional.</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Unidad mínima para evaluar una habilidad contextual.</w:t>
            </w:r>
          </w:p>
        </w:tc>
      </w:tr>
      <w:tr>
        <w:trPr>
          <w:cantSplit/>
        </w:trPr>
        <w:tc>
          <w:tcPr>
            <w:tcW w:type="dxa" w:w="17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Block / nivel</w:t>
            </w:r>
          </w:p>
        </w:tc>
        <w:tc>
          <w:tcPr>
            <w:tcW w:type="dxa" w:w="47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Conjunto de escenarios con una dimensión dominante.</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Estabilidad y progresión de dificultad.</w:t>
            </w:r>
          </w:p>
        </w:tc>
      </w:tr>
      <w:tr>
        <w:trPr>
          <w:cantSplit/>
        </w:trPr>
        <w:tc>
          <w:tcPr>
            <w:tcW w:type="dxa" w:w="172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Session</w:t>
            </w:r>
          </w:p>
        </w:tc>
        <w:tc>
          <w:tcPr>
            <w:tcW w:type="dxa" w:w="47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Tutorial + batería evaluativa completa.</w:t>
            </w:r>
          </w:p>
        </w:tc>
        <w:tc>
          <w:tcPr>
            <w:tcW w:type="dxa" w:w="36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Perfil final y controles de integridad.</w:t>
            </w:r>
          </w:p>
        </w:tc>
      </w:tr>
    </w:tbl>
    <w:p/>
    <w:p>
      <w:pPr>
        <w:pStyle w:val="Heading1"/>
      </w:pPr>
      <w:r>
        <w:t>5. Arquitectura de interacción</w:t>
      </w:r>
    </w:p>
    <w:p>
      <w:pPr>
        <w:pStyle w:val="Heading2"/>
      </w:pPr>
      <w:r>
        <w:t>5.1. Inputs del usuario</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Evento lógico</w:t>
            </w:r>
          </w:p>
        </w:tc>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Interacción</w:t>
            </w:r>
          </w:p>
        </w:tc>
        <w:tc>
          <w:tcPr>
            <w:tcW w:type="dxa" w:w="59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Descripción</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INPUT_SELECT_INFO</w:t>
            </w:r>
          </w:p>
        </w:tc>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Tap/click</w:t>
            </w:r>
          </w:p>
        </w:tc>
        <w:tc>
          <w:tcPr>
            <w:tcW w:type="dxa" w:w="59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Selecciona un dato o tarjeta informativa cuando el escenario permite destacar información.</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INPUT_SELECT_RESPONSE</w:t>
            </w:r>
          </w:p>
        </w:tc>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Tap/click</w:t>
            </w:r>
          </w:p>
        </w:tc>
        <w:tc>
          <w:tcPr>
            <w:tcW w:type="dxa" w:w="59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Selecciona una respuesta o pregunta prediseñada.</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INPUT_ADD_BLOCK</w:t>
            </w:r>
          </w:p>
        </w:tc>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Tap/click</w:t>
            </w:r>
          </w:p>
        </w:tc>
        <w:tc>
          <w:tcPr>
            <w:tcW w:type="dxa" w:w="59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Añade un bloque al compositor de mensaje.</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INPUT_REORDER_BLOCK</w:t>
            </w:r>
          </w:p>
        </w:tc>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Drag o botones</w:t>
            </w:r>
          </w:p>
        </w:tc>
        <w:tc>
          <w:tcPr>
            <w:tcW w:type="dxa" w:w="59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Reordena bloques; debe existir alternativa accesible “subir/bajar”.</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INPUT_REMOVE_BLOCK</w:t>
            </w:r>
          </w:p>
        </w:tc>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Tap/click</w:t>
            </w:r>
          </w:p>
        </w:tc>
        <w:tc>
          <w:tcPr>
            <w:tcW w:type="dxa" w:w="59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Retira un bloque antes de enviar.</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INPUT_CONFIRM_SEND</w:t>
            </w:r>
          </w:p>
        </w:tc>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Tap/click</w:t>
            </w:r>
          </w:p>
        </w:tc>
        <w:tc>
          <w:tcPr>
            <w:tcW w:type="dxa" w:w="59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Envía la comunicación construida.</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INPUT_ACKNOWLEDGE</w:t>
            </w:r>
          </w:p>
        </w:tc>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Tap/click</w:t>
            </w:r>
          </w:p>
        </w:tc>
        <w:tc>
          <w:tcPr>
            <w:tcW w:type="dxa" w:w="59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Confirma lectura de una respuesta del NPC.</w:t>
            </w:r>
          </w:p>
        </w:tc>
      </w:tr>
      <w:tr>
        <w:trPr>
          <w:cantSplit/>
        </w:trPr>
        <w:tc>
          <w:tcPr>
            <w:tcW w:type="dxa" w:w="23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INPUT_UNDO</w:t>
            </w:r>
          </w:p>
        </w:tc>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Tap/click</w:t>
            </w:r>
          </w:p>
        </w:tc>
        <w:tc>
          <w:tcPr>
            <w:tcW w:type="dxa" w:w="590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Revierte la última edición cuando la regla del escenario lo permita.</w:t>
            </w:r>
          </w:p>
        </w:tc>
      </w:tr>
    </w:tbl>
    <w:p/>
    <w:p>
      <w:pPr>
        <w:pStyle w:val="Heading2"/>
      </w:pPr>
      <w:r>
        <w:t>5.2. Outputs del sistema</w:t>
      </w:r>
    </w:p>
    <w:p>
      <w:pPr>
        <w:pStyle w:val="ListBullet"/>
        <w:spacing w:after="40"/>
      </w:pPr>
      <w:r>
        <w:t>Estado del incidente: indicadores numéricos, etiquetas, alarmas y reglas breves.</w:t>
      </w:r>
    </w:p>
    <w:p>
      <w:pPr>
        <w:pStyle w:val="ListBullet"/>
        <w:spacing w:after="40"/>
      </w:pPr>
      <w:r>
        <w:t>Mensaje del interlocutor: burbuja de diálogo con rol visible y contexto mínimo.</w:t>
      </w:r>
    </w:p>
    <w:p>
      <w:pPr>
        <w:pStyle w:val="ListBullet"/>
        <w:spacing w:after="40"/>
      </w:pPr>
      <w:r>
        <w:t>Tarjetas de respuesta o bloques de mensaje táctiles.</w:t>
      </w:r>
    </w:p>
    <w:p>
      <w:pPr>
        <w:pStyle w:val="ListBullet"/>
        <w:spacing w:after="40"/>
      </w:pPr>
      <w:r>
        <w:t>Feedback narrativo de consecuencia, sin revelar durante la evaluación qué dimensión se está puntuando.</w:t>
      </w:r>
    </w:p>
    <w:p>
      <w:pPr>
        <w:pStyle w:val="ListBullet"/>
        <w:spacing w:after="40"/>
      </w:pPr>
      <w:r>
        <w:t>Audio y háptica opcionales, nunca necesarios para comprender el estado.</w:t>
      </w:r>
    </w:p>
    <w:p>
      <w:pPr>
        <w:pStyle w:val="ListBullet"/>
        <w:spacing w:after="40"/>
      </w:pPr>
      <w:r>
        <w:t>Indicador de tiempo solo en escenarios donde la presión temporal forma parte del blueprint.</w:t>
      </w:r>
    </w:p>
    <w:p>
      <w:pPr>
        <w:pStyle w:val="Heading1"/>
      </w:pPr>
      <w:r>
        <w:t>6. Arquitectura lógica del sistema</w:t>
      </w:r>
    </w:p>
    <w:p>
      <w:pPr>
        <w:spacing w:after="120"/>
      </w:pPr>
      <w:r>
        <w:rPr>
          <w:i w:val="0"/>
        </w:rPr>
        <w:t>El motor no evalúa texto literal. Cada tarjeta y bloque posee etiquetas semánticas que representan intención, contenido crítico, nivel de precisión y adecuación al receptor. Esto permite localizar el juego a otros idiomas sin reescribir la lógica psicométrica.</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Entidad</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Campos principales</w:t>
            </w:r>
          </w:p>
        </w:tc>
        <w:tc>
          <w:tcPr>
            <w:tcW w:type="dxa" w:w="32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Función</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Scenario</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scenario_id, block_id, objective, difficulty, time_limit</w:t>
            </w:r>
          </w:p>
        </w:tc>
        <w:tc>
          <w:tcPr>
            <w:tcW w:type="dxa" w:w="32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Contenedor de una situación.</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Fact</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fact_id, owner, criticality, visibility, value</w:t>
            </w:r>
          </w:p>
        </w:tc>
        <w:tc>
          <w:tcPr>
            <w:tcW w:type="dxa" w:w="32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Dato conocido por usuario/NPC/ambos.</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Receiver</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role, expertise, urgency, communication_need</w:t>
            </w:r>
          </w:p>
        </w:tc>
        <w:tc>
          <w:tcPr>
            <w:tcW w:type="dxa" w:w="32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Perfil del interlocutor.</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MessageOption</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intent, fact_refs, specificity, register, risk</w:t>
            </w:r>
          </w:p>
        </w:tc>
        <w:tc>
          <w:tcPr>
            <w:tcW w:type="dxa" w:w="32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Respuesta completa seleccionable.</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MessageBlock</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semantic_tag, fact_ref, order_role</w:t>
            </w:r>
          </w:p>
        </w:tc>
        <w:tc>
          <w:tcPr>
            <w:tcW w:type="dxa" w:w="32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Unidad para construir mensajes.</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Rule</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preconditions, acceptable_actions, prohibited_actions</w:t>
            </w:r>
          </w:p>
        </w:tc>
        <w:tc>
          <w:tcPr>
            <w:tcW w:type="dxa" w:w="32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Define qué conductas resuelven la situación.</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NPCNode</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trigger, reply, new_fact, misunderstanding_flag</w:t>
            </w:r>
          </w:p>
        </w:tc>
        <w:tc>
          <w:tcPr>
            <w:tcW w:type="dxa" w:w="32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Respuesta ramificada del interlocutor.</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Outcome</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success_level, operational_state, feedback_key</w:t>
            </w:r>
          </w:p>
        </w:tc>
        <w:tc>
          <w:tcPr>
            <w:tcW w:type="dxa" w:w="324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Consecuencia del escenario.</w:t>
            </w:r>
          </w:p>
        </w:tc>
      </w:tr>
    </w:tbl>
    <w:p/>
    <w:p>
      <w:pPr>
        <w:pStyle w:val="Heading1"/>
      </w:pPr>
      <w:r>
        <w:t>7. Máquina de estados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Estado</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Descripción</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Transición principal</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BOOT</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Carga de assets y configuración.</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READY</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TUTORIAL</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Aprendizaje de controles.</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BLOCK_INTRO</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BLOCK_INTRO</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Contextualiza habilidad sin nombrar score.</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SCENARIO_READ</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SCENARIO_READ</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Datos y mensaje disponibles.</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DECISION</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DECISION</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Usuario selecciona/construye comunicación.</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MESSAGE_SENT</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MESSAGE_SENT</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Se registra mensaje y se bloquea edición.</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NPC_RESPONSE</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NPC_RESPONSE</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NPC confirma, aporta dato o malinterpreta.</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DECISION / REPAIR / OUTCOME</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REPAIR</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Usuario debe corregir/clarificar.</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NPC_RESPONSE / OUTCOME</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OUTCOME</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Consecuencia breve; sin coaching evaluativo.</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NEXT_SCENARIO</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SESSION_END</w:t>
            </w:r>
          </w:p>
        </w:tc>
        <w:tc>
          <w:tcPr>
            <w:tcW w:type="dxa" w:w="48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Cierre y sincronización.</w:t>
            </w:r>
          </w:p>
        </w:tc>
        <w:tc>
          <w:tcPr>
            <w:tcW w:type="dxa" w:w="316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COMPLETE</w:t>
            </w:r>
          </w:p>
        </w:tc>
      </w:tr>
    </w:tbl>
    <w:p/>
    <w:tbl>
      <w:tblPr>
        <w:tblStyle w:val="TableGrid"/>
        <w:tblW w:type="auto" w:w="0"/>
        <w:tblLook w:firstColumn="1" w:firstRow="1" w:lastColumn="0" w:lastRow="0" w:noHBand="0" w:noVBand="1" w:val="04A0"/>
      </w:tblPr>
      <w:tblGrid>
        <w:gridCol w:w="10166"/>
      </w:tblGrid>
      <w:tr>
        <w:tc>
          <w:tcPr>
            <w:tcW w:type="dxa" w:w="10166"/>
            <w:shd w:fill="EEF4F8"/>
            <w:tcBorders>
              <w:top w:val="single" w:sz="8" w:color="2B6CB0"/>
              <w:left w:val="single" w:sz="8" w:color="2B6CB0"/>
              <w:bottom w:val="single" w:sz="8" w:color="2B6CB0"/>
              <w:right w:val="single" w:sz="8" w:color="2B6CB0"/>
              <w:insideH w:val="single" w:sz="8" w:color="2B6CB0"/>
              <w:insideV w:val="single" w:sz="8" w:color="2B6CB0"/>
            </w:tcBorders>
            <w:tcMar>
              <w:top w:w="150" w:type="dxa"/>
              <w:start w:w="180" w:type="dxa"/>
              <w:bottom w:w="150" w:type="dxa"/>
              <w:end w:w="180" w:type="dxa"/>
            </w:tcMar>
          </w:tcPr>
          <w:p>
            <w:r>
              <w:rPr>
                <w:b/>
                <w:color w:val="18324B"/>
                <w:sz w:val="20"/>
              </w:rPr>
              <w:t>Regla de neutralidad</w:t>
              <w:br/>
            </w:r>
            <w:r>
              <w:rPr>
                <w:sz w:val="19"/>
              </w:rPr>
              <w:t>La interfaz puede indicar que una acción fue ejecutable o que el incidente terminó, pero no debe enseñar explícitamente “esta era la respuesta correcta” durante los bloques evaluativos, ya que eso generaría aprendizaje entre ítems.</w:t>
            </w:r>
          </w:p>
        </w:tc>
      </w:tr>
    </w:tbl>
    <w:p/>
    <w:p>
      <w:pPr>
        <w:pStyle w:val="Heading1"/>
      </w:pPr>
      <w:r>
        <w:t>8. Motor de escenarios y gramática de comunicación</w:t>
      </w:r>
    </w:p>
    <w:p>
      <w:pPr>
        <w:pStyle w:val="Heading2"/>
      </w:pPr>
      <w:r>
        <w:t>8.1. Intenciones de comunicación</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Intent tag</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Uso</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ASK_CRITICAL</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Solicitar un dato necesario para decidir.</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ASK_BROAD</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Pregunta general poco eficiente.</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INFORM</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Transmitir un hecho sin instrucción.</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INSTRUCT</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Indicar una acción concreta.</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CONDITION</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Añadir condición o criterio de ejecución.</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VERIFY</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Solicitar confirmación de comprensión o estado.</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CORRECT</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Reparar una interpretación previa.</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ESCALATE</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Detener o escalar cuando el riesgo excede la información disponible.</w:t>
            </w:r>
          </w:p>
        </w:tc>
      </w:tr>
      <w:tr>
        <w:trPr>
          <w:cantSplit/>
        </w:trPr>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ACK</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Confirmar recepción de información.</w:t>
            </w:r>
          </w:p>
        </w:tc>
      </w:tr>
    </w:tbl>
    <w:p/>
    <w:p>
      <w:pPr>
        <w:pStyle w:val="Heading2"/>
      </w:pPr>
      <w:r>
        <w:t>8.2. Validación semántica</w:t>
      </w:r>
    </w:p>
    <w:p>
      <w:pPr>
        <w:spacing w:after="120"/>
      </w:pPr>
      <w:r>
        <w:rPr>
          <w:i w:val="0"/>
        </w:rPr>
        <w:t>Una respuesta puede ser aceptable aunque su redacción superficial cambie. La evaluación se resuelve por presencia/ausencia de etiquetas y por condiciones de escenario. Ejemplo: para una instrucción crítica pueden exigirse {INSTRUCT, FACT_V3, CONDITION_PRESSURE, VERIFY}; una opción que incluya INSTRUCT pero omita FACT_V3 se considera ambigua.</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Nivel de calidad</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Criterio lógico</w:t>
            </w:r>
          </w:p>
        </w:tc>
        <w:tc>
          <w:tcPr>
            <w:tcW w:type="dxa" w:w="38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Ejemplo conceptual</w:t>
            </w:r>
          </w:p>
        </w:tc>
      </w:tr>
      <w:tr>
        <w:trPr>
          <w:cantSplit/>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Óptimo</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Cubre todos los hechos críticos, no introduce error y usa intención adecuada.</w:t>
            </w:r>
          </w:p>
        </w:tc>
        <w:tc>
          <w:tcPr>
            <w:tcW w:type="dxa" w:w="38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“Cierra V3 y confírmame cuando quede cerrada.”</w:t>
            </w:r>
          </w:p>
        </w:tc>
      </w:tr>
      <w:tr>
        <w:trPr>
          <w:cantSplit/>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Aceptable</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Resuelve la acción con una omisión menor no riesgosa.</w:t>
            </w:r>
          </w:p>
        </w:tc>
        <w:tc>
          <w:tcPr>
            <w:tcW w:type="dxa" w:w="38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“Cierra la válvula V3.”</w:t>
            </w:r>
          </w:p>
        </w:tc>
      </w:tr>
      <w:tr>
        <w:trPr>
          <w:cantSplit/>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Subóptimo</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Comunica información válida pero insuficiente o redundante.</w:t>
            </w:r>
          </w:p>
        </w:tc>
        <w:tc>
          <w:tcPr>
            <w:tcW w:type="dxa" w:w="38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“Hay sobrepresión; revisa las válvulas.”</w:t>
            </w:r>
          </w:p>
        </w:tc>
      </w:tr>
      <w:tr>
        <w:trPr>
          <w:cantSplit/>
        </w:trPr>
        <w:tc>
          <w:tcPr>
            <w:tcW w:type="dxa" w:w="18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Incorrecto</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Induce acción errónea, asume dato faltante o ignora riesgo.</w:t>
            </w:r>
          </w:p>
        </w:tc>
        <w:tc>
          <w:tcPr>
            <w:tcW w:type="dxa" w:w="38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“Reinicia el equipo ahora.”</w:t>
            </w:r>
          </w:p>
        </w:tc>
      </w:tr>
    </w:tbl>
    <w:p/>
    <w:p>
      <w:pPr>
        <w:pStyle w:val="Heading2"/>
      </w:pPr>
      <w:r>
        <w:t>8.3. Reglas para información incompleta</w:t>
      </w:r>
    </w:p>
    <w:p>
      <w:pPr>
        <w:pStyle w:val="ListBullet"/>
        <w:spacing w:after="40"/>
      </w:pPr>
      <w:r>
        <w:t>Si falta un hecho marcado como CRITICAL_REQUIRED, una instrucción irreversible no puede puntuar como óptima.</w:t>
      </w:r>
    </w:p>
    <w:p>
      <w:pPr>
        <w:pStyle w:val="ListBullet"/>
        <w:spacing w:after="40"/>
      </w:pPr>
      <w:r>
        <w:t>La pregunta eficiente debe resolver la incertidumbre crítica con el menor número de intercambios razonables.</w:t>
      </w:r>
    </w:p>
    <w:p>
      <w:pPr>
        <w:pStyle w:val="ListBullet"/>
        <w:spacing w:after="40"/>
      </w:pPr>
      <w:r>
        <w:t>Preguntas generales son válidas narrativamente, pero reciben menor eficiencia si existía una pregunta específica disponible.</w:t>
      </w:r>
    </w:p>
    <w:p>
      <w:pPr>
        <w:pStyle w:val="ListBullet"/>
        <w:spacing w:after="40"/>
      </w:pPr>
      <w:r>
        <w:t>Una acción de ESCALATE puede ser óptima cuando el escenario no permite reunir información suficiente de forma segura.</w:t>
      </w:r>
    </w:p>
    <w:p>
      <w:pPr>
        <w:pStyle w:val="Heading1"/>
      </w:pPr>
      <w:r>
        <w:t>9. Parámetros configurables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Parámetro</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Tipo / rango</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Función</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scenario_count</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6-18</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Cantidad total de escenarios evaluativos.</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trials_per_scenario</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2-5</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Intercambios requeridos.</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critical_fact_count</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1-5</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Hechos necesarios para resolución.</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distractor_count</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0-8</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Datos plausibles pero no relevantes.</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missing_fact_count</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0-2</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Información crítica inicialmente oculta.</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ambiguity_level</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0-3</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Grado de referencia o instrucción ambigua.</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receiver_profile</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TECH / SUPERVISOR / CLIENT / PEER</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Cambia registro y necesidad informativa.</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misunderstanding_probability</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0-1 controlado</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Activa nodo de reparación; en evaluación debe estar fijado por blueprint, no aleatorio puro.</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time_limit_s</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0 o 15-90</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0 = sin presión temporal.</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response_mode</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CARDS / BLOCKS / MIXED</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Formato de respuesta.</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option_count</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3-6</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Cantidad de alternativas visibles.</w:t>
            </w:r>
          </w:p>
        </w:tc>
      </w:tr>
      <w:tr>
        <w:trPr>
          <w:cantSplit/>
        </w:trPr>
        <w:tc>
          <w:tcPr>
            <w:tcW w:type="dxa" w:w="288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feedback_mode</w:t>
            </w:r>
          </w:p>
        </w:tc>
        <w:tc>
          <w:tcPr>
            <w:tcW w:type="dxa" w:w="302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NEUTRAL / PRACTICE</w:t>
            </w:r>
          </w:p>
        </w:tc>
        <w:tc>
          <w:tcPr>
            <w:tcW w:type="dxa" w:w="417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Controla coaching solo en tutorial.</w:t>
            </w:r>
          </w:p>
        </w:tc>
      </w:tr>
    </w:tbl>
    <w:p/>
    <w:p>
      <w:pPr>
        <w:pStyle w:val="Heading1"/>
      </w:pPr>
      <w:r>
        <w:t>10. Progresión de dificultad y blueprint evaluativo</w:t>
      </w:r>
    </w:p>
    <w:p>
      <w:pPr>
        <w:spacing w:after="120"/>
      </w:pPr>
      <w:r>
        <w:rPr>
          <w:i w:val="0"/>
        </w:rPr>
        <w:t>Baseline recomendado: tutorial + 6 bloques, con 2 escenarios por bloque. El orden de situaciones puede rotarse entre formas equivalentes, pero la dificultad y la dimensión dominante deben permanecer balanceadas.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Bloque</w:t>
            </w:r>
          </w:p>
        </w:tc>
        <w:tc>
          <w:tcPr>
            <w:tcW w:type="dxa" w:w="22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Foco dominante</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Manipulación</w:t>
            </w:r>
          </w:p>
        </w:tc>
        <w:tc>
          <w:tcPr>
            <w:tcW w:type="dxa" w:w="11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Escenarios</w:t>
            </w:r>
          </w:p>
        </w:tc>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Tiempo orientativo</w:t>
            </w:r>
          </w:p>
        </w:tc>
      </w:tr>
      <w:tr>
        <w:trPr>
          <w:cantSplit/>
        </w:trPr>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0 Tutorial</w:t>
            </w:r>
          </w:p>
        </w:tc>
        <w:tc>
          <w:tcPr>
            <w:tcW w:type="dxa" w:w="22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Controles</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Feedback guiado, sin score</w:t>
            </w:r>
          </w:p>
        </w:tc>
        <w:tc>
          <w:tcPr>
            <w:tcW w:type="dxa" w:w="11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2 práctica</w:t>
            </w:r>
          </w:p>
        </w:tc>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2 min</w:t>
            </w:r>
          </w:p>
        </w:tc>
      </w:tr>
      <w:tr>
        <w:trPr>
          <w:cantSplit/>
        </w:trPr>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1 Claridad</w:t>
            </w:r>
          </w:p>
        </w:tc>
        <w:tc>
          <w:tcPr>
            <w:tcW w:type="dxa" w:w="22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Claridad / precisión</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Información completa, poco ruido</w:t>
            </w:r>
          </w:p>
        </w:tc>
        <w:tc>
          <w:tcPr>
            <w:tcW w:type="dxa" w:w="11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2</w:t>
            </w:r>
          </w:p>
        </w:tc>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60-75 s c/u</w:t>
            </w:r>
          </w:p>
        </w:tc>
      </w:tr>
      <w:tr>
        <w:trPr>
          <w:cantSplit/>
        </w:trPr>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2 Relevancia</w:t>
            </w:r>
          </w:p>
        </w:tc>
        <w:tc>
          <w:tcPr>
            <w:tcW w:type="dxa" w:w="22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Síntesis / priorización</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Más distractores que hechos críticos</w:t>
            </w:r>
          </w:p>
        </w:tc>
        <w:tc>
          <w:tcPr>
            <w:tcW w:type="dxa" w:w="11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2</w:t>
            </w:r>
          </w:p>
        </w:tc>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60-75 s c/u</w:t>
            </w:r>
          </w:p>
        </w:tc>
      </w:tr>
      <w:tr>
        <w:trPr>
          <w:cantSplit/>
        </w:trPr>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3 Indagación</w:t>
            </w:r>
          </w:p>
        </w:tc>
        <w:tc>
          <w:tcPr>
            <w:tcW w:type="dxa" w:w="22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Preguntas / incertidumbre</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Falta 1 dato crítico</w:t>
            </w:r>
          </w:p>
        </w:tc>
        <w:tc>
          <w:tcPr>
            <w:tcW w:type="dxa" w:w="11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2</w:t>
            </w:r>
          </w:p>
        </w:tc>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75-90 s c/u</w:t>
            </w:r>
          </w:p>
        </w:tc>
      </w:tr>
      <w:tr>
        <w:trPr>
          <w:cantSplit/>
        </w:trPr>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4 Reparación</w:t>
            </w:r>
          </w:p>
        </w:tc>
        <w:tc>
          <w:tcPr>
            <w:tcW w:type="dxa" w:w="22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Corrección / closed loop</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NPC interpreta mal un referente</w:t>
            </w:r>
          </w:p>
        </w:tc>
        <w:tc>
          <w:tcPr>
            <w:tcW w:type="dxa" w:w="11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2</w:t>
            </w:r>
          </w:p>
        </w:tc>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75-90 s c/u</w:t>
            </w:r>
          </w:p>
        </w:tc>
      </w:tr>
      <w:tr>
        <w:trPr>
          <w:cantSplit/>
        </w:trPr>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5 Adaptación</w:t>
            </w:r>
          </w:p>
        </w:tc>
        <w:tc>
          <w:tcPr>
            <w:tcW w:type="dxa" w:w="22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Adecuación al receptor</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Mismo incidente, roles diferentes</w:t>
            </w:r>
          </w:p>
        </w:tc>
        <w:tc>
          <w:tcPr>
            <w:tcW w:type="dxa" w:w="11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2</w:t>
            </w:r>
          </w:p>
        </w:tc>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60-90 s c/u</w:t>
            </w:r>
          </w:p>
        </w:tc>
      </w:tr>
      <w:tr>
        <w:trPr>
          <w:cantSplit/>
        </w:trPr>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6 Integración</w:t>
            </w:r>
          </w:p>
        </w:tc>
        <w:tc>
          <w:tcPr>
            <w:tcW w:type="dxa" w:w="22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Comunicación bajo presión</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Ruido + falta de dato + tiempo</w:t>
            </w:r>
          </w:p>
        </w:tc>
        <w:tc>
          <w:tcPr>
            <w:tcW w:type="dxa" w:w="115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2</w:t>
            </w:r>
          </w:p>
        </w:tc>
        <w:tc>
          <w:tcPr>
            <w:tcW w:type="dxa" w:w="151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45-60 s c/u</w:t>
            </w:r>
          </w:p>
        </w:tc>
      </w:tr>
    </w:tbl>
    <w:p/>
    <w:p>
      <w:pPr>
        <w:pStyle w:val="Heading2"/>
      </w:pPr>
      <w:r>
        <w:t>10.1. Principios de dificultad</w:t>
      </w:r>
    </w:p>
    <w:p>
      <w:pPr>
        <w:pStyle w:val="ListBullet"/>
        <w:spacing w:after="40"/>
      </w:pPr>
      <w:r>
        <w:t>No aumentar dificultad haciendo el texto más largo de forma indiscriminada.</w:t>
      </w:r>
    </w:p>
    <w:p>
      <w:pPr>
        <w:pStyle w:val="ListBullet"/>
        <w:spacing w:after="40"/>
      </w:pPr>
      <w:r>
        <w:t>No usar targets táctiles pequeños ni interacciones motoras de precisión como fuente de dificultad.</w:t>
      </w:r>
    </w:p>
    <w:p>
      <w:pPr>
        <w:pStyle w:val="ListBullet"/>
        <w:spacing w:after="40"/>
      </w:pPr>
      <w:r>
        <w:t>La presión temporal se introduce tarde y con límites suficientemente amplios para que la lectura no sea el factor dominante.</w:t>
      </w:r>
    </w:p>
    <w:p>
      <w:pPr>
        <w:pStyle w:val="ListBullet"/>
        <w:spacing w:after="40"/>
      </w:pPr>
      <w:r>
        <w:t>Los escenarios de adaptación deben mantener constante el problema y variar el receptor para aislar la habilidad objetivo.</w:t>
      </w:r>
    </w:p>
    <w:p>
      <w:pPr>
        <w:pStyle w:val="ListBullet"/>
        <w:spacing w:after="40"/>
      </w:pPr>
      <w:r>
        <w:t>Los escenarios de reparación deben provocar el malentendido de forma determinista para permitir comparación entre usuarios.</w:t>
      </w:r>
    </w:p>
    <w:p>
      <w:pPr>
        <w:pStyle w:val="Heading1"/>
      </w:pPr>
      <w:r>
        <w:t>11. Telemetría, captura biométrica e instrucciones para el modelo de inferencia</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Evento</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Campos mínimos</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Interpretación</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SESSION_START</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device_class, viewport, locale</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Inicio y contexto técnico.</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BLOCK_START</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block_id</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Inicio de dimensión.</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SCENARIO_START</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scenario_id, form_id</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Inicio de situación.</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FACT_VIEW</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fact_id, visible_ms</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Exposición de dato; no implica lectura.</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RESPONSE_OPTION_SELECT</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option_id, intent_tags</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Selección de alternativa.</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MESSAGE_BLOCK_ADD</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block_id, semantic_tag, index</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Construcción de mensaje.</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MESSAGE_BLOCK_REORDER</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from, to</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Cambio de orden.</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MESSAGE_SEND</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message_id, tags, latency_ms</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Compromiso de respuesta.</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NPC_REPLY</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node_id, new_fact_ids</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Respuesta del interlocutor.</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MISUNDERSTANDING_TRIGGER</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node_id, target_ref</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Nodo de reparación.</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REPAIR_SEND</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message_id, tags, latency_ms</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Respuesta correctiva.</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VERIFY_ACTION</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type</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Confirmación solicitada.</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OUTCOME</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success_level, error_tags</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Resultado de escenario.</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SCENARIO_END</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duration_ms, score_components</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Cierre.</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VISIBILITY_CHANGE</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hidden_ms</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Posible pérdida de foco.</w:t>
            </w:r>
          </w:p>
        </w:tc>
      </w:tr>
      <w:tr>
        <w:trPr>
          <w:cantSplit/>
        </w:trPr>
        <w:tc>
          <w:tcPr>
            <w:tcW w:type="dxa" w:w="26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SESSION_END</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duration_ms, integrity_flags</w:t>
            </w:r>
          </w:p>
        </w:tc>
        <w:tc>
          <w:tcPr>
            <w:tcW w:type="dxa" w:w="36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Cierre de sesión.</w:t>
            </w:r>
          </w:p>
        </w:tc>
      </w:tr>
    </w:tbl>
    <w:p/>
    <w:p>
      <w:pPr>
        <w:pStyle w:val="Heading2"/>
      </w:pPr>
      <w:r>
        <w:t>11.1. Principio de captura biométrica</w:t>
      </w:r>
    </w:p>
    <w:p>
      <w:r>
        <w:t>La capa biométrica de EXP-COMM-001 debe considerarse una fuente auxiliar de contexto para el modelo de inferencia, no una medición directa de la competencia comunicativa. La calidad de comunicación continúa definiéndose principalmente por conducta observable dentro del juego (selección de información, preguntas, claridad, confirmación, reparación y adaptación). Las señales faciales, oculares y fisiológicas se emplean para estudiar esfuerzo, reactividad, cambios de estado y respuesta a presión, siempre condicionadas por calidad de captura y validación empírica.</w:t>
      </w:r>
    </w:p>
    <w:tbl>
      <w:tblPr>
        <w:tblStyle w:val="TableGrid"/>
        <w:tblW w:type="auto" w:w="0"/>
        <w:tblLayout w:type="autofit"/>
        <w:tblLook w:firstColumn="1" w:firstRow="1" w:lastColumn="0" w:lastRow="0" w:noHBand="0" w:noVBand="1" w:val="04A0"/>
      </w:tblPr>
      <w:tblGrid>
        <w:gridCol w:w="10166"/>
      </w:tblGrid>
      <w:tr>
        <w:trPr>
          <w:cantSplit/>
        </w:trPr>
        <w:tc>
          <w:tcPr>
            <w:tcW w:type="dxa" w:w="1016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EEF3F8"/>
          </w:tcPr>
          <w:p>
            <w:pPr>
              <w:spacing w:after="0"/>
            </w:pPr>
            <w:r>
              <w:rPr>
                <w:rFonts w:ascii="Aptos" w:hAnsi="Aptos"/>
                <w:sz w:val="16"/>
              </w:rPr>
            </w:r>
            <w:r>
              <w:rPr>
                <w:rFonts w:ascii="Aptos" w:hAnsi="Aptos"/>
                <w:b/>
                <w:sz w:val="16"/>
              </w:rPr>
              <w:t>Regla de interpretación</w:t>
              <w:br/>
            </w:r>
            <w:r>
              <w:rPr>
                <w:rFonts w:ascii="Aptos" w:hAnsi="Aptos"/>
                <w:sz w:val="16"/>
              </w:rPr>
              <w:t>FACS codifica movimientos faciales observables en Action Units (AUs). Una AU aislada no debe traducirse automáticamente a una emoción, rasgo o diagnóstico. El modelo debe trabajar con cambios respecto de la línea base individual, coactivaciones, contexto de tarea y otras modalidades.</w:t>
            </w:r>
          </w:p>
        </w:tc>
      </w:tr>
    </w:tbl>
    <w:p>
      <w:pPr>
        <w:pStyle w:val="Heading2"/>
      </w:pPr>
      <w:r>
        <w:t>11.2. Arquitectura de captura y sincronización</w:t>
      </w:r>
    </w:p>
    <w:p>
      <w:pPr>
        <w:pStyle w:val="ListBullet"/>
      </w:pPr>
      <w:r>
        <w:t>Reloj maestro: todos los eventos del juego y frames biométricos deben usar un reloj monotónico común de sesión (t_ms desde SESSION_START).</w:t>
      </w:r>
    </w:p>
    <w:p>
      <w:pPr>
        <w:pStyle w:val="ListBullet"/>
      </w:pPr>
      <w:r>
        <w:t>Video de entrada: objetivo 1280×720 a 30 fps. Se acepta degradación a 640×480 o menor frecuencia si el dispositivo lo requiere, pero debe registrarse el frame rate efectivo.</w:t>
      </w:r>
    </w:p>
    <w:p>
      <w:pPr>
        <w:pStyle w:val="ListBullet"/>
      </w:pPr>
      <w:r>
        <w:t>Inferencia facial: priorizar procesamiento local/edge. El pipeline puede reducir resolución o procesar a menor frecuencia para mantener el juego fluido, conservando timestamps del frame original.</w:t>
      </w:r>
    </w:p>
    <w:p>
      <w:pPr>
        <w:pStyle w:val="ListBullet"/>
      </w:pPr>
      <w:r>
        <w:t>Un solo rostro: num_faces=1. Si aparecen múltiples rostros, marcar MULTI_FACE_DETECTED y suspender inferencias hasta recuperar una única cara estable.</w:t>
      </w:r>
    </w:p>
    <w:p>
      <w:pPr>
        <w:pStyle w:val="ListBullet"/>
      </w:pPr>
      <w:r>
        <w:t>Sincronía: cada muestra debe incluir frame_id, capture_t_ms, inference_t_ms y game_phase para poder reconstruir ventanas alrededor de decisiones.</w:t>
      </w:r>
    </w:p>
    <w:p>
      <w:pPr>
        <w:pStyle w:val="ListBullet"/>
      </w:pPr>
      <w:r>
        <w:t>No bloquear gameplay: si el modelo biométrico cae, el juego debe continuar. La pérdida de señal genera quality flags, no errores de desempeño del usuario.</w:t>
      </w:r>
    </w:p>
    <w:p>
      <w:pPr>
        <w:pStyle w:val="Heading2"/>
      </w:pPr>
      <w:r>
        <w:t>11.3. Protocolo de calibración al inicio de sesión</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6"/>
                <w:color w:val="FFFFFF"/>
              </w:rPr>
              <w:t>Etapa</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6"/>
                <w:color w:val="FFFFFF"/>
              </w:rPr>
              <w:t>Duración</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6"/>
                <w:color w:val="FFFFFF"/>
              </w:rPr>
              <w:t>Uso</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A. Permiso y encuadre</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Variable</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Validar una cara, luz suficiente, ausencia de contraluz severo y posición utilizable.</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B. Estabilización</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2 s</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Permitir autoexposición/autoenfoque y estabilización del detector.</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 Línea base neutral</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8 s</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Mirar al centro de la pantalla con expresión natural. Estimar baseline individual por AU, blink, pose y gaze.</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D. Chequeo ocular</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2 s</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Solicitar mirar brevemente centro/izquierda/derecha para verificar que gaze cambia de forma coherente; no usar como calibración de alta precisión.</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Total recomendado</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12 s</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A 30 fps entrega ~360 frames, suficiente para una normalización temporal inicial del rostro en condiciones estables.</w:t>
            </w:r>
          </w:p>
        </w:tc>
      </w:tr>
    </w:tbl>
    <w:p>
      <w:r>
        <w:t>La calibración no debe exigir una “cara neutra perfecta”. El objetivo es obtener la distribución basal de cada señal para esa persona. En el modelo, priorizar deltas y z-scores intra-sujeto sobre umbrales absolutos entre personas.</w:t>
      </w:r>
    </w:p>
    <w:p>
      <w:pPr>
        <w:pStyle w:val="Heading2"/>
      </w:pPr>
      <w:r>
        <w:t>11.4. FACS: Action Units a capturar y prioridades</w:t>
      </w:r>
    </w:p>
    <w:p>
      <w:r>
        <w:t>Si se utiliza OpenFace como extractor, debe capturarse el subconjunto completo disponible (AU01, 02, 04, 05, 06, 07, 09, 10, 12, 14, 15, 17, 20, 23, 25, 26, 28 y 45), conservando tanto presencia como intensidad cuando el motor las entregue. La tabla siguiente define prioridades analíticas para EXP-COMM-001; no constituye una tabla de emociones.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AU</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Nombre FACS</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Prioridad</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Qué observar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Límite de interpretación</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AU01</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Inner Brow Raiser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Alta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Cambios de elevación medial de ceja; útil en transiciones de incertidumbre/recepción de información.</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etiquetar “sorpresa” sin contexto.</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AU02</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Outer Brow Raiser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Media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Complementa AU01 y cambios de alerta facial.</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Analizar como dinámica, no como emoción.</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AU04</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Brow Lowerer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Crítica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Contracción de cejas; sensible a esfuerzo facial, concentración o tensión contextual.</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Es una señal central de cambio de activación, no un “score de estrés”.</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AU05</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Upper Lid Raiser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Alta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Apertura palpebral superior; relevante ante cambios abruptos de información.</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Puede variar por anatomía y condiciones de cámara.</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AU06</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Cheek Raiser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Media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Actividad de mejilla; útil especialmente en coactivación con AU12.</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asumir positividad por sí sola.</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AU07</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Lid Tightener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Crítica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Tensión periocular; candidata para esfuerzo/activación durante decisión y presión.</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Muy sensible a entrecerrar ojos por brillo o problemas visuales.</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AU09</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Nose Wrinkler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Exploratoria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Movimiento nasal superior; registrar para patrones de respuesta.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Baja prioridad para scoring V1.</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AU10</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Upper Lip Raiser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Exploratoria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Elevación de labio superior; aporta dinámica facial adicional.</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usar como valencia emocional directa.</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AU12</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Lip Corner Puller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Alta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Movimiento de comisuras; útil para dinámica social/resultado y coactivación AU06+AU12.</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equivale automáticamente a “felicidad”.</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AU14</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Dimpler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Media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Tensión lateral de comisuras; puede aportar información sobre control/contención facial.</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Requiere buena resolución de boca.</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AU15</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Lip Corner Depressor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Media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Descenso de comisuras; registrar cambios respecto de baseline.</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Evitar etiqueta directa de tristeza.</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AU17</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Chin Raiser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Alta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Actividad del mentón; útil junto con AUs de labios en fases de decisión.</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Interpretar solo multimodalmente.</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AU20</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Lip Stretcher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Alta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Estiramiento horizontal de labios; posible marcador de tensión facial transitoria.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Puede confundirse con movimientos idiosincráticos.</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AU23</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Lip Tightener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Crítica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Compresión/tensión labial; priorizar alrededor de decisión, malentendido y presión.</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convertir en inferencia emocional univariada.</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AU25</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Lips Part</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Alta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Separación de labios; detecta apertura de boca y cambios dinámicos.</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Puede reflejar respiración, bostezo o habla externa no registrada.</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AU26</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Jaw Drop</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Media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Descenso mandibular; complementa AU25.</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Filtrar movimientos prolongados no relacionados con tarea.</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AU28</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Lip Suck</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Exploratoria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Labios hacia dentro; útil como señal adicional de tensión oral.</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priorizar hasta validar confiabilidad.</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AU45</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Blink</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Crítica</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Parpadeo: frecuencia, duración y cambio respecto de baseline.</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La calidad depende mucho del frame rate y de oclusiones/lentes.</w:t>
            </w:r>
          </w:p>
        </w:tc>
      </w:tr>
      <w:tr>
        <w:trPr>
          <w:cantSplit/>
        </w:trPr>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AU24*</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Lip Pressor</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Opcional</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Si el extractor lo soporta, registrar presión de labios como señal adicional.</w:t>
            </w:r>
          </w:p>
        </w:tc>
        <w:tc>
          <w:tcPr>
            <w:tcW w:type="dxa" w:w="2033"/>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está disponible en todos los extractores; no hacerlo requisito del pipeline.</w:t>
            </w:r>
          </w:p>
        </w:tc>
      </w:tr>
    </w:tbl>
    <w:p>
      <w:pPr>
        <w:pStyle w:val="Heading3"/>
      </w:pPr>
      <w:r>
        <w:t>11.4.1. Variables por AU</w:t>
      </w:r>
    </w:p>
    <w:p>
      <w:pPr>
        <w:pStyle w:val="ListBullet"/>
      </w:pPr>
      <w:r>
        <w:t>intensity_t: intensidad continua por frame (idealmente escala nativa del extractor; conservar metadato de escala).</w:t>
      </w:r>
    </w:p>
    <w:p>
      <w:pPr>
        <w:pStyle w:val="ListBullet"/>
      </w:pPr>
      <w:r>
        <w:t>presence_t: presencia binaria/probabilística si está disponible.</w:t>
      </w:r>
    </w:p>
    <w:p>
      <w:pPr>
        <w:pStyle w:val="ListBullet"/>
      </w:pPr>
      <w:r>
        <w:t>delta_baseline: intensidad actual menos mediana basal individual.</w:t>
      </w:r>
    </w:p>
    <w:p>
      <w:pPr>
        <w:pStyle w:val="ListBullet"/>
      </w:pPr>
      <w:r>
        <w:t>z_personal: normalización robusta respecto de baseline/sesión cuando exista suficiente señal.</w:t>
      </w:r>
    </w:p>
    <w:p>
      <w:pPr>
        <w:pStyle w:val="ListBullet"/>
      </w:pPr>
      <w:r>
        <w:t>mean, max, p90, std y área bajo curva por ventana evaluativa.</w:t>
      </w:r>
    </w:p>
    <w:p>
      <w:pPr>
        <w:pStyle w:val="ListBullet"/>
      </w:pPr>
      <w:r>
        <w:t>duration_above_personal_threshold_ms: duración por sobre un umbral individual provisional.</w:t>
      </w:r>
    </w:p>
    <w:p>
      <w:pPr>
        <w:pStyle w:val="ListBullet"/>
      </w:pPr>
      <w:r>
        <w:t>peak_count y onset_rate: cantidad y frecuencia de activaciones detectables.</w:t>
      </w:r>
    </w:p>
    <w:p>
      <w:pPr>
        <w:pStyle w:val="ListBullet"/>
      </w:pPr>
      <w:r>
        <w:t>coactivation features: AU04+AU07, AU01+AU02, AU06+AU12, AU17+AU23 y otras combinaciones definidas a priori para análisis; no etiquetarlas como emociones.</w:t>
      </w:r>
    </w:p>
    <w:p>
      <w:pPr>
        <w:pStyle w:val="Heading2"/>
      </w:pPr>
      <w:r>
        <w:t>11.5. Mirada, ojos y cabeza</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Señal</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Prioridad</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Feature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Uso / precaución</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Gaze vector / gaze angle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Crítica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Dirección estimada de mirada por ojo y/o ángulos combinados.</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Usar principalmente para AOIs grandes, no para afirmar fijaciones de precisión clínica.</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AOI dwell time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Crítica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Tiempo estimado mirando Panel de Datos, NPC, Respuestas, Timer y Feedback.</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Normalizar por duración de fase.</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AOI transitions</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Alta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Cantidad y secuencia de cambios entre áreas de interés.</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Puede describir estrategia de exploración.</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Gaze dispersion</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Alta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Dispersión de puntos/direcciones durante decisión.</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Comparar con baseline y dificultad.</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Revisit count</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Alta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Número de retornos al dato crítico o mensaje del NPC.</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Útil para reparación/verificación.</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Blink rate / AU45</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Crítica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Parpadeos por minuto o por ventana; cambio relativo.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Requiere suficiente resolución temporal.</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Blink duration</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Media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Duración mediana de cierre ocular.</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Descartar cierres prolongados / tracking loss.</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Head pose yaw/pitch/roll</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Crítica calidad</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Pose 3D para distinguir mirar fuera, mala alineación o pérdida de tracking.</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puntuar como conducta comunicativa por sí sola.</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Screen-away events</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Alta calidad</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Episodios donde cabeza/mirada salen de la zona utilizable.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Puede ser dato de integridad/calidad, no “desatención” automática.</w:t>
            </w:r>
          </w:p>
        </w:tc>
      </w:tr>
    </w:tbl>
    <w:tbl>
      <w:tblPr>
        <w:tblStyle w:val="TableGrid"/>
        <w:tblW w:type="auto" w:w="0"/>
        <w:tblLayout w:type="autofit"/>
        <w:tblLook w:firstColumn="1" w:firstRow="1" w:lastColumn="0" w:lastRow="0" w:noHBand="0" w:noVBand="1" w:val="04A0"/>
      </w:tblPr>
      <w:tblGrid>
        <w:gridCol w:w="10166"/>
      </w:tblGrid>
      <w:tr>
        <w:trPr>
          <w:cantSplit/>
        </w:trPr>
        <w:tc>
          <w:tcPr>
            <w:tcW w:type="dxa" w:w="1016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EEF3F8"/>
          </w:tcPr>
          <w:p>
            <w:pPr>
              <w:spacing w:after="0"/>
            </w:pPr>
            <w:r>
              <w:rPr>
                <w:rFonts w:ascii="Aptos" w:hAnsi="Aptos"/>
                <w:sz w:val="16"/>
              </w:rPr>
            </w:r>
            <w:r>
              <w:rPr>
                <w:rFonts w:ascii="Aptos" w:hAnsi="Aptos"/>
                <w:b/>
                <w:sz w:val="16"/>
              </w:rPr>
              <w:t>Pupilometría</w:t>
              <w:br/>
            </w:r>
            <w:r>
              <w:rPr>
                <w:rFonts w:ascii="Aptos" w:hAnsi="Aptos"/>
                <w:sz w:val="16"/>
              </w:rPr>
              <w:t>No utilizar diámetro pupilar como variable V1 con webcam RGB estándar. La pupila es especialmente sensible a iluminación, exposición automática, resolución y óptica. Solo habilitarla con hardware/eye-tracker calibrado y protocolo específico.</w:t>
            </w:r>
          </w:p>
        </w:tc>
      </w:tr>
    </w:tbl>
    <w:p>
      <w:pPr>
        <w:pStyle w:val="Heading2"/>
      </w:pPr>
      <w:r>
        <w:t>11.6. Variables fisiológicas opcionales por cámara (rPPG)</w:t>
      </w:r>
    </w:p>
    <w:p>
      <w:r>
        <w:t>La fotopletismografía remota (rPPG) puede estimar frecuencia cardiaca a partir de cambios cromáticos sutiles en regiones de piel, pero es mucho más sensible a movimiento, iluminación, cámara y tono de piel. Por ello se define como canal de investigación opcional y no como requisito del producto ni del score V1.</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Variable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Estado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Descripción</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Regla</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HR_bpm</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Opcional</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Mediana/estimación rolling de frecuencia cardiaca.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Usar ventanas suficientemente largas (p.ej. 20–30 s) y solo con SQI válido.</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HR_delta_baseline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Opcional</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Cambio respecto de baseline de sesión.</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Más interpretable que umbral absoluto entre personas.</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rPPG_SQI</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Obligatoria si rPPG</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Índice de calidad de señal.</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Sin SQI suficiente, no producir HR.</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HRV</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V1</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Variabilidad de intervalos entre pulsos.</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recomendar con webcam de consumo y ventanas cortas; exige mayor precisión temporal y validación.</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Respiración por video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V1</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Estimación por modulación/movimiento.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Demasiado sensible a postura y cámara para scoring inicial.</w:t>
            </w:r>
          </w:p>
        </w:tc>
      </w:tr>
    </w:tbl>
    <w:p>
      <w:pPr>
        <w:pStyle w:val="Heading2"/>
      </w:pPr>
      <w:r>
        <w:t>11.7. Señales conductuales y motoras sincronizadas</w:t>
      </w:r>
    </w:p>
    <w:p>
      <w:r>
        <w:t>Aunque no son biometría facial, estas señales deben entrar al mismo modelo multimodal porque permiten contextualizar los cambios observados en rostro y mirada:</w:t>
      </w:r>
    </w:p>
    <w:p>
      <w:pPr>
        <w:pStyle w:val="ListBullet"/>
      </w:pPr>
      <w:r>
        <w:t>cursor/touch trajectory: x, y, velocidad, aceleración y jerk cuando exista movimiento continuo;</w:t>
      </w:r>
    </w:p>
    <w:p>
      <w:pPr>
        <w:pStyle w:val="ListBullet"/>
      </w:pPr>
      <w:r>
        <w:t>hover/dwell (solo mouse) y equivalente touch basado en latencia antes de tap; nunca comparar hover entre dispositivos;</w:t>
      </w:r>
    </w:p>
    <w:p>
      <w:pPr>
        <w:pStyle w:val="ListBullet"/>
      </w:pPr>
      <w:r>
        <w:t>response_latency_ms por fase y por tipo de decisión;</w:t>
      </w:r>
    </w:p>
    <w:p>
      <w:pPr>
        <w:pStyle w:val="ListBullet"/>
      </w:pPr>
      <w:r>
        <w:t>hesitation episodes: pausas sin interacción en ventanas definidas;</w:t>
      </w:r>
    </w:p>
    <w:p>
      <w:pPr>
        <w:pStyle w:val="ListBullet"/>
      </w:pPr>
      <w:r>
        <w:t>option switching / deselection / reorder_count: cambios de decisión antes de enviar;</w:t>
      </w:r>
    </w:p>
    <w:p>
      <w:pPr>
        <w:pStyle w:val="ListBullet"/>
      </w:pPr>
      <w:r>
        <w:t>repair_latency_ms: tiempo desde malentendido del NPC hasta primera acción de reparación;</w:t>
      </w:r>
    </w:p>
    <w:p>
      <w:pPr>
        <w:pStyle w:val="ListBullet"/>
      </w:pPr>
      <w:r>
        <w:t>critical_info_revisit: retorno visual/interactivo a información crítica antes de responder;</w:t>
      </w:r>
    </w:p>
    <w:p>
      <w:pPr>
        <w:pStyle w:val="ListBullet"/>
      </w:pPr>
      <w:r>
        <w:t>error/recovery sequence: orden de error, feedback y corrección.</w:t>
      </w:r>
    </w:p>
    <w:p>
      <w:pPr>
        <w:pStyle w:val="Heading2"/>
      </w:pPr>
      <w:r>
        <w:t>11.8. Quality gates y criterios de validez de captura</w:t>
      </w:r>
    </w:p>
    <w:p>
      <w:r>
        <w:t>Los siguientes umbrales son especificaciones de ingeniería provisionales y deben calibrarse por dispositivo y extractor. Su función es impedir que una señal mala se convierta en una inferencia fuerte.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Quality metric</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Target V1</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Estado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Acción</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face_detection_confidence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≥0.70</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Válido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0.50–0.69 degradado; &lt;0.50 frame inválido.</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tracking_confidence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≥0.70</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Válido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Registrar promedio y mínimos por trial.</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valid_frame_ratio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≥0.80</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Biometría utilizable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0.60–0.79 parcial; &lt;0.60 no emitir inferencia biométrica del trial.</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face_count</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1</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Válido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0 = tracking loss; &gt;1 = MULTI_FACE_DETECTED.</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head_yaw</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|yaw| ≤25°</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Óptimo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25–35° degradado; &gt;35° excluir features faciales finas.</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head_pitch</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|pitch| ≤20°</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Óptimo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20–30° degradado; &gt;30° excluir features faciales finas.</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head_roll</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|roll| ≤20°</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Óptimo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Registrar para control de pose.</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effective_fps</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≥20 fps</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Óptimo ocular</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12–19 fps aceptable/degradado; &lt;12 fps no usar métricas finas de blink/onset.</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occlusion</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Sin máscara/mano sobre cara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Óptimo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Gafas, cabello, mano, máscara o reflejos deben generar flags por región.</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illumination</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Frontal/estable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Óptimo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Contraluz, saturación o cambios fuertes invalidan rPPG y pueden degradar AUs.</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frame_drop_rate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&lt;10%</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Óptimo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Registrar drops; no interpolar eventos rápidos agresivamente.</w:t>
            </w:r>
          </w:p>
        </w:tc>
      </w:tr>
    </w:tbl>
    <w:p>
      <w:pPr>
        <w:pStyle w:val="Heading3"/>
      </w:pPr>
      <w:r>
        <w:t>11.8.1. Flags mínimos</w:t>
      </w:r>
    </w:p>
    <w:p>
      <w:pPr>
        <w:pStyle w:val="ListBullet"/>
      </w:pPr>
      <w:r>
        <w:t>`FACE_NOT_FOUND`</w:t>
      </w:r>
    </w:p>
    <w:p>
      <w:pPr>
        <w:pStyle w:val="ListBullet"/>
      </w:pPr>
      <w:r>
        <w:t>`MULTI_FACE_DETECTED`</w:t>
      </w:r>
    </w:p>
    <w:p>
      <w:pPr>
        <w:pStyle w:val="ListBullet"/>
      </w:pPr>
      <w:r>
        <w:t>`LOW_FACE_CONFIDENCE`</w:t>
      </w:r>
    </w:p>
    <w:p>
      <w:pPr>
        <w:pStyle w:val="ListBullet"/>
      </w:pPr>
      <w:r>
        <w:t>`LOW_TRACK_CONFIDENCE`</w:t>
      </w:r>
    </w:p>
    <w:p>
      <w:pPr>
        <w:pStyle w:val="ListBullet"/>
      </w:pPr>
      <w:r>
        <w:t>`POSE_OUT_OF_RANGE`</w:t>
      </w:r>
    </w:p>
    <w:p>
      <w:pPr>
        <w:pStyle w:val="ListBullet"/>
      </w:pPr>
      <w:r>
        <w:t>`EYE_OCCLUDED`</w:t>
      </w:r>
    </w:p>
    <w:p>
      <w:pPr>
        <w:pStyle w:val="ListBullet"/>
      </w:pPr>
      <w:r>
        <w:t>`MOUTH_OCCLUDED`</w:t>
      </w:r>
    </w:p>
    <w:p>
      <w:pPr>
        <w:pStyle w:val="ListBullet"/>
      </w:pPr>
      <w:r>
        <w:t>`LOW_LIGHT`</w:t>
      </w:r>
    </w:p>
    <w:p>
      <w:pPr>
        <w:pStyle w:val="ListBullet"/>
      </w:pPr>
      <w:r>
        <w:t>`BACKLIGHT`</w:t>
      </w:r>
    </w:p>
    <w:p>
      <w:pPr>
        <w:pStyle w:val="ListBullet"/>
      </w:pPr>
      <w:r>
        <w:t>`CAMERA_FPS_LOW`</w:t>
      </w:r>
    </w:p>
    <w:p>
      <w:pPr>
        <w:pStyle w:val="ListBullet"/>
      </w:pPr>
      <w:r>
        <w:t>`FRAME_DROPS_HIGH`</w:t>
      </w:r>
    </w:p>
    <w:p>
      <w:pPr>
        <w:pStyle w:val="ListBullet"/>
      </w:pPr>
      <w:r>
        <w:t>`GAZE_UNCALIBRATED`</w:t>
      </w:r>
    </w:p>
    <w:p>
      <w:pPr>
        <w:pStyle w:val="ListBullet"/>
      </w:pPr>
      <w:r>
        <w:t>`RPPG_LOW_SQI`</w:t>
      </w:r>
    </w:p>
    <w:p>
      <w:pPr>
        <w:pStyle w:val="ListBullet"/>
      </w:pPr>
      <w:r>
        <w:t>`BIOMETRIC_MODEL_ERROR`</w:t>
      </w:r>
    </w:p>
    <w:p>
      <w:pPr>
        <w:pStyle w:val="Heading2"/>
      </w:pPr>
      <w:r>
        <w:t>11.9. Ventanas temporales para feature engineering</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Ventana</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Definición</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Features principales</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W0 BASELINE</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Calibración</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Baseline por AU, blink, pose, gaze y opcional rPPG.</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W1 ORIENT</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SCENARIO_RENDER → primera interacción</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Exploración inicial: gaze AOI, latencia, AU deltas.</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W2 DECIDE</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1.5–3 s previos a SEND/CONFIRM</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Esfuerzo/hesitación previo a decisión; usar ventana retrospectiva.</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W3 COMPOSE</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Inicio de selección → SEND</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Cambios de opción, ordenamiento, gaze entre datos y respuesta.</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W4 RECEIVE</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NPC_MESSAGE_RENDER → primera acción</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Reacción a nueva información o confirmación.</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W5 REPAIR</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MISUNDERSTANDING_RENDER → reparación enviada</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Ventana central para reparación; combinar conducta, gaze y AUs.</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W6 PRESSURE</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Últimos 10 s o estado crítico</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Comparar con bloques sin presión y baseline personal.</w:t>
            </w:r>
          </w:p>
        </w:tc>
      </w:tr>
      <w:tr>
        <w:trPr>
          <w:cantSplit/>
        </w:trPr>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W7 OUTCOME</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0–2 s después de consecuencia</w:t>
            </w:r>
          </w:p>
        </w:tc>
        <w:tc>
          <w:tcPr>
            <w:tcW w:type="dxa" w:w="3389"/>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Respuesta postresultado; no usar para puntuar comunicación del trial.</w:t>
            </w:r>
          </w:p>
        </w:tc>
      </w:tr>
    </w:tbl>
    <w:p>
      <w:pPr>
        <w:pStyle w:val="Heading2"/>
      </w:pPr>
      <w:r>
        <w:t>11.10. Normalización y preparación de features para el modelo</w:t>
      </w:r>
    </w:p>
    <w:p>
      <w:pPr>
        <w:pStyle w:val="ListBullet"/>
      </w:pPr>
      <w:r>
        <w:t>Conservar valores crudos del extractor y una versión normalizada; nunca reemplazar permanentemente la señal original por el z-score.</w:t>
      </w:r>
    </w:p>
    <w:p>
      <w:pPr>
        <w:pStyle w:val="ListBullet"/>
      </w:pPr>
      <w:r>
        <w:t>Normalización primaria: delta respecto de mediana basal individual. Usar escalado robusto (mediana/MAD o IQR) cuando sea posible.</w:t>
      </w:r>
    </w:p>
    <w:p>
      <w:pPr>
        <w:pStyle w:val="ListBullet"/>
      </w:pPr>
      <w:r>
        <w:t>Agregar feature_quality_mask por modalidad y ventana; el modelo debe conocer explícitamente qué señales faltan.</w:t>
      </w:r>
    </w:p>
    <w:p>
      <w:pPr>
        <w:pStyle w:val="ListBullet"/>
      </w:pPr>
      <w:r>
        <w:t>No imputar biometría faltante con promedios demográficos ni inferir variables sensibles desde la cara.</w:t>
      </w:r>
    </w:p>
    <w:p>
      <w:pPr>
        <w:pStyle w:val="ListBullet"/>
      </w:pPr>
      <w:r>
        <w:t>Agregar contexto no biométrico: scenario_id, phase, difficulty, receiver_role, pressure_condition, device_class, viewport y fps efectivo.</w:t>
      </w:r>
    </w:p>
    <w:p>
      <w:pPr>
        <w:pStyle w:val="ListBullet"/>
      </w:pPr>
      <w:r>
        <w:t>Evitar leakage: features posteriores al envío o al resultado no pueden usarse para predecir la decisión que ya ocurrió.</w:t>
      </w:r>
    </w:p>
    <w:p>
      <w:pPr>
        <w:pStyle w:val="ListBullet"/>
      </w:pPr>
      <w:r>
        <w:t>Para entrenamiento, dividir train/validation/test por persona (group split), no por frames, para evitar que el modelo memorice identidad.</w:t>
      </w:r>
    </w:p>
    <w:p>
      <w:pPr>
        <w:pStyle w:val="Heading2"/>
      </w:pPr>
      <w:r>
        <w:t>11.11. Índices auxiliares candidatos para inferencia</w:t>
      </w:r>
    </w:p>
    <w:p>
      <w:r>
        <w:t>Estos índices son objetivos de modelado exploratorio, no etiquetas clínicas ni resultados psicométricos listos para producción:</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Índice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Inputs candidatos</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Objetivo</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sz w:val="14"/>
                <w:color w:val="FFFFFF"/>
              </w:rPr>
              <w:t>Límite</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cognitive_effort_aux</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AU04/AU07/AU23 deltas + gaze dispersion/transitions + hesitation</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Cambio de activación durante decisión compleja.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usar para “capacidad cognitiva” sin validación.</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uncertainty_response_aux</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Dinámica AU01/AU02/AU05 + revisitas + conducta de clarificación</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Respuesta ante información incompleta.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Debe contrastarse con ground truth del escenario.</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pressure_reactivity_aux</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Cambio W6 vs. baseline/control: AUs, blink, pose, jitter y latencia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Reactividad a presión temporal.</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Separar reactividad de rendimiento.</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repair_activation_aux</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Cambio W5 vs. W4 + repair latency + critical info revisit</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Respuesta al malentendido y recuperación.</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El score de reparación sigue siendo conductual.</w:t>
            </w:r>
          </w:p>
        </w:tc>
      </w:tr>
      <w:tr>
        <w:trPr>
          <w:cantSplit/>
        </w:trPr>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engagement_quality_aux</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tracking válido + gaze AOI + interacción efectiva</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Calidad/participación observable.</w:t>
            </w:r>
          </w:p>
        </w:tc>
        <w:tc>
          <w:tcPr>
            <w:tcW w:type="dxa" w:w="2541"/>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4"/>
              </w:rPr>
              <w:t>No inferir motivación personal directamente.</w:t>
            </w:r>
          </w:p>
        </w:tc>
      </w:tr>
    </w:tbl>
    <w:tbl>
      <w:tblPr>
        <w:tblStyle w:val="TableGrid"/>
        <w:tblW w:type="auto" w:w="0"/>
        <w:tblLayout w:type="autofit"/>
        <w:tblLook w:firstColumn="1" w:firstRow="1" w:lastColumn="0" w:lastRow="0" w:noHBand="0" w:noVBand="1" w:val="04A0"/>
      </w:tblPr>
      <w:tblGrid>
        <w:gridCol w:w="10166"/>
      </w:tblGrid>
      <w:tr>
        <w:trPr>
          <w:cantSplit/>
        </w:trPr>
        <w:tc>
          <w:tcPr>
            <w:tcW w:type="dxa" w:w="1016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EEF3F8"/>
          </w:tcPr>
          <w:p>
            <w:pPr>
              <w:spacing w:after="0"/>
            </w:pPr>
            <w:r>
              <w:rPr>
                <w:rFonts w:ascii="Aptos" w:hAnsi="Aptos"/>
                <w:sz w:val="16"/>
              </w:rPr>
            </w:r>
            <w:r>
              <w:rPr>
                <w:rFonts w:ascii="Aptos" w:hAnsi="Aptos"/>
                <w:b/>
                <w:sz w:val="16"/>
              </w:rPr>
              <w:t>Principio de scoring</w:t>
              <w:br/>
            </w:r>
            <w:r>
              <w:rPr>
                <w:rFonts w:ascii="Aptos" w:hAnsi="Aptos"/>
                <w:sz w:val="16"/>
              </w:rPr>
              <w:t>Hasta completar validación, ningún índice biométrico debe modificar el score principal de Comunicación. Puede almacenarse y analizarse como feature experimental. La activación de pesos biométricos en producción requiere evidencia de validez incremental, estabilidad, equidad entre dispositivos y ausencia de sesgo material.</w:t>
            </w:r>
          </w:p>
        </w:tc>
      </w:tr>
    </w:tbl>
    <w:p>
      <w:pPr>
        <w:pStyle w:val="Heading2"/>
      </w:pPr>
      <w:r>
        <w:t>11.12. Payload biométrico recomendado</w:t>
      </w:r>
    </w:p>
    <w:p>
      <w:r>
        <w:t>Ejemplo de estructura resumida por ventana. La implementación real puede usar streaming o series temporales separadas:</w:t>
      </w:r>
    </w:p>
    <w:p>
      <w:r>
        <w:rPr>
          <w:rFonts w:ascii="Consolas" w:hAnsi="Consolas"/>
          <w:sz w:val="16"/>
        </w:rPr>
        <w:t>"biometrics": {</w:t>
        <w:br/>
        <w:t xml:space="preserve">  "capture": {</w:t>
        <w:br/>
        <w:t xml:space="preserve">    "camera_mode": "edge_optional",</w:t>
        <w:br/>
        <w:t xml:space="preserve">    "resolution": "1280x720",</w:t>
        <w:br/>
        <w:t xml:space="preserve">    "effective_fps": 28.7,</w:t>
        <w:br/>
        <w:t xml:space="preserve">    "valid_frame_ratio": 0.93,</w:t>
        <w:br/>
        <w:t xml:space="preserve">    "quality_flags": []</w:t>
        <w:br/>
        <w:t xml:space="preserve">  },</w:t>
        <w:br/>
        <w:t xml:space="preserve">  "window": "W5_REPAIR",</w:t>
        <w:br/>
        <w:t xml:space="preserve">  "facs": {</w:t>
        <w:br/>
        <w:t xml:space="preserve">    "AU04": {"mean": 1.42, "p90": 2.10, "delta_baseline": 0.71},</w:t>
        <w:br/>
        <w:t xml:space="preserve">    "AU07": {"mean": 1.18, "delta_baseline": 0.49},</w:t>
        <w:br/>
        <w:t xml:space="preserve">    "AU23": {"mean": 0.62, "delta_baseline": 0.31},</w:t>
        <w:br/>
        <w:t xml:space="preserve">    "AU45": {"blink_rate_hz": 0.27}</w:t>
        <w:br/>
        <w:t xml:space="preserve">  },</w:t>
        <w:br/>
        <w:t xml:space="preserve">  "gaze": {</w:t>
        <w:br/>
        <w:t xml:space="preserve">    "npc_dwell_ms": 890,</w:t>
        <w:br/>
        <w:t xml:space="preserve">    "critical_data_dwell_ms": 1240,</w:t>
        <w:br/>
        <w:t xml:space="preserve">    "aoi_transitions": 5,</w:t>
        <w:br/>
        <w:t xml:space="preserve">    "dispersion_norm": 0.31</w:t>
        <w:br/>
        <w:t xml:space="preserve">  },</w:t>
        <w:br/>
        <w:t xml:space="preserve">  "head_pose": {"yaw_mean": 2.4, "pitch_mean": -4.1, "roll_mean": 1.2},</w:t>
        <w:br/>
        <w:t xml:space="preserve">  "behavioral_sync": {</w:t>
        <w:br/>
        <w:t xml:space="preserve">    "repair_latency_ms": 1840,</w:t>
        <w:br/>
        <w:t xml:space="preserve">    "option_switch_count": 1</w:t>
        <w:br/>
        <w:t xml:space="preserve">  }</w:t>
        <w:br/>
        <w:t>}</w:t>
      </w:r>
    </w:p>
    <w:p>
      <w:pPr>
        <w:pStyle w:val="Heading2"/>
      </w:pPr>
      <w:r>
        <w:t>11.13. Privacidad, sesgo y gobernanza biométrica</w:t>
      </w:r>
    </w:p>
    <w:p>
      <w:pPr>
        <w:pStyle w:val="ListBullet"/>
      </w:pPr>
      <w:r>
        <w:t>Consentimiento separado para captura de cámara; explicar finalidad, datos derivados y si existe o no retención de video.</w:t>
      </w:r>
    </w:p>
    <w:p>
      <w:pPr>
        <w:pStyle w:val="ListBullet"/>
      </w:pPr>
      <w:r>
        <w:t>Procesamiento local por defecto cuando la arquitectura lo permita. Subir solo features derivadas y quality metrics.</w:t>
      </w:r>
    </w:p>
    <w:p>
      <w:pPr>
        <w:pStyle w:val="ListBullet"/>
      </w:pPr>
      <w:r>
        <w:t>Video crudo deshabilitado por defecto en producción. Habilitarlo únicamente en cohortes de investigación aprobadas.</w:t>
      </w:r>
    </w:p>
    <w:p>
      <w:pPr>
        <w:pStyle w:val="ListBullet"/>
      </w:pPr>
      <w:r>
        <w:t>No realizar reconocimiento facial, identificación, verificación de identidad ni generación de embeddings reutilizables para identidad.</w:t>
      </w:r>
    </w:p>
    <w:p>
      <w:pPr>
        <w:pStyle w:val="ListBullet"/>
      </w:pPr>
      <w:r>
        <w:t>No inferir raza, etnia, salud, diagnóstico, ideología u otras categorías sensibles desde el rostro.</w:t>
      </w:r>
    </w:p>
    <w:p>
      <w:pPr>
        <w:pStyle w:val="ListBullet"/>
      </w:pPr>
      <w:r>
        <w:t>Auditar desempeño del extractor por condiciones de cámara, iluminación, gafas, pose y grupos demográficos obtenidos por vías consentidas; nunca asumir equidad por diseño.</w:t>
      </w:r>
    </w:p>
    <w:p>
      <w:pPr>
        <w:pStyle w:val="ListBullet"/>
      </w:pPr>
      <w:r>
        <w:t>Las señales rPPG requieren auditoría específica por tono de piel, iluminación y movimiento antes de cualquier uso evaluativo.</w:t>
      </w:r>
    </w:p>
    <w:p>
      <w:pPr>
        <w:pStyle w:val="ListBullet"/>
      </w:pPr>
      <w:r>
        <w:t>Si el usuario rechaza cámara o la señal no alcanza calidad, el sistema debe poder entregar el score conductual sin penalización; la biometría se marca como unavailable.</w:t>
      </w:r>
    </w:p>
    <w:p>
      <w:pPr>
        <w:pStyle w:val="Heading2"/>
      </w:pPr>
      <w:r>
        <w:t>11.14. Criterios de aceptación del pipeline biométrico</w:t>
      </w:r>
    </w:p>
    <w:p>
      <w:pPr>
        <w:pStyle w:val="ListBullet"/>
      </w:pPr>
      <w:r>
        <w:t>Los eventos del juego y muestras biométricas comparten timestamps y pueden alinearse con error documentado.</w:t>
      </w:r>
    </w:p>
    <w:p>
      <w:pPr>
        <w:pStyle w:val="ListBullet"/>
      </w:pPr>
      <w:r>
        <w:t>El sistema genera baseline individual y lo vincula a la sesión.</w:t>
      </w:r>
    </w:p>
    <w:p>
      <w:pPr>
        <w:pStyle w:val="ListBullet"/>
      </w:pPr>
      <w:r>
        <w:t>Cada trial conserva valid_frame_ratio y quality_flags.</w:t>
      </w:r>
    </w:p>
    <w:p>
      <w:pPr>
        <w:pStyle w:val="ListBullet"/>
      </w:pPr>
      <w:r>
        <w:t>Una pérdida total de cámara no interrumpe el juego ni altera el score conductual.</w:t>
      </w:r>
    </w:p>
    <w:p>
      <w:pPr>
        <w:pStyle w:val="ListBullet"/>
      </w:pPr>
      <w:r>
        <w:t>El pipeline captura el conjunto FACS definido o declara explícitamente qué AUs no soporta el extractor.</w:t>
      </w:r>
    </w:p>
    <w:p>
      <w:pPr>
        <w:pStyle w:val="ListBullet"/>
      </w:pPr>
      <w:r>
        <w:t>Gaze y head pose se almacenan con confidence/quality; no se generan fijaciones “precisas” si el sistema solo ofrece estimación gruesa.</w:t>
      </w:r>
    </w:p>
    <w:p>
      <w:pPr>
        <w:pStyle w:val="ListBullet"/>
      </w:pPr>
      <w:r>
        <w:t>El modelo de inferencia consume quality masks y puede operar con modalidades faltantes.</w:t>
      </w:r>
    </w:p>
    <w:p>
      <w:pPr>
        <w:pStyle w:val="ListBullet"/>
      </w:pPr>
      <w:r>
        <w:t>No existe ninguna regla en producción del tipo AUxx = emoción/rasgo.</w:t>
      </w:r>
    </w:p>
    <w:p>
      <w:pPr>
        <w:pStyle w:val="ListBullet"/>
      </w:pPr>
      <w:r>
        <w:t>Las features biométricas no modifican scoring de selección hasta completar validación incremental y fairness audit.</w:t>
      </w:r>
    </w:p>
    <w:p>
      <w:pPr>
        <w:pStyle w:val="Heading1"/>
      </w:pPr>
      <w:r>
        <w:t>12. Métricas derivadas y scoring</w:t>
      </w:r>
    </w:p>
    <w:p>
      <w:pPr>
        <w:pStyle w:val="Heading2"/>
      </w:pPr>
      <w:r>
        <w:t>12.1. Métricas conductuales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Métrica</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Fórmula / lógica</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5"/>
              </w:rPr>
              <w:t>Lectura</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critical_information_coverage</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hechos críticos comunicados / hechos críticos requeridos</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Cobertura del contenido necesario.</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relevance_ratio</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unidades relevantes / unidades comunicadas</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Capacidad de síntesis.</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clarification_precision</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preguntas críticas / preguntas totales antes de resolver</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Calidad de indagación.</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premature_commitment_rate</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acciones irreversibles con dato crítico faltante / oportunidades</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Tendencia a asumir.</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verification_rate</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cierres con verificación / oportunidades de closed loop</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Confirmación de comprensión/estado.</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repair_success_rate</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malentendidos reparados / malentendidos presentados</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Capacidad de corrección.</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repair_latency_ms</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mediana desde malentendido hasta reparación</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Velocidad secundaria; interpretar con cautela.</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audience_adaptation_fit</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puntos de ajuste de registro/contenido / máximo</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Adecuación al receptor.</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receptive_accuracy</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mensajes NPC interpretados correctamente / total</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Comprensión receptiva.</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redundancy_rate</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bloques no necesarios / bloques comunicados</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5"/>
              </w:rPr>
              <w:t>Exceso de información.</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message_order_accuracy</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relaciones de precedencia correctas / relaciones críticas</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5"/>
              </w:rPr>
              <w:t>Estructura del mensaje.</w:t>
            </w:r>
          </w:p>
        </w:tc>
      </w:tr>
    </w:tbl>
    <w:p/>
    <w:p>
      <w:pPr>
        <w:pStyle w:val="Heading2"/>
      </w:pPr>
      <w:r>
        <w:t>12.2. Score por dimensión</w:t>
      </w:r>
    </w:p>
    <w:p>
      <w:pPr>
        <w:spacing w:after="120"/>
      </w:pPr>
      <w:r>
        <w:rPr>
          <w:i w:val="0"/>
        </w:rPr>
        <w:t>Cada dimensión se calcula inicialmente en escala 0-100 usando reglas transparentes por escenario. Los pesos son provisionales y deben calibrarse con datos. No se recomienda presentar un score global de “comunicación” hasta demostrar estructura factorial y confiabilidad suficientes.</w:t>
      </w:r>
    </w:p>
    <w:tbl>
      <w:tblPr>
        <w:tblStyle w:val="TableGrid"/>
        <w:tblW w:type="auto" w:w="0"/>
        <w:tblLook w:firstColumn="1" w:firstRow="1" w:lastColumn="0" w:lastRow="0" w:noHBand="0" w:noVBand="1" w:val="04A0"/>
      </w:tblPr>
      <w:tblGrid>
        <w:gridCol w:w="10166"/>
      </w:tblGrid>
      <w:tr>
        <w:trPr>
          <w:cantSplit/>
        </w:trPr>
        <w:tc>
          <w:tcPr>
            <w:tcW w:type="dxa" w:w="10166"/>
            <w:shd w:fill="F3F4F6"/>
            <w:tcBorders>
              <w:top w:val="single" w:sz="4" w:color="CBD5E1"/>
              <w:left w:val="single" w:sz="4" w:color="CBD5E1"/>
              <w:bottom w:val="single" w:sz="4" w:color="CBD5E1"/>
              <w:right w:val="single" w:sz="4" w:color="CBD5E1"/>
              <w:insideH w:val="single" w:sz="4" w:color="CBD5E1"/>
              <w:insideV w:val="single" w:sz="4" w:color="CBD5E1"/>
            </w:tcBorders>
            <w:tcMar>
              <w:top w:w="120" w:type="dxa"/>
              <w:start w:w="140" w:type="dxa"/>
              <w:bottom w:w="120" w:type="dxa"/>
              <w:end w:w="140" w:type="dxa"/>
            </w:tcMar>
          </w:tcPr>
          <w:p>
            <w:pPr>
              <w:spacing w:after="0"/>
            </w:pPr>
            <w:r>
              <w:rPr>
                <w:rFonts w:ascii="Consolas" w:hAnsi="Consolas"/>
                <w:sz w:val="15"/>
              </w:rPr>
              <w:t>clarity_score = 100 * (0.55 * critical_information_coverage</w:t>
              <w:br/>
            </w:r>
            <w:r>
              <w:rPr>
                <w:rFonts w:ascii="Consolas" w:hAnsi="Consolas"/>
                <w:sz w:val="15"/>
              </w:rPr>
              <w:t xml:space="preserve">                     + 0.25 * message_order_accuracy</w:t>
              <w:br/>
            </w:r>
            <w:r>
              <w:rPr>
                <w:rFonts w:ascii="Consolas" w:hAnsi="Consolas"/>
                <w:sz w:val="15"/>
              </w:rPr>
              <w:t xml:space="preserve">                     + 0.20 * (1 - ambiguity_error_rate))</w:t>
              <w:br/>
            </w:r>
            <w:r>
              <w:rPr>
                <w:rFonts w:ascii="Consolas" w:hAnsi="Consolas"/>
                <w:sz w:val="15"/>
              </w:rPr>
              <w:br/>
            </w:r>
            <w:r>
              <w:rPr>
                <w:rFonts w:ascii="Consolas" w:hAnsi="Consolas"/>
                <w:sz w:val="15"/>
              </w:rPr>
              <w:t>inquiry_score = 100 * (0.60 * clarification_precision</w:t>
              <w:br/>
            </w:r>
            <w:r>
              <w:rPr>
                <w:rFonts w:ascii="Consolas" w:hAnsi="Consolas"/>
                <w:sz w:val="15"/>
              </w:rPr>
              <w:t xml:space="preserve">                     + 0.40 * (1 - premature_commitment_rate))</w:t>
              <w:br/>
            </w:r>
            <w:r>
              <w:rPr>
                <w:rFonts w:ascii="Consolas" w:hAnsi="Consolas"/>
                <w:sz w:val="15"/>
              </w:rPr>
              <w:br/>
            </w:r>
            <w:r>
              <w:rPr>
                <w:rFonts w:ascii="Consolas" w:hAnsi="Consolas"/>
                <w:sz w:val="15"/>
              </w:rPr>
              <w:t>closed_loop_score = 100 * (0.55 * verification_rate</w:t>
              <w:br/>
            </w:r>
            <w:r>
              <w:rPr>
                <w:rFonts w:ascii="Consolas" w:hAnsi="Consolas"/>
                <w:sz w:val="15"/>
              </w:rPr>
              <w:t xml:space="preserve">                         + 0.45 * repair_success_rate)</w:t>
            </w:r>
          </w:p>
        </w:tc>
      </w:tr>
    </w:tbl>
    <w:p/>
    <w:p>
      <w:pPr>
        <w:pStyle w:val="Heading2"/>
      </w:pPr>
      <w:r>
        <w:t>12.3. Compuesto experimental</w:t>
      </w:r>
    </w:p>
    <w:p>
      <w:pPr>
        <w:spacing w:after="120"/>
      </w:pPr>
      <w:r>
        <w:rPr>
          <w:i w:val="0"/>
        </w:rPr>
        <w:t>Para prototipado puede utilizarse un índice experimental equilibrado, exclusivamente interno: media de Claridad, Relevancia, Indagación, Closed Loop, Adaptación y Comprensión Receptiva. Tras pilotaje, los pesos deberán definirse con evidencia empírica, no por preferencia de producto.</w:t>
      </w:r>
    </w:p>
    <w:tbl>
      <w:tblPr>
        <w:tblStyle w:val="TableGrid"/>
        <w:tblW w:type="auto" w:w="0"/>
        <w:tblLook w:firstColumn="1" w:firstRow="1" w:lastColumn="0" w:lastRow="0" w:noHBand="0" w:noVBand="1" w:val="04A0"/>
      </w:tblPr>
      <w:tblGrid>
        <w:gridCol w:w="10166"/>
      </w:tblGrid>
      <w:tr>
        <w:tc>
          <w:tcPr>
            <w:tcW w:type="dxa" w:w="10166"/>
            <w:shd w:fill="EEF4F8"/>
            <w:tcBorders>
              <w:top w:val="single" w:sz="8" w:color="2B6CB0"/>
              <w:left w:val="single" w:sz="8" w:color="2B6CB0"/>
              <w:bottom w:val="single" w:sz="8" w:color="2B6CB0"/>
              <w:right w:val="single" w:sz="8" w:color="2B6CB0"/>
              <w:insideH w:val="single" w:sz="8" w:color="2B6CB0"/>
              <w:insideV w:val="single" w:sz="8" w:color="2B6CB0"/>
            </w:tcBorders>
            <w:tcMar>
              <w:top w:w="150" w:type="dxa"/>
              <w:start w:w="180" w:type="dxa"/>
              <w:bottom w:w="150" w:type="dxa"/>
              <w:end w:w="180" w:type="dxa"/>
            </w:tcMar>
          </w:tcPr>
          <w:p>
            <w:r>
              <w:rPr>
                <w:b/>
                <w:color w:val="18324B"/>
                <w:sz w:val="20"/>
              </w:rPr>
              <w:t>Importante</w:t>
              <w:br/>
            </w:r>
            <w:r>
              <w:rPr>
                <w:sz w:val="19"/>
              </w:rPr>
              <w:t>La latencia no debe transformarse automáticamente en “mejor comunicación”. Una respuesta más lenta puede ser superior si evita una suposición crítica. El tiempo se interpreta junto con precisión y contexto.</w:t>
            </w:r>
          </w:p>
        </w:tc>
      </w:tr>
    </w:tbl>
    <w:p/>
    <w:p>
      <w:pPr>
        <w:pStyle w:val="Heading1"/>
      </w:pPr>
      <w:r>
        <w:t>13. Taxonomía de errores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Código</w:t>
            </w:r>
          </w:p>
        </w:tc>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Error</w:t>
            </w:r>
          </w:p>
        </w:tc>
        <w:tc>
          <w:tcPr>
            <w:tcW w:type="dxa" w:w="56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Descripción</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ERR_OMISSION</w:t>
            </w:r>
          </w:p>
        </w:tc>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Omisión crítica</w:t>
            </w:r>
          </w:p>
        </w:tc>
        <w:tc>
          <w:tcPr>
            <w:tcW w:type="dxa" w:w="56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No comunica un hecho necesario.</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ERR_IRRELEVANCE</w:t>
            </w:r>
          </w:p>
        </w:tc>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Ruido</w:t>
            </w:r>
          </w:p>
        </w:tc>
        <w:tc>
          <w:tcPr>
            <w:tcW w:type="dxa" w:w="56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Añade información no necesaria que reduce foco.</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ERR_AMBIGUOUS_REF</w:t>
            </w:r>
          </w:p>
        </w:tc>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Referencia ambigua</w:t>
            </w:r>
          </w:p>
        </w:tc>
        <w:tc>
          <w:tcPr>
            <w:tcW w:type="dxa" w:w="56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Usa “ese”, “derecha”, “la válvula” cuando existen múltiples candidatos.</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ERR_PREMATURE</w:t>
            </w:r>
          </w:p>
        </w:tc>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Compromiso prematuro</w:t>
            </w:r>
          </w:p>
        </w:tc>
        <w:tc>
          <w:tcPr>
            <w:tcW w:type="dxa" w:w="56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Da una instrucción antes de obtener el dato faltante.</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ERR_WRONG_QUESTION</w:t>
            </w:r>
          </w:p>
        </w:tc>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Indagación ineficiente</w:t>
            </w:r>
          </w:p>
        </w:tc>
        <w:tc>
          <w:tcPr>
            <w:tcW w:type="dxa" w:w="56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Pregunta por información que no reduce incertidumbre crítica.</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ERR_NO_VERIFY</w:t>
            </w:r>
          </w:p>
        </w:tc>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Sin verificación</w:t>
            </w:r>
          </w:p>
        </w:tc>
        <w:tc>
          <w:tcPr>
            <w:tcW w:type="dxa" w:w="56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Continúa sin confirmar ejecución/comprensión cuando era necesario.</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ERR_REPAIR_FAIL</w:t>
            </w:r>
          </w:p>
        </w:tc>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Reparación fallida</w:t>
            </w:r>
          </w:p>
        </w:tc>
        <w:tc>
          <w:tcPr>
            <w:tcW w:type="dxa" w:w="56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No corrige un malentendido explícito.</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ERR_AUDIENCE</w:t>
            </w:r>
          </w:p>
        </w:tc>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Desajuste de receptor</w:t>
            </w:r>
          </w:p>
        </w:tc>
        <w:tc>
          <w:tcPr>
            <w:tcW w:type="dxa" w:w="56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Nivel de detalle o registro no adecuado al rol.</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ERR_RECEPTIVE</w:t>
            </w:r>
          </w:p>
        </w:tc>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Interpretación incorrecta</w:t>
            </w:r>
          </w:p>
        </w:tc>
        <w:tc>
          <w:tcPr>
            <w:tcW w:type="dxa" w:w="56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Comprende mal una respuesta del NPC.</w:t>
            </w:r>
          </w:p>
        </w:tc>
      </w:tr>
      <w:tr>
        <w:trPr>
          <w:cantSplit/>
        </w:trPr>
        <w:tc>
          <w:tcPr>
            <w:tcW w:type="dxa" w:w="19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ERR_ORDER</w:t>
            </w:r>
          </w:p>
        </w:tc>
        <w:tc>
          <w:tcPr>
            <w:tcW w:type="dxa" w:w="244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Orden inseguro</w:t>
            </w:r>
          </w:p>
        </w:tc>
        <w:tc>
          <w:tcPr>
            <w:tcW w:type="dxa" w:w="56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Comunica acciones correctas en secuencia incorrecta.</w:t>
            </w:r>
          </w:p>
        </w:tc>
      </w:tr>
    </w:tbl>
    <w:p/>
    <w:p>
      <w:pPr>
        <w:pStyle w:val="Heading1"/>
      </w:pPr>
      <w:r>
        <w:t>14. Equidad, integridad, privacidad y sesgos</w:t>
      </w:r>
    </w:p>
    <w:p>
      <w:pPr>
        <w:pStyle w:val="Heading2"/>
      </w:pPr>
      <w:r>
        <w:t>14.1. Decisiones de diseño para reducir varianza irrelevante</w:t>
      </w:r>
    </w:p>
    <w:p>
      <w:pPr>
        <w:pStyle w:val="ListBullet"/>
        <w:spacing w:after="40"/>
      </w:pPr>
      <w:r>
        <w:t>Sin texto libre en V1: evita que ortografía, tipeo y familiaridad con teclado dominen el rendimiento.</w:t>
      </w:r>
    </w:p>
    <w:p>
      <w:pPr>
        <w:pStyle w:val="ListBullet"/>
        <w:spacing w:after="40"/>
      </w:pPr>
      <w:r>
        <w:t>Sin micrófono en V1. La cámara es opcional y exclusiva del modo biométrico/investigación; el score conductual principal debe poder calcularse sin ella. Las diferencias de cámara, iluminación, pose y calidad de tracking se registran como variables de calidad y no deben penalizar directamente al usuario.</w:t>
      </w:r>
    </w:p>
    <w:p>
      <w:pPr>
        <w:pStyle w:val="ListBullet"/>
        <w:spacing w:after="40"/>
      </w:pPr>
      <w:r>
        <w:t>Lenguaje breve, literal y localizado; evitar modismos, referencias culturales y tecnicismos no enseñados.</w:t>
      </w:r>
    </w:p>
    <w:p>
      <w:pPr>
        <w:pStyle w:val="ListBullet"/>
        <w:spacing w:after="40"/>
      </w:pPr>
      <w:r>
        <w:t>Iconos siempre acompañados de texto; el color nunca es la única señal de estado.</w:t>
      </w:r>
    </w:p>
    <w:p>
      <w:pPr>
        <w:pStyle w:val="ListBullet"/>
        <w:spacing w:after="40"/>
      </w:pPr>
      <w:r>
        <w:t>Targets táctiles de al menos ~44 CSS px cuando el layout lo permita.</w:t>
      </w:r>
    </w:p>
    <w:p>
      <w:pPr>
        <w:pStyle w:val="ListBullet"/>
        <w:spacing w:after="40"/>
      </w:pPr>
      <w:r>
        <w:t>Equivalencia funcional entre drag y controles “subir/bajar” para ordenar bloques.</w:t>
      </w:r>
    </w:p>
    <w:p>
      <w:pPr>
        <w:pStyle w:val="ListBullet"/>
        <w:spacing w:after="40"/>
      </w:pPr>
      <w:r>
        <w:t>La clase de dispositivo se registra para estudiar DIF / equivalencia, no para puntuar al usuario.</w:t>
      </w:r>
    </w:p>
    <w:p>
      <w:pPr>
        <w:pStyle w:val="Heading2"/>
      </w:pPr>
      <w:r>
        <w:t>14.2. Integridad</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Flag</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Criterio inicial</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Acción</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many_visibility_losses</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&gt;3 cambios prolongados de pestaña/ventana</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Marcar sesión para revisión.</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abnormal_fast_clicking</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patrón incompatible con lectura/decisión</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No invalidar automáticamente; revisar.</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viewport_too_small</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layout fuera de especificación</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Bloquear inicio y solicitar orientación/dispositivo compatible.</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asset_or_state_error</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error de carga o nodo imposible</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Invalidar escenario, no penalizar.</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session_resume</w:t>
            </w:r>
          </w:p>
        </w:tc>
        <w:tc>
          <w:tcPr>
            <w:tcW w:type="dxa" w:w="403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reanudación tras interrupción larga</w:t>
            </w:r>
          </w:p>
        </w:tc>
        <w:tc>
          <w:tcPr>
            <w:tcW w:type="dxa" w:w="345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Registrar y aplicar política definida.</w:t>
            </w:r>
          </w:p>
        </w:tc>
      </w:tr>
    </w:tbl>
    <w:p/>
    <w:p>
      <w:pPr>
        <w:pStyle w:val="Heading2"/>
      </w:pPr>
      <w:r>
        <w:t>14.3. Privacidad</w:t>
      </w:r>
    </w:p>
    <w:p>
      <w:pPr>
        <w:spacing w:after="120"/>
      </w:pPr>
      <w:r>
        <w:t>La telemetría conductual base no requiere audio ni texto personal. En modo biométrico, la cámara solo se activa tras consentimiento explícito. Se recomienda inferencia local/edge y almacenamiento de variables derivadas (AUs, gaze, head pose y quality flags) en lugar de video crudo. El video facial, si se retiene para investigación o auditoría del modelo, requiere consentimiento separado, finalidad definida, cifrado, plazo de retención y mecanismo de eliminación. No se deben generar ni conservar embeddings destinados a reconocimiento de identidad.</w:t>
      </w:r>
    </w:p>
    <w:p>
      <w:pPr>
        <w:pStyle w:val="Heading1"/>
      </w:pPr>
      <w:r>
        <w:t>15. Requisitos no funcionales y performance</w:t>
      </w:r>
    </w:p>
    <w:p>
      <w:r>
        <w:t>Modo biométrico: la inferencia facial debe ejecutarse de forma adaptativa y nunca degradar la interacción principal. Si el tiempo de frame del juego supera el presupuesto definido, reducir frecuencia/resolución del extractor antes que bloquear input o animaciones.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Área</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Target de V1</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Criterio</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Render</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30 FPS sostenidos en dispositivos objetivo; 60 FPS deseable</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Sin animaciones pesadas ni canvas 3D.</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Input latency</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&lt;100 ms de respuesta visual percibida al tap/click</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No debe alterar la decisión.</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Bundle inicial</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Objetivo 3-5 MB comprimidos, sujeto a assets</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Preferir SVG/CSS y audio breve.</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CPU/GPU</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Sin WebGL obligatorio</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DOM/CSS/SVG o canvas 2D liviano.</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Red</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La lógica de escenario debe tolerar latencia de red</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Precache de contenidos; envío de telemetría por lotes.</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Responsive</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320 px de ancho mínimo funcional</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Sin scroll horizontal de página.</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Touch</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Single pointer</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No exigir multitouch, hover ni clic secundario.</w:t>
            </w:r>
          </w:p>
        </w:tc>
      </w:tr>
      <w:tr>
        <w:trPr>
          <w:cantSplit/>
        </w:trPr>
        <w:tc>
          <w:tcPr>
            <w:tcW w:type="dxa" w:w="187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Accesibilidad</w:t>
            </w:r>
          </w:p>
        </w:tc>
        <w:tc>
          <w:tcPr>
            <w:tcW w:type="dxa" w:w="44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Navegación funcional con controles visibles</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El juego no depende de gestos ocultos.</w:t>
            </w:r>
          </w:p>
        </w:tc>
      </w:tr>
    </w:tbl>
    <w:p/>
    <w:p>
      <w:pPr>
        <w:pStyle w:val="Heading1"/>
      </w:pPr>
      <w:r>
        <w:t>16. QA y criterios de aceptación</w:t>
      </w:r>
    </w:p>
    <w:p>
      <w:pPr>
        <w:pStyle w:val="Heading2"/>
      </w:pPr>
      <w:r>
        <w:t>16.1. Casos funcionales críticos</w:t>
      </w:r>
    </w:p>
    <w:p>
      <w:pPr>
        <w:pStyle w:val="ListBullet"/>
        <w:spacing w:after="40"/>
      </w:pPr>
      <w:r>
        <w:t>Un escenario con dato crítico faltante no permite que una opción incorrecta sea puntuada como óptima.</w:t>
      </w:r>
    </w:p>
    <w:p>
      <w:pPr>
        <w:pStyle w:val="ListBullet"/>
        <w:spacing w:after="40"/>
      </w:pPr>
      <w:r>
        <w:t>El nodo de malentendido conduce siempre a una oportunidad de reparación válida.</w:t>
      </w:r>
    </w:p>
    <w:p>
      <w:pPr>
        <w:pStyle w:val="ListBullet"/>
        <w:spacing w:after="40"/>
      </w:pPr>
      <w:r>
        <w:t>La misma secuencia puede completarse con mouse y touch sin cambiar la lógica de score.</w:t>
      </w:r>
    </w:p>
    <w:p>
      <w:pPr>
        <w:pStyle w:val="ListBullet"/>
        <w:spacing w:after="40"/>
      </w:pPr>
      <w:r>
        <w:t>El ordenamiento por drag y por botones alternativos produce el mismo payload semántico.</w:t>
      </w:r>
    </w:p>
    <w:p>
      <w:pPr>
        <w:pStyle w:val="ListBullet"/>
        <w:spacing w:after="40"/>
      </w:pPr>
      <w:r>
        <w:t>Cambiar orientación de tablet/teléfono no duplica eventos ni pierde selección confirmada.</w:t>
      </w:r>
    </w:p>
    <w:p>
      <w:pPr>
        <w:pStyle w:val="ListBullet"/>
        <w:spacing w:after="40"/>
      </w:pPr>
      <w:r>
        <w:t>Los textos localizados conservan las mismas etiquetas semánticas de scoring.</w:t>
      </w:r>
    </w:p>
    <w:p>
      <w:pPr>
        <w:pStyle w:val="ListBullet"/>
        <w:spacing w:after="40"/>
      </w:pPr>
      <w:r>
        <w:t>Un error técnico se distingue de un error del usuario y nunca descuenta score evaluativo.</w:t>
      </w:r>
    </w:p>
    <w:p>
      <w:pPr>
        <w:pStyle w:val="Heading2"/>
      </w:pPr>
      <w:r>
        <w:t>16.2. Definition of Done</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Capa</w:t>
            </w:r>
          </w:p>
        </w:tc>
        <w:tc>
          <w:tcPr>
            <w:tcW w:type="dxa" w:w="80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DoD mínimo</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Producto</w:t>
            </w:r>
          </w:p>
        </w:tc>
        <w:tc>
          <w:tcPr>
            <w:tcW w:type="dxa" w:w="80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Tutorial, 12 escenarios, cierre y resumen técnico de sesión operativos.</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Desarrollo</w:t>
            </w:r>
          </w:p>
        </w:tc>
        <w:tc>
          <w:tcPr>
            <w:tcW w:type="dxa" w:w="80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Máquina de estados determinista, telemetría versionada, recuperación segura.</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Diseño</w:t>
            </w:r>
          </w:p>
        </w:tc>
        <w:tc>
          <w:tcPr>
            <w:tcW w:type="dxa" w:w="80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Layouts desktop/tablet/mobile aprobados; touch targets y copy final.</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Psicometría</w:t>
            </w:r>
          </w:p>
        </w:tc>
        <w:tc>
          <w:tcPr>
            <w:tcW w:type="dxa" w:w="80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Blueprint de constructos, claves semánticas y score provisional documentados.</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QA</w:t>
            </w:r>
          </w:p>
        </w:tc>
        <w:tc>
          <w:tcPr>
            <w:tcW w:type="dxa" w:w="80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Casos críticos mouse/touch cubiertos en navegadores objetivo.</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Datos</w:t>
            </w:r>
          </w:p>
        </w:tc>
        <w:tc>
          <w:tcPr>
            <w:tcW w:type="dxa" w:w="806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Payload validado contra schema y trazabilidad scenario→event→metric.</w:t>
            </w:r>
          </w:p>
        </w:tc>
      </w:tr>
    </w:tbl>
    <w:p/>
    <w:p>
      <w:pPr>
        <w:pStyle w:val="Heading1"/>
      </w:pPr>
      <w:r>
        <w:t>17. Plan de validación psicométrica</w:t>
      </w:r>
    </w:p>
    <w:p>
      <w:pPr>
        <w:spacing w:after="120"/>
      </w:pPr>
      <w:r>
        <w:rPr>
          <w:i w:val="0"/>
        </w:rPr>
        <w:t>El juego no debe comercializarse como prueba psicométrica validada únicamente porque registre muchas métricas. La validación debe demostrar que las puntuaciones son estables, interpretables y relevantes para el uso laboral propuesto.</w:t>
      </w:r>
    </w:p>
    <w:p>
      <w:pPr>
        <w:pStyle w:val="Heading2"/>
      </w:pPr>
      <w:r>
        <w:t>17.1. Fases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Fase</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Objetivo</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Evidencia esperada</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1. Validez de contenido</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Expertos revisan relación escenario-dimensión.</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Matriz de contenido, relevancia y cobertura.</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2. Entrevistas cognitivas</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Detectar interpretaciones no previstas.</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Comprensión de instrucciones y opciones.</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3. Piloto técnico</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Validar dificultad y telemetría.</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Distribuciones, tasas de error, tiempos, fallos.</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4. Piloto psicométrico</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Estimar confiabilidad y estructura.</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Consistencia, test-retest si aplica, correlaciones entre subescalas.</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5. Evidencia convergente</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Comparar con medidas externas relacionadas.</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Correlaciones coherentes, no redundancia total.</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6. Evidencia criterial</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Relacionar scores con conductas/criterios laborales pertinentes.</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Validez incremental y utilidad.</w:t>
            </w:r>
          </w:p>
        </w:tc>
      </w:tr>
      <w:tr>
        <w:trPr>
          <w:cantSplit/>
        </w:trPr>
        <w:tc>
          <w:tcPr>
            <w:tcW w:type="dxa" w:w="201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7. Equidad</w:t>
            </w:r>
          </w:p>
        </w:tc>
        <w:tc>
          <w:tcPr>
            <w:tcW w:type="dxa" w:w="374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Analizar dispositivo, idioma y grupos relevantes según marco legal.</w:t>
            </w:r>
          </w:p>
        </w:tc>
        <w:tc>
          <w:tcPr>
            <w:tcW w:type="dxa" w:w="432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DIF, invariancia o análisis de brechas justificadas.</w:t>
            </w:r>
          </w:p>
        </w:tc>
      </w:tr>
    </w:tbl>
    <w:p/>
    <w:p>
      <w:pPr>
        <w:pStyle w:val="Heading2"/>
      </w:pPr>
      <w:r>
        <w:t>17.2. Hipótesis mínimas a contrastar</w:t>
      </w:r>
    </w:p>
    <w:p>
      <w:pPr>
        <w:pStyle w:val="ListBullet"/>
        <w:spacing w:after="40"/>
      </w:pPr>
      <w:r>
        <w:t>Los escenarios diseñados para clarificación deben discriminar mejor clarification_precision que los bloques de claridad simple.</w:t>
      </w:r>
    </w:p>
    <w:p>
      <w:pPr>
        <w:pStyle w:val="ListBullet"/>
        <w:spacing w:after="40"/>
      </w:pPr>
      <w:r>
        <w:t>Los nodos de reparación deben mostrar varianza suficiente y no convertirse en ítems triviales por aprendizaje.</w:t>
      </w:r>
    </w:p>
    <w:p>
      <w:pPr>
        <w:pStyle w:val="ListBullet"/>
        <w:spacing w:after="40"/>
      </w:pPr>
      <w:r>
        <w:t>La equivalencia entre mouse y touch debe ser aceptable una vez controlado el tamaño de viewport.</w:t>
      </w:r>
    </w:p>
    <w:p>
      <w:pPr>
        <w:pStyle w:val="ListBullet"/>
        <w:spacing w:after="40"/>
      </w:pPr>
      <w:r>
        <w:t>Las métricas de relevancia y claridad deben relacionarse, pero no ser idénticas.</w:t>
      </w:r>
    </w:p>
    <w:p>
      <w:pPr>
        <w:pStyle w:val="ListBullet"/>
        <w:spacing w:after="40"/>
      </w:pPr>
      <w:r>
        <w:t>El score de adaptación debe responder al cambio de receptor manteniendo constante el problema.</w:t>
      </w:r>
    </w:p>
    <w:p>
      <w:pPr>
        <w:pStyle w:val="ListBullet"/>
        <w:spacing w:after="40"/>
      </w:pPr>
      <w:r>
        <w:t>El tiempo de respuesta debe aportar información incremental limitada y no dominar la puntuación total.</w:t>
      </w:r>
    </w:p>
    <w:tbl>
      <w:tblPr>
        <w:tblStyle w:val="TableGrid"/>
        <w:tblW w:type="auto" w:w="0"/>
        <w:tblLook w:firstColumn="1" w:firstRow="1" w:lastColumn="0" w:lastRow="0" w:noHBand="0" w:noVBand="1" w:val="04A0"/>
      </w:tblPr>
      <w:tblGrid>
        <w:gridCol w:w="10166"/>
      </w:tblGrid>
      <w:tr>
        <w:tc>
          <w:tcPr>
            <w:tcW w:type="dxa" w:w="10166"/>
            <w:shd w:fill="EEF4F8"/>
            <w:tcBorders>
              <w:top w:val="single" w:sz="8" w:color="2B6CB0"/>
              <w:left w:val="single" w:sz="8" w:color="2B6CB0"/>
              <w:bottom w:val="single" w:sz="8" w:color="2B6CB0"/>
              <w:right w:val="single" w:sz="8" w:color="2B6CB0"/>
              <w:insideH w:val="single" w:sz="8" w:color="2B6CB0"/>
              <w:insideV w:val="single" w:sz="8" w:color="2B6CB0"/>
            </w:tcBorders>
            <w:tcMar>
              <w:top w:w="150" w:type="dxa"/>
              <w:start w:w="180" w:type="dxa"/>
              <w:bottom w:w="150" w:type="dxa"/>
              <w:end w:w="180" w:type="dxa"/>
            </w:tcMar>
          </w:tcPr>
          <w:p>
            <w:r>
              <w:rPr>
                <w:b/>
                <w:color w:val="18324B"/>
                <w:sz w:val="20"/>
              </w:rPr>
              <w:t>Tamaño muestral</w:t>
              <w:br/>
            </w:r>
            <w:r>
              <w:rPr>
                <w:sz w:val="19"/>
              </w:rPr>
              <w:t>Los tamaños exactos deben definirse con apoyo psicométrico según el análisis previsto. Como planificación inicial, conviene separar un piloto de usabilidad/telemetría pequeño de un piloto psicométrico posterior con muestra sustancialmente mayor.</w:t>
            </w:r>
          </w:p>
        </w:tc>
      </w:tr>
    </w:tbl>
    <w:p/>
    <w:p>
      <w:pPr>
        <w:pStyle w:val="Heading1"/>
      </w:pPr>
      <w:r>
        <w:t>18. Riesgos y mitigaciones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Riesgo</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Impacto</w:t>
            </w:r>
          </w:p>
        </w:tc>
        <w:tc>
          <w:tcPr>
            <w:tcW w:type="dxa" w:w="54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6"/>
              </w:rPr>
              <w:t>Mitigación</w:t>
            </w:r>
          </w:p>
        </w:tc>
      </w:tr>
      <w:tr>
        <w:trPr>
          <w:cantSplit/>
        </w:trPr>
        <w:tc>
          <w:tcPr>
            <w:tcW w:type="dxa" w:w="33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Medir comprensión lectora más que comunicación</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Alto</w:t>
            </w:r>
          </w:p>
        </w:tc>
        <w:tc>
          <w:tcPr>
            <w:tcW w:type="dxa" w:w="54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Textos cortos, vocabulario controlado, tutorial y análisis de tiempos.</w:t>
            </w:r>
          </w:p>
        </w:tc>
      </w:tr>
      <w:tr>
        <w:trPr>
          <w:cantSplit/>
        </w:trPr>
        <w:tc>
          <w:tcPr>
            <w:tcW w:type="dxa" w:w="33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Respuesta “obvia” por claves superficiales</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Alto</w:t>
            </w:r>
          </w:p>
        </w:tc>
        <w:tc>
          <w:tcPr>
            <w:tcW w:type="dxa" w:w="54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Distractores plausibles y revisión experta de opciones.</w:t>
            </w:r>
          </w:p>
        </w:tc>
      </w:tr>
      <w:tr>
        <w:trPr>
          <w:cantSplit/>
        </w:trPr>
        <w:tc>
          <w:tcPr>
            <w:tcW w:type="dxa" w:w="33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Aprendizaje de la clave durante la sesión</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Medio</w:t>
            </w:r>
          </w:p>
        </w:tc>
        <w:tc>
          <w:tcPr>
            <w:tcW w:type="dxa" w:w="54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Feedback neutral y formas paralelas.</w:t>
            </w:r>
          </w:p>
        </w:tc>
      </w:tr>
      <w:tr>
        <w:trPr>
          <w:cantSplit/>
        </w:trPr>
        <w:tc>
          <w:tcPr>
            <w:tcW w:type="dxa" w:w="33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Sesgo cultural/idiomático</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Alto</w:t>
            </w:r>
          </w:p>
        </w:tc>
        <w:tc>
          <w:tcPr>
            <w:tcW w:type="dxa" w:w="54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Localización profesional y validación por idioma.</w:t>
            </w:r>
          </w:p>
        </w:tc>
      </w:tr>
      <w:tr>
        <w:trPr>
          <w:cantSplit/>
        </w:trPr>
        <w:tc>
          <w:tcPr>
            <w:tcW w:type="dxa" w:w="33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Touch favorece/desfavorece por layout</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Medio</w:t>
            </w:r>
          </w:p>
        </w:tc>
        <w:tc>
          <w:tcPr>
            <w:tcW w:type="dxa" w:w="54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Targets grandes, equivalencia de interacción, análisis por dispositivo.</w:t>
            </w:r>
          </w:p>
        </w:tc>
      </w:tr>
      <w:tr>
        <w:trPr>
          <w:cantSplit/>
        </w:trPr>
        <w:tc>
          <w:tcPr>
            <w:tcW w:type="dxa" w:w="33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Exceso de gamificación reduce seriedad</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Medio</w:t>
            </w:r>
          </w:p>
        </w:tc>
        <w:tc>
          <w:tcPr>
            <w:tcW w:type="dxa" w:w="54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Estética funcional y consecuencias claras sin espectáculo.</w:t>
            </w:r>
          </w:p>
        </w:tc>
      </w:tr>
      <w:tr>
        <w:trPr>
          <w:cantSplit/>
        </w:trPr>
        <w:tc>
          <w:tcPr>
            <w:tcW w:type="dxa" w:w="33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Score compuesto prematuro</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Alto</w:t>
            </w:r>
          </w:p>
        </w:tc>
        <w:tc>
          <w:tcPr>
            <w:tcW w:type="dxa" w:w="54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6"/>
              </w:rPr>
              <w:t>Reportar subdimensiones hasta contar con evidencia factorial.</w:t>
            </w:r>
          </w:p>
        </w:tc>
      </w:tr>
      <w:tr>
        <w:trPr>
          <w:cantSplit/>
        </w:trPr>
        <w:tc>
          <w:tcPr>
            <w:tcW w:type="dxa" w:w="3384"/>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Escenarios demasiado técnicos</w:t>
            </w:r>
          </w:p>
        </w:tc>
        <w:tc>
          <w:tcPr>
            <w:tcW w:type="dxa" w:w="1296"/>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Alto</w:t>
            </w:r>
          </w:p>
        </w:tc>
        <w:tc>
          <w:tcPr>
            <w:tcW w:type="dxa" w:w="5400"/>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6"/>
              </w:rPr>
              <w:t>Todo conocimiento necesario debe estar en pantalla o enseñado.</w:t>
            </w:r>
          </w:p>
        </w:tc>
      </w:tr>
    </w:tbl>
    <w:p/>
    <w:p>
      <w:pPr>
        <w:pStyle w:val="Heading1"/>
      </w:pPr>
      <w:r>
        <w:t>19. Esquema de integración JSON</w:t>
      </w:r>
    </w:p>
    <w:tbl>
      <w:tblPr>
        <w:tblStyle w:val="TableGrid"/>
        <w:tblW w:type="auto" w:w="0"/>
        <w:tblLook w:firstColumn="1" w:firstRow="1" w:lastColumn="0" w:lastRow="0" w:noHBand="0" w:noVBand="1" w:val="04A0"/>
      </w:tblPr>
      <w:tblGrid>
        <w:gridCol w:w="10166"/>
      </w:tblGrid>
      <w:tr>
        <w:tc>
          <w:tcPr>
            <w:tcW w:type="dxa" w:w="10166"/>
            <w:shd w:fill="F3F4F6"/>
            <w:tcBorders>
              <w:top w:val="single" w:sz="4" w:color="CBD5E1"/>
              <w:left w:val="single" w:sz="4" w:color="CBD5E1"/>
              <w:bottom w:val="single" w:sz="4" w:color="CBD5E1"/>
              <w:right w:val="single" w:sz="4" w:color="CBD5E1"/>
              <w:insideH w:val="single" w:sz="4" w:color="CBD5E1"/>
              <w:insideV w:val="single" w:sz="4" w:color="CBD5E1"/>
            </w:tcBorders>
            <w:tcMar>
              <w:top w:w="120" w:type="dxa"/>
              <w:start w:w="140" w:type="dxa"/>
              <w:bottom w:w="120" w:type="dxa"/>
              <w:end w:w="140" w:type="dxa"/>
            </w:tcMar>
          </w:tcPr>
          <w:p>
            <w:pPr>
              <w:spacing w:after="0"/>
            </w:pPr>
            <w:r>
              <w:rPr>
                <w:rFonts w:ascii="Consolas" w:hAnsi="Consolas"/>
                <w:sz w:val="15"/>
              </w:rPr>
              <w:t>{</w:t>
              <w:br/>
            </w:r>
            <w:r>
              <w:rPr>
                <w:rFonts w:ascii="Consolas" w:hAnsi="Consolas"/>
                <w:sz w:val="15"/>
              </w:rPr>
              <w:t xml:space="preserve">  "exp_id": "EXP-COMM-001",</w:t>
              <w:br/>
            </w:r>
            <w:r>
              <w:rPr>
                <w:rFonts w:ascii="Consolas" w:hAnsi="Consolas"/>
                <w:sz w:val="15"/>
              </w:rPr>
              <w:t xml:space="preserve">  "schema_version": "1.1.0",</w:t>
              <w:br/>
            </w:r>
            <w:r>
              <w:rPr>
                <w:rFonts w:ascii="Consolas" w:hAnsi="Consolas"/>
                <w:sz w:val="15"/>
              </w:rPr>
              <w:t xml:space="preserve">  "session_id": "uuid",</w:t>
              <w:br/>
            </w:r>
            <w:r>
              <w:rPr>
                <w:rFonts w:ascii="Consolas" w:hAnsi="Consolas"/>
                <w:sz w:val="15"/>
              </w:rPr>
              <w:t xml:space="preserve">  "locale": "es-CL",</w:t>
              <w:br/>
            </w:r>
            <w:r>
              <w:rPr>
                <w:rFonts w:ascii="Consolas" w:hAnsi="Consolas"/>
                <w:sz w:val="15"/>
              </w:rPr>
              <w:t xml:space="preserve">  "device": {</w:t>
              <w:br/>
            </w:r>
            <w:r>
              <w:rPr>
                <w:rFonts w:ascii="Consolas" w:hAnsi="Consolas"/>
                <w:sz w:val="15"/>
              </w:rPr>
              <w:t xml:space="preserve">    "class": "tablet",</w:t>
              <w:br/>
            </w:r>
            <w:r>
              <w:rPr>
                <w:rFonts w:ascii="Consolas" w:hAnsi="Consolas"/>
                <w:sz w:val="15"/>
              </w:rPr>
              <w:t xml:space="preserve">    "input": "touch",</w:t>
              <w:br/>
            </w:r>
            <w:r>
              <w:rPr>
                <w:rFonts w:ascii="Consolas" w:hAnsi="Consolas"/>
                <w:sz w:val="15"/>
              </w:rPr>
              <w:t xml:space="preserve">    "viewport": "1024x768"</w:t>
              <w:br/>
            </w:r>
            <w:r>
              <w:rPr>
                <w:rFonts w:ascii="Consolas" w:hAnsi="Consolas"/>
                <w:sz w:val="15"/>
              </w:rPr>
              <w:t xml:space="preserve">  },</w:t>
              <w:br/>
            </w:r>
            <w:r>
              <w:rPr>
                <w:rFonts w:ascii="Consolas" w:hAnsi="Consolas"/>
                <w:sz w:val="15"/>
              </w:rPr>
              <w:t xml:space="preserve">  "results": {</w:t>
              <w:br/>
            </w:r>
            <w:r>
              <w:rPr>
                <w:rFonts w:ascii="Consolas" w:hAnsi="Consolas"/>
                <w:sz w:val="15"/>
              </w:rPr>
              <w:t xml:space="preserve">    "clarity_score": 82,</w:t>
              <w:br/>
            </w:r>
            <w:r>
              <w:rPr>
                <w:rFonts w:ascii="Consolas" w:hAnsi="Consolas"/>
                <w:sz w:val="15"/>
              </w:rPr>
              <w:t xml:space="preserve">    "relevance_score": 76,</w:t>
              <w:br/>
            </w:r>
            <w:r>
              <w:rPr>
                <w:rFonts w:ascii="Consolas" w:hAnsi="Consolas"/>
                <w:sz w:val="15"/>
              </w:rPr>
              <w:t xml:space="preserve">    "inquiry_score": 91,</w:t>
              <w:br/>
            </w:r>
            <w:r>
              <w:rPr>
                <w:rFonts w:ascii="Consolas" w:hAnsi="Consolas"/>
                <w:sz w:val="15"/>
              </w:rPr>
              <w:t xml:space="preserve">    "closed_loop_score": 79,</w:t>
              <w:br/>
            </w:r>
            <w:r>
              <w:rPr>
                <w:rFonts w:ascii="Consolas" w:hAnsi="Consolas"/>
                <w:sz w:val="15"/>
              </w:rPr>
              <w:t xml:space="preserve">    "adaptation_score": 84,</w:t>
              <w:br/>
            </w:r>
            <w:r>
              <w:rPr>
                <w:rFonts w:ascii="Consolas" w:hAnsi="Consolas"/>
                <w:sz w:val="15"/>
              </w:rPr>
              <w:t xml:space="preserve">    "receptive_score": 88</w:t>
              <w:br/>
            </w:r>
            <w:r>
              <w:rPr>
                <w:rFonts w:ascii="Consolas" w:hAnsi="Consolas"/>
                <w:sz w:val="15"/>
              </w:rPr>
              <w:t xml:space="preserve">  },</w:t>
              <w:br/>
            </w:r>
            <w:r>
              <w:rPr>
                <w:rFonts w:ascii="Consolas" w:hAnsi="Consolas"/>
                <w:sz w:val="15"/>
              </w:rPr>
              <w:t xml:space="preserve">  "scenario_results": [</w:t>
              <w:br/>
            </w:r>
            <w:r>
              <w:rPr>
                <w:rFonts w:ascii="Consolas" w:hAnsi="Consolas"/>
                <w:sz w:val="15"/>
              </w:rPr>
              <w:t xml:space="preserve">    {</w:t>
              <w:br/>
            </w:r>
            <w:r>
              <w:rPr>
                <w:rFonts w:ascii="Consolas" w:hAnsi="Consolas"/>
                <w:sz w:val="15"/>
              </w:rPr>
              <w:t xml:space="preserve">      "scenario_id": "CR-L3-S02",</w:t>
              <w:br/>
            </w:r>
            <w:r>
              <w:rPr>
                <w:rFonts w:ascii="Consolas" w:hAnsi="Consolas"/>
                <w:sz w:val="15"/>
              </w:rPr>
              <w:t xml:space="preserve">      "block": "INQUIRY",</w:t>
              <w:br/>
            </w:r>
            <w:r>
              <w:rPr>
                <w:rFonts w:ascii="Consolas" w:hAnsi="Consolas"/>
                <w:sz w:val="15"/>
              </w:rPr>
              <w:t xml:space="preserve">      "critical_information_coverage": 1.0,</w:t>
              <w:br/>
            </w:r>
            <w:r>
              <w:rPr>
                <w:rFonts w:ascii="Consolas" w:hAnsi="Consolas"/>
                <w:sz w:val="15"/>
              </w:rPr>
              <w:t xml:space="preserve">      "clarification_precision": 1.0,</w:t>
              <w:br/>
            </w:r>
            <w:r>
              <w:rPr>
                <w:rFonts w:ascii="Consolas" w:hAnsi="Consolas"/>
                <w:sz w:val="15"/>
              </w:rPr>
              <w:t xml:space="preserve">      "premature_commitment": false,</w:t>
              <w:br/>
            </w:r>
            <w:r>
              <w:rPr>
                <w:rFonts w:ascii="Consolas" w:hAnsi="Consolas"/>
                <w:sz w:val="15"/>
              </w:rPr>
              <w:t xml:space="preserve">      "duration_ms": 48320,</w:t>
              <w:br/>
            </w:r>
            <w:r>
              <w:rPr>
                <w:rFonts w:ascii="Consolas" w:hAnsi="Consolas"/>
                <w:sz w:val="15"/>
              </w:rPr>
              <w:t xml:space="preserve">      "error_tags": []</w:t>
              <w:br/>
            </w:r>
            <w:r>
              <w:rPr>
                <w:rFonts w:ascii="Consolas" w:hAnsi="Consolas"/>
                <w:sz w:val="15"/>
              </w:rPr>
              <w:t xml:space="preserve">    }</w:t>
              <w:br/>
            </w:r>
            <w:r>
              <w:rPr>
                <w:rFonts w:ascii="Consolas" w:hAnsi="Consolas"/>
                <w:sz w:val="15"/>
              </w:rPr>
              <w:t xml:space="preserve">  ],</w:t>
              <w:br/>
            </w:r>
            <w:r>
              <w:rPr>
                <w:rFonts w:ascii="Consolas" w:hAnsi="Consolas"/>
                <w:sz w:val="15"/>
              </w:rPr>
              <w:t xml:space="preserve">  "events": [</w:t>
              <w:br/>
            </w:r>
            <w:r>
              <w:rPr>
                <w:rFonts w:ascii="Consolas" w:hAnsi="Consolas"/>
                <w:sz w:val="15"/>
              </w:rPr>
              <w:t xml:space="preserve">    {</w:t>
              <w:br/>
            </w:r>
            <w:r>
              <w:rPr>
                <w:rFonts w:ascii="Consolas" w:hAnsi="Consolas"/>
                <w:sz w:val="15"/>
              </w:rPr>
              <w:t xml:space="preserve">      "t_ms": 0,</w:t>
              <w:br/>
            </w:r>
            <w:r>
              <w:rPr>
                <w:rFonts w:ascii="Consolas" w:hAnsi="Consolas"/>
                <w:sz w:val="15"/>
              </w:rPr>
              <w:t xml:space="preserve">      "event": "SCENARIO_START",</w:t>
              <w:br/>
            </w:r>
            <w:r>
              <w:rPr>
                <w:rFonts w:ascii="Consolas" w:hAnsi="Consolas"/>
                <w:sz w:val="15"/>
              </w:rPr>
              <w:t xml:space="preserve">      "meta": {</w:t>
              <w:br/>
            </w:r>
            <w:r>
              <w:rPr>
                <w:rFonts w:ascii="Consolas" w:hAnsi="Consolas"/>
                <w:sz w:val="15"/>
              </w:rPr>
              <w:t xml:space="preserve">        "scenario_id": "CR-L3-S02"</w:t>
              <w:br/>
            </w:r>
            <w:r>
              <w:rPr>
                <w:rFonts w:ascii="Consolas" w:hAnsi="Consolas"/>
                <w:sz w:val="15"/>
              </w:rPr>
              <w:t xml:space="preserve">      }</w:t>
              <w:br/>
            </w:r>
            <w:r>
              <w:rPr>
                <w:rFonts w:ascii="Consolas" w:hAnsi="Consolas"/>
                <w:sz w:val="15"/>
              </w:rPr>
              <w:t xml:space="preserve">    },</w:t>
              <w:br/>
            </w:r>
            <w:r>
              <w:rPr>
                <w:rFonts w:ascii="Consolas" w:hAnsi="Consolas"/>
                <w:sz w:val="15"/>
              </w:rPr>
              <w:t xml:space="preserve">    {</w:t>
              <w:br/>
            </w:r>
            <w:r>
              <w:rPr>
                <w:rFonts w:ascii="Consolas" w:hAnsi="Consolas"/>
                <w:sz w:val="15"/>
              </w:rPr>
              <w:t xml:space="preserve">      "t_ms": 9200,</w:t>
              <w:br/>
            </w:r>
            <w:r>
              <w:rPr>
                <w:rFonts w:ascii="Consolas" w:hAnsi="Consolas"/>
                <w:sz w:val="15"/>
              </w:rPr>
              <w:t xml:space="preserve">      "event": "RESPONSE_OPTION_SELECT",</w:t>
              <w:br/>
            </w:r>
            <w:r>
              <w:rPr>
                <w:rFonts w:ascii="Consolas" w:hAnsi="Consolas"/>
                <w:sz w:val="15"/>
              </w:rPr>
              <w:t xml:space="preserve">      "meta": {</w:t>
              <w:br/>
            </w:r>
            <w:r>
              <w:rPr>
                <w:rFonts w:ascii="Consolas" w:hAnsi="Consolas"/>
                <w:sz w:val="15"/>
              </w:rPr>
              <w:t xml:space="preserve">        "option_id": "Q_PRESSURE",</w:t>
              <w:br/>
            </w:r>
            <w:r>
              <w:rPr>
                <w:rFonts w:ascii="Consolas" w:hAnsi="Consolas"/>
                <w:sz w:val="15"/>
              </w:rPr>
              <w:t xml:space="preserve">        "intent_tags": [</w:t>
              <w:br/>
            </w:r>
            <w:r>
              <w:rPr>
                <w:rFonts w:ascii="Consolas" w:hAnsi="Consolas"/>
                <w:sz w:val="15"/>
              </w:rPr>
              <w:t xml:space="preserve">          "ASK_CRITICAL"</w:t>
              <w:br/>
            </w:r>
            <w:r>
              <w:rPr>
                <w:rFonts w:ascii="Consolas" w:hAnsi="Consolas"/>
                <w:sz w:val="15"/>
              </w:rPr>
              <w:t xml:space="preserve">        ]</w:t>
              <w:br/>
            </w:r>
            <w:r>
              <w:rPr>
                <w:rFonts w:ascii="Consolas" w:hAnsi="Consolas"/>
                <w:sz w:val="15"/>
              </w:rPr>
              <w:t xml:space="preserve">      }</w:t>
              <w:br/>
            </w:r>
            <w:r>
              <w:rPr>
                <w:rFonts w:ascii="Consolas" w:hAnsi="Consolas"/>
                <w:sz w:val="15"/>
              </w:rPr>
              <w:t xml:space="preserve">    },</w:t>
              <w:br/>
            </w:r>
            <w:r>
              <w:rPr>
                <w:rFonts w:ascii="Consolas" w:hAnsi="Consolas"/>
                <w:sz w:val="15"/>
              </w:rPr>
              <w:t xml:space="preserve">    {</w:t>
              <w:br/>
            </w:r>
            <w:r>
              <w:rPr>
                <w:rFonts w:ascii="Consolas" w:hAnsi="Consolas"/>
                <w:sz w:val="15"/>
              </w:rPr>
              <w:t xml:space="preserve">      "t_ms": 10100,</w:t>
              <w:br/>
            </w:r>
            <w:r>
              <w:rPr>
                <w:rFonts w:ascii="Consolas" w:hAnsi="Consolas"/>
                <w:sz w:val="15"/>
              </w:rPr>
              <w:t xml:space="preserve">      "event": "MESSAGE_SEND",</w:t>
              <w:br/>
            </w:r>
            <w:r>
              <w:rPr>
                <w:rFonts w:ascii="Consolas" w:hAnsi="Consolas"/>
                <w:sz w:val="15"/>
              </w:rPr>
              <w:t xml:space="preserve">      "meta": {</w:t>
              <w:br/>
            </w:r>
            <w:r>
              <w:rPr>
                <w:rFonts w:ascii="Consolas" w:hAnsi="Consolas"/>
                <w:sz w:val="15"/>
              </w:rPr>
              <w:t xml:space="preserve">        "message_id": "Q_PRESSURE"</w:t>
              <w:br/>
            </w:r>
            <w:r>
              <w:rPr>
                <w:rFonts w:ascii="Consolas" w:hAnsi="Consolas"/>
                <w:sz w:val="15"/>
              </w:rPr>
              <w:t xml:space="preserve">      }</w:t>
              <w:br/>
            </w:r>
            <w:r>
              <w:rPr>
                <w:rFonts w:ascii="Consolas" w:hAnsi="Consolas"/>
                <w:sz w:val="15"/>
              </w:rPr>
              <w:t xml:space="preserve">    }</w:t>
              <w:br/>
            </w:r>
            <w:r>
              <w:rPr>
                <w:rFonts w:ascii="Consolas" w:hAnsi="Consolas"/>
                <w:sz w:val="15"/>
              </w:rPr>
              <w:t xml:space="preserve">  ],</w:t>
              <w:br/>
            </w:r>
            <w:r>
              <w:rPr>
                <w:rFonts w:ascii="Consolas" w:hAnsi="Consolas"/>
                <w:sz w:val="15"/>
              </w:rPr>
              <w:t xml:space="preserve">  "integrity_flags": {</w:t>
              <w:br/>
            </w:r>
            <w:r>
              <w:rPr>
                <w:rFonts w:ascii="Consolas" w:hAnsi="Consolas"/>
                <w:sz w:val="15"/>
              </w:rPr>
              <w:t xml:space="preserve">    "visibility_losses": 0,</w:t>
              <w:br/>
            </w:r>
            <w:r>
              <w:rPr>
                <w:rFonts w:ascii="Consolas" w:hAnsi="Consolas"/>
                <w:sz w:val="15"/>
              </w:rPr>
              <w:t xml:space="preserve">    "technical_errors": 0,</w:t>
              <w:br/>
            </w:r>
            <w:r>
              <w:rPr>
                <w:rFonts w:ascii="Consolas" w:hAnsi="Consolas"/>
                <w:sz w:val="15"/>
              </w:rPr>
              <w:t xml:space="preserve">    "session_resumed": false</w:t>
              <w:br/>
            </w:r>
            <w:r>
              <w:rPr>
                <w:rFonts w:ascii="Consolas" w:hAnsi="Consolas"/>
                <w:sz w:val="15"/>
              </w:rPr>
              <w:t xml:space="preserve">  }</w:t>
              <w:br/>
            </w:r>
            <w:r>
              <w:rPr>
                <w:rFonts w:ascii="Consolas" w:hAnsi="Consolas"/>
                <w:sz w:val="15"/>
              </w:rPr>
              <w:t>}</w:t>
            </w:r>
          </w:p>
        </w:tc>
      </w:tr>
    </w:tbl>
    <w:p/>
    <w:p>
      <w:pPr>
        <w:pStyle w:val="Heading1"/>
      </w:pPr>
      <w:r>
        <w:t>20. Glosario y referencias</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Término</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18324B"/>
          </w:tcPr>
          <w:p>
            <w:pPr>
              <w:spacing w:after="0"/>
            </w:pPr>
            <w:r>
              <w:rPr>
                <w:rFonts w:ascii="Aptos" w:hAnsi="Aptos"/>
                <w:b/>
                <w:color w:val="FFFFFF"/>
                <w:sz w:val="17"/>
              </w:rPr>
              <w:t>Definición</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Critical fact</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Dato imprescindible para seleccionar o comunicar una acción segura/correcta.</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Distractor</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Dato plausible pero no necesario para resolver el escenario.</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Grounding</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Proceso de establecer comprensión compartida suficiente para avanzar.</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Closed-loop communication</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Ciclo instrucción → recepción/confirmación → verificación de estado.</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Repair</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Acción destinada a corregir un malentendido o ambigüedad.</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SJT</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shd w:fill="F8FAFC"/>
          </w:tcPr>
          <w:p>
            <w:pPr>
              <w:spacing w:after="0"/>
            </w:pPr>
            <w:r>
              <w:rPr>
                <w:rFonts w:ascii="Aptos" w:hAnsi="Aptos"/>
                <w:sz w:val="17"/>
              </w:rPr>
              <w:t>Situational Judgment Test; escenarios con alternativas de conducta contextualizadas.</w:t>
            </w:r>
          </w:p>
        </w:tc>
      </w:tr>
      <w:tr>
        <w:trPr>
          <w:cantSplit/>
        </w:trPr>
        <w:tc>
          <w:tcPr>
            <w:tcW w:type="dxa" w:w="2592"/>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Semantic tag</w:t>
            </w:r>
          </w:p>
        </w:tc>
        <w:tc>
          <w:tcPr>
            <w:tcW w:type="dxa" w:w="7488"/>
            <w:vAlign w:val="center"/>
            <w:tcBorders>
              <w:top w:val="single" w:sz="4" w:color="D7DEE7"/>
              <w:left w:val="single" w:sz="4" w:color="D7DEE7"/>
              <w:bottom w:val="single" w:sz="4" w:color="D7DEE7"/>
              <w:right w:val="single" w:sz="4" w:color="D7DEE7"/>
              <w:insideH w:val="single" w:sz="4" w:color="D7DEE7"/>
              <w:insideV w:val="single" w:sz="4" w:color="D7DEE7"/>
            </w:tcBorders>
            <w:tcMar>
              <w:top w:w="80" w:type="dxa"/>
              <w:start w:w="100" w:type="dxa"/>
              <w:bottom w:w="80" w:type="dxa"/>
              <w:end w:w="100" w:type="dxa"/>
            </w:tcMar>
          </w:tcPr>
          <w:p>
            <w:pPr>
              <w:spacing w:after="0"/>
            </w:pPr>
            <w:r>
              <w:rPr>
                <w:rFonts w:ascii="Aptos" w:hAnsi="Aptos"/>
                <w:sz w:val="17"/>
              </w:rPr>
              <w:t>Etiqueta lógica usada para puntuar contenido/intención independientemente de redacción.</w:t>
            </w:r>
          </w:p>
        </w:tc>
      </w:tr>
    </w:tbl>
    <w:p/>
    <w:p>
      <w:pPr>
        <w:spacing w:after="120"/>
      </w:pPr>
      <w:r>
        <w:rPr>
          <w:i w:val="0"/>
        </w:rPr>
        <w:t>Referencias conceptuales de base (para desarrollo teórico; la versión de validación deberá formalizar la revisión bibliográfica):</w:t>
      </w:r>
    </w:p>
    <w:p>
      <w:pPr>
        <w:pStyle w:val="ListBullet"/>
        <w:spacing w:after="40"/>
      </w:pPr>
      <w:r>
        <w:t>Clark, H. H., &amp; Brennan, S. E. (1991). Grounding in communication. En Perspectives on Socially Shared Cognition.</w:t>
      </w:r>
    </w:p>
    <w:p>
      <w:pPr>
        <w:pStyle w:val="ListBullet"/>
        <w:spacing w:after="40"/>
      </w:pPr>
      <w:r>
        <w:t>Grice, H. P. (1975). Logic and conversation. En Syntax and Semantics, Vol. 3: Speech Acts.</w:t>
      </w:r>
    </w:p>
    <w:p>
      <w:pPr>
        <w:pStyle w:val="ListBullet"/>
        <w:spacing w:after="40"/>
      </w:pPr>
      <w:r>
        <w:t>Hargie, O. (2011). Skilled Interpersonal Communication: Research, Theory and Practice.</w:t>
      </w:r>
    </w:p>
    <w:p>
      <w:pPr>
        <w:pStyle w:val="ListBullet"/>
        <w:spacing w:after="40"/>
      </w:pPr>
      <w:r>
        <w:t>Motowidlo, S. J., Dunnette, M. D., &amp; Carter, G. W. (1990). An alternative selection procedure: the low-fidelity simulation. Journal of Applied Psychology, 75(6), 640-647.</w:t>
      </w:r>
    </w:p>
    <w:p>
      <w:pPr>
        <w:pStyle w:val="ListBullet"/>
        <w:spacing w:after="40"/>
      </w:pPr>
      <w:r>
        <w:t>Salas, E., Sims, D. E., &amp; Burke, C. S. (2005). Is there a “Big Five” in teamwork? Small Group Research, 36(5), 555-599.</w:t>
      </w:r>
    </w:p>
    <w:p>
      <w:pPr>
        <w:pStyle w:val="ListBullet"/>
      </w:pPr>
      <w:r>
        <w:t>Ekman, P., Friesen, W. V., &amp; Hager, J. C. Facial Action Coding System (FACS). Sistema anatómico para codificación de movimientos faciales.</w:t>
      </w:r>
    </w:p>
    <w:p>
      <w:pPr>
        <w:pStyle w:val="ListBullet"/>
      </w:pPr>
      <w:r>
        <w:t>Baltrušaitis, T., Zadeh, A., Lim, Y. C., &amp; Morency, L.-P. (2018). OpenFace 2.0: Facial Behavior Analysis Toolkit. IEEE FG 2018, 59–66. DOI: 10.1109/FG.2018.00019.</w:t>
      </w:r>
    </w:p>
    <w:p>
      <w:pPr>
        <w:pStyle w:val="ListBullet"/>
      </w:pPr>
      <w:r>
        <w:t>OpenFace Wiki. Action Units: subset de AUs, presencia e intensidad, y calibración dinámica para video. https://github.com/TadasBaltrusaitis/OpenFace/wiki/Action-Units</w:t>
      </w:r>
    </w:p>
    <w:p>
      <w:pPr>
        <w:pStyle w:val="ListBullet"/>
      </w:pPr>
      <w:r>
        <w:t>Google AI for Developers. MediaPipe Face Landmarker: landmarks, blendshapes, live stream y matrices de transformación facial. https://ai.google.dev/edge/mediapipe/solutions/vision/face_landmarker</w:t>
      </w:r>
    </w:p>
    <w:p>
      <w:pPr>
        <w:pStyle w:val="ListBullet"/>
      </w:pPr>
      <w:r>
        <w:t>Barrett, L. F. et al. (2019). Emotional Expressions Reconsidered: Challenges to Inferring Emotion From Human Facial Movements. Psychological Science in the Public Interest, 20(1), 1–68.</w:t>
      </w:r>
    </w:p>
    <w:p>
      <w:pPr>
        <w:pStyle w:val="ListBullet"/>
      </w:pPr>
      <w:r>
        <w:t>Revisión rPPG: la estimación por cámara es sensible a movimiento, iluminación, especificaciones de cámara y variación de tono de piel; por ello se mantiene como canal experimental en V1.</w:t>
      </w:r>
    </w:p>
    <w:p>
      <w:pPr>
        <w:spacing w:after="120"/>
      </w:pPr>
      <w:r>
        <w:t>Estado del documento: Draft v1.1.0 — incorpora protocolo de captura biométrica y requisitos para modelo de inferencia. Toda métrica, peso, umbral e índice biométrico descrito debe considerarse especificación de prototipo hasta contar con evidencia empírica suficiente.</w:t>
      </w:r>
    </w:p>
    <w:sectPr w:rsidR="00FC693F" w:rsidRPr="0006063C" w:rsidSect="00034616">
      <w:headerReference w:type="default" r:id="rId9"/>
      <w:footerReference w:type="default" r:id="rId10"/>
      <w:pgSz w:w="12240" w:h="15840"/>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EXP-COMM-001  |  KRUMM  |  Documento de trabajo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24B"/>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2B6CB0"/>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2A7F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18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B6573"/>
      <w:sz w:val="16"/>
    </w:rPr>
  </w:style>
  <w:style w:type="paragraph" w:customStyle="1" w:styleId="CodeBlock">
    <w:name w:val="Code Block"/>
    <w:pPr>
      <w:spacing w:after="20" w:line="240" w:lineRule="auto"/>
      <w:ind w:left="259" w:right="259"/>
    </w:pPr>
    <w:rPr>
      <w:rFonts w:ascii="Consolas" w:hAnsi="Consolas"/>
      <w:color w:val="11182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