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5F6B6A"/>
          <w:sz w:val="18"/>
          <w:szCs w:val="18"/>
        </w:rPr>
        <w:t xml:space="preserve">ERP ALMAHUE · DOCUMENTO TÉCNICO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F6F6B"/>
          <w:sz w:val="40"/>
          <w:szCs w:val="40"/>
        </w:rPr>
        <w:t xml:space="preserve">Matriz AS-IS / TO-BE (conversaciones + código)</w:t>
      </w:r>
    </w:p>
    <w:p>
      <w:pPr>
        <w:pBdr>
          <w:bottom w:val="single" w:color="1F6F6B" w:sz="12" w:space="8"/>
        </w:pBdr>
        <w:spacing w:after="300"/>
      </w:pPr>
      <w:r>
        <w:rPr>
          <w:rFonts w:ascii="Calibri" w:cs="Calibri" w:eastAsia="Calibri" w:hAnsi="Calibri"/>
          <w:b/>
          <w:bCs/>
          <w:color w:val="5F6B6A"/>
          <w:sz w:val="20"/>
          <w:szCs w:val="20"/>
        </w:rPr>
        <w:t xml:space="preserve">Fecha:</w:t>
      </w:r>
      <w:r>
        <w:rPr>
          <w:rFonts w:ascii="Calibri" w:cs="Calibri" w:eastAsia="Calibri" w:hAnsi="Calibri"/>
          <w:color w:val="5F6B6A"/>
          <w:sz w:val="20"/>
          <w:szCs w:val="20"/>
        </w:rPr>
        <w:t xml:space="preserve"> 2026-08-16</w:t>
      </w:r>
      <w:r>
        <w:br/>
      </w:r>
      <w:r>
        <w:rPr>
          <w:rFonts w:ascii="Calibri" w:cs="Calibri" w:eastAsia="Calibri" w:hAnsi="Calibri"/>
          <w:b/>
          <w:bCs/>
          <w:color w:val="5F6B6A"/>
          <w:sz w:val="20"/>
          <w:szCs w:val="20"/>
        </w:rPr>
        <w:t xml:space="preserve">Conversaciones:</w:t>
      </w:r>
      <w:r>
        <w:rPr>
          <w:rFonts w:ascii="Calibri" w:cs="Calibri" w:eastAsia="Calibri" w:hAnsi="Calibri"/>
          <w:color w:val="5F6B6A"/>
          <w:sz w:val="20"/>
          <w:szCs w:val="20"/>
        </w:rPr>
        <w:t xml:space="preserve"> transcripciones Reu1–Reu6 depuradas en </w:t>
      </w:r>
      <w:r>
        <w:rPr>
          <w:rFonts w:ascii="Calibri" w:cs="Calibri" w:eastAsia="Calibri" w:hAnsi="Calibri"/>
          <w:color w:val="1F6F6B"/>
          <w:sz w:val="20"/>
          <w:szCs w:val="20"/>
          <w:u w:val="single"/>
        </w:rPr>
        <w:t xml:space="preserve">`transcripcion-limpia-v2.md`</w:t>
      </w:r>
      <w:r>
        <w:rPr>
          <w:rFonts w:ascii="Calibri" w:cs="Calibri" w:eastAsia="Calibri" w:hAnsi="Calibri"/>
          <w:color w:val="5F6B6A"/>
          <w:sz w:val="20"/>
          <w:szCs w:val="20"/>
        </w:rPr>
        <w:t xml:space="preserve">.</w:t>
      </w:r>
      <w:r>
        <w:br/>
      </w:r>
      <w:r>
        <w:rPr>
          <w:rFonts w:ascii="Calibri" w:cs="Calibri" w:eastAsia="Calibri" w:hAnsi="Calibri"/>
          <w:b/>
          <w:bCs/>
          <w:color w:val="5F6B6A"/>
          <w:sz w:val="20"/>
          <w:szCs w:val="20"/>
        </w:rPr>
        <w:t xml:space="preserve">Minutas:</w:t>
      </w:r>
      <w:r>
        <w:rPr>
          <w:rFonts w:ascii="Calibri" w:cs="Calibri" w:eastAsia="Calibri" w:hAnsi="Calibri"/>
          <w:color w:val="5F6B6A"/>
          <w:sz w:val="20"/>
          <w:szCs w:val="20"/>
        </w:rPr>
        <w:t xml:space="preserve"> Reu6 &gt; Reu5 &gt; Reu4.</w:t>
      </w:r>
      <w:r>
        <w:br/>
      </w:r>
      <w:r>
        <w:rPr>
          <w:rFonts w:ascii="Calibri" w:cs="Calibri" w:eastAsia="Calibri" w:hAnsi="Calibri"/>
          <w:b/>
          <w:bCs/>
          <w:color w:val="5F6B6A"/>
          <w:sz w:val="20"/>
          <w:szCs w:val="20"/>
        </w:rPr>
        <w:t xml:space="preserve">No copiar ciega</w:t>
      </w:r>
      <w:r>
        <w:rPr>
          <w:rFonts w:ascii="Calibri" w:cs="Calibri" w:eastAsia="Calibri" w:hAnsi="Calibri"/>
          <w:color w:val="5F6B6A"/>
          <w:sz w:val="20"/>
          <w:szCs w:val="20"/>
        </w:rPr>
        <w:t xml:space="preserve"> la matriz de 2026-07-31 (</w:t>
      </w:r>
      <w:r>
        <w:rPr>
          <w:rFonts w:ascii="Consolas" w:cs="Consolas" w:eastAsia="Consolas" w:hAnsi="Consolas"/>
          <w:color w:val="1F6F6B"/>
          <w:sz w:val="18"/>
          <w:szCs w:val="18"/>
        </w:rPr>
        <w:t xml:space="preserve">qa/historico-reu4/10-AS-IS-TO-BE-OPERATIVO.md</w:t>
      </w:r>
      <w:r>
        <w:rPr>
          <w:rFonts w:ascii="Calibri" w:cs="Calibri" w:eastAsia="Calibri" w:hAnsi="Calibri"/>
          <w:color w:val="5F6B6A"/>
          <w:sz w:val="20"/>
          <w:szCs w:val="20"/>
        </w:rPr>
        <w:t xml:space="preserve">): D11, stub DTE y stock por bodega ya cambiaron.</w:t>
      </w:r>
    </w:p>
    <w:p>
      <w:pPr>
        <w:spacing w:after="140" w:before="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Piloto local: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front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5174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API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3001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Postgres típico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5433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BILLING_STUB_INLINE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spacing w:after="140" w:before="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Prod: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http://45.7.229.46/almahue-erp/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no asumir migrate OV/stock hasta H14.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Sin concepto de mermas.</w:t>
      </w:r>
    </w:p>
    <w:p>
      <w:pPr>
        <w:pStyle w:val="Heading1"/>
        <w:pBdr>
          <w:bottom w:val="single" w:color="1F6F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1F6F6B"/>
          <w:sz w:val="28"/>
          <w:szCs w:val="28"/>
        </w:rPr>
        <w:t xml:space="preserve">Resumen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8237"/>
      </w:tblGrid>
      <w:tr>
        <w:trPr>
          <w:tblHeader/>
        </w:trPr>
        <w:tc>
          <w:tcPr>
            <w:tcW w:type="dxa" w:w="1123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8237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Lectura</w:t>
            </w:r>
          </w:p>
        </w:tc>
      </w:tr>
      <w:tr>
        <w:tc>
          <w:tcPr>
            <w:tcW w:type="dxa" w:w="1123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OK piloto</w:t>
            </w:r>
          </w:p>
        </w:tc>
        <w:tc>
          <w:tcPr>
            <w:tcW w:type="dxa" w:w="8237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Login/tenant, OC + bandeja, OV local (confirmar stock), insumos base, stub DTE, ficha contraparte, grupos/escalas OC</w:t>
            </w:r>
          </w:p>
        </w:tc>
      </w:tr>
      <w:tr>
        <w:tc>
          <w:tcPr>
            <w:tcW w:type="dxa" w:w="1123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Parcial</w:t>
            </w:r>
          </w:p>
        </w:tc>
        <w:tc>
          <w:tcPr>
            <w:tcW w:type="dxa" w:w="8237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Aprobación OV (código listo, flag empresa a menudo off), SSO Microsoft, plantillas documento, tesorería/contabilidad en demo cliente</w:t>
            </w:r>
          </w:p>
        </w:tc>
      </w:tr>
      <w:tr>
        <w:tc>
          <w:tcPr>
            <w:tcW w:type="dxa" w:w="1123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Gap / cable</w:t>
            </w:r>
          </w:p>
        </w:tc>
        <w:tc>
          <w:tcPr>
            <w:tcW w:type="dxa" w:w="8237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Movimiento bodega por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nombre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vs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StockInsumoBodega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por id; canonical DTE vs flete; pantallas vs menú puede re-desfasarse</w:t>
            </w:r>
          </w:p>
        </w:tc>
      </w:tr>
      <w:tr>
        <w:tc>
          <w:tcPr>
            <w:tcW w:type="dxa" w:w="1123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Diferido / externo</w:t>
            </w:r>
          </w:p>
        </w:tc>
        <w:tc>
          <w:tcPr>
            <w:tcW w:type="dxa" w:w="8237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GoSocket real, Acepta, SMTP, Excel AlmaWeb/cartolas, temporada puente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6F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1F6F6B"/>
          <w:sz w:val="28"/>
          <w:szCs w:val="28"/>
        </w:rPr>
        <w:t xml:space="preserve">Matriz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2"/>
        <w:gridCol w:w="1368"/>
        <w:gridCol w:w="1998"/>
        <w:gridCol w:w="2414"/>
        <w:gridCol w:w="938"/>
        <w:gridCol w:w="938"/>
        <w:gridCol w:w="852"/>
      </w:tblGrid>
      <w:tr>
        <w:trPr>
          <w:tblHeader/>
        </w:trPr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36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Área</w:t>
            </w:r>
          </w:p>
        </w:tc>
        <w:tc>
          <w:tcPr>
            <w:tcW w:type="dxa" w:w="19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TO-BE (conversación)</w:t>
            </w:r>
          </w:p>
        </w:tc>
        <w:tc>
          <w:tcPr>
            <w:tcW w:type="dxa" w:w="241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AS-IS (código 2026-08)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Piloto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Prod</w:t>
            </w:r>
          </w:p>
        </w:tc>
      </w:tr>
      <w:tr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ADM-01</w:t>
            </w:r>
          </w:p>
        </w:tc>
        <w:tc>
          <w:tcPr>
            <w:tcW w:type="dxa" w:w="136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Usuarios</w:t>
            </w:r>
          </w:p>
        </w:tc>
        <w:tc>
          <w:tcPr>
            <w:tcW w:type="dxa" w:w="19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Admin en ERP; multi-empresa</w:t>
            </w:r>
          </w:p>
        </w:tc>
        <w:tc>
          <w:tcPr>
            <w:tcW w:type="dxa" w:w="241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Panel Admin › Usuarios + </w:t>
            </w:r>
            <w:r>
              <w:rPr>
                <w:rFonts w:ascii="Consolas" w:cs="Consolas" w:eastAsia="Consolas" w:hAnsi="Consolas"/>
                <w:color w:val="1F6F6B"/>
                <w:sz w:val="16"/>
                <w:szCs w:val="16"/>
              </w:rPr>
              <w:t xml:space="preserve">UsuarioEmpresa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OK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Sí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Sí</w:t>
            </w:r>
          </w:p>
        </w:tc>
      </w:tr>
      <w:tr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ADM-02</w:t>
            </w:r>
          </w:p>
        </w:tc>
        <w:tc>
          <w:tcPr>
            <w:tcW w:type="dxa" w:w="136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Roles</w:t>
            </w:r>
          </w:p>
        </w:tc>
        <w:tc>
          <w:tcPr>
            <w:tcW w:type="dxa" w:w="19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Lectura/escritura por pantalla</w:t>
            </w:r>
          </w:p>
        </w:tc>
        <w:tc>
          <w:tcPr>
            <w:tcW w:type="dxa" w:w="241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6"/>
                <w:szCs w:val="16"/>
              </w:rPr>
              <w:t xml:space="preserve">permisos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color w:val="1F6F6B"/>
                <w:sz w:val="16"/>
                <w:szCs w:val="16"/>
              </w:rPr>
              <w:t xml:space="preserve">permisosPantalla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OK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Sí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Sí</w:t>
            </w:r>
          </w:p>
        </w:tc>
      </w:tr>
      <w:tr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ADM-03</w:t>
            </w:r>
          </w:p>
        </w:tc>
        <w:tc>
          <w:tcPr>
            <w:tcW w:type="dxa" w:w="136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Super admin</w:t>
            </w:r>
          </w:p>
        </w:tc>
        <w:tc>
          <w:tcPr>
            <w:tcW w:type="dxa" w:w="19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Ve todo; puede aprobar con aviso</w:t>
            </w:r>
          </w:p>
        </w:tc>
        <w:tc>
          <w:tcPr>
            <w:tcW w:type="dxa" w:w="241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Rol master + bandeja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OK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Sí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Sí</w:t>
            </w:r>
          </w:p>
        </w:tc>
      </w:tr>
      <w:tr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AUTH-01</w:t>
            </w:r>
          </w:p>
        </w:tc>
        <w:tc>
          <w:tcPr>
            <w:tcW w:type="dxa" w:w="136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SSO Microsoft</w:t>
            </w:r>
          </w:p>
        </w:tc>
        <w:tc>
          <w:tcPr>
            <w:tcW w:type="dxa" w:w="19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Login Entra</w:t>
            </w:r>
          </w:p>
        </w:tc>
        <w:tc>
          <w:tcPr>
            <w:tcW w:type="dxa" w:w="241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Campo </w:t>
            </w:r>
            <w:r>
              <w:rPr>
                <w:rFonts w:ascii="Consolas" w:cs="Consolas" w:eastAsia="Consolas" w:hAnsi="Consolas"/>
                <w:color w:val="1F6F6B"/>
                <w:sz w:val="16"/>
                <w:szCs w:val="16"/>
              </w:rPr>
              <w:t xml:space="preserve">microsoftOid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; botón hasta </w:t>
            </w:r>
            <w:r>
              <w:rPr>
                <w:rFonts w:ascii="Consolas" w:cs="Consolas" w:eastAsia="Consolas" w:hAnsi="Consolas"/>
                <w:color w:val="1F6F6B"/>
                <w:sz w:val="16"/>
                <w:szCs w:val="16"/>
              </w:rPr>
              <w:t xml:space="preserve">.env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Parcial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Sí (local pwd)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Parcial</w:t>
            </w:r>
          </w:p>
        </w:tc>
      </w:tr>
      <w:tr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APB-01</w:t>
            </w:r>
          </w:p>
        </w:tc>
        <w:tc>
          <w:tcPr>
            <w:tcW w:type="dxa" w:w="136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Cadena OC</w:t>
            </w:r>
          </w:p>
        </w:tc>
        <w:tc>
          <w:tcPr>
            <w:tcW w:type="dxa" w:w="19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Organigrama + montos + PIN</w:t>
            </w:r>
          </w:p>
        </w:tc>
        <w:tc>
          <w:tcPr>
            <w:tcW w:type="dxa" w:w="241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Grupos/escalas; PIN en reglas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OK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Sí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Sí</w:t>
            </w:r>
          </w:p>
        </w:tc>
      </w:tr>
      <w:tr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APB-02</w:t>
            </w:r>
          </w:p>
        </w:tc>
        <w:tc>
          <w:tcPr>
            <w:tcW w:type="dxa" w:w="136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Cadena OV</w:t>
            </w:r>
          </w:p>
        </w:tc>
        <w:tc>
          <w:tcPr>
            <w:tcW w:type="dxa" w:w="19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Misma lógica comercial</w:t>
            </w:r>
          </w:p>
        </w:tc>
        <w:tc>
          <w:tcPr>
            <w:tcW w:type="dxa" w:w="241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6"/>
                <w:szCs w:val="16"/>
              </w:rPr>
              <w:t xml:space="preserve">AprobacionOv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 + flag </w:t>
            </w:r>
            <w:r>
              <w:rPr>
                <w:rFonts w:ascii="Consolas" w:cs="Consolas" w:eastAsia="Consolas" w:hAnsi="Consolas"/>
                <w:color w:val="1F6F6B"/>
                <w:sz w:val="16"/>
                <w:szCs w:val="16"/>
              </w:rPr>
              <w:t xml:space="preserve">comercialRequiereAprobacion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 (default false)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Parcial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Decisión piloto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No asumir</w:t>
            </w:r>
          </w:p>
        </w:tc>
      </w:tr>
      <w:tr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CMP-01</w:t>
            </w:r>
          </w:p>
        </w:tc>
        <w:tc>
          <w:tcPr>
            <w:tcW w:type="dxa" w:w="136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Cotización</w:t>
            </w:r>
          </w:p>
        </w:tc>
        <w:tc>
          <w:tcPr>
            <w:tcW w:type="dxa" w:w="19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Proveedor → OC</w:t>
            </w:r>
          </w:p>
        </w:tc>
        <w:tc>
          <w:tcPr>
            <w:tcW w:type="dxa" w:w="241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6"/>
                <w:szCs w:val="16"/>
              </w:rPr>
              <w:t xml:space="preserve">COTIZACION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 en Compras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OK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Sí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Sí*</w:t>
            </w:r>
          </w:p>
        </w:tc>
      </w:tr>
      <w:tr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CMP-02</w:t>
            </w:r>
          </w:p>
        </w:tc>
        <w:tc>
          <w:tcPr>
            <w:tcW w:type="dxa" w:w="136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OC</w:t>
            </w:r>
          </w:p>
        </w:tc>
        <w:tc>
          <w:tcPr>
            <w:tcW w:type="dxa" w:w="19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Afecto, CC, aprobación, recepción</w:t>
            </w:r>
          </w:p>
        </w:tc>
        <w:tc>
          <w:tcPr>
            <w:tcW w:type="dxa" w:w="241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6"/>
                <w:szCs w:val="16"/>
              </w:rPr>
              <w:t xml:space="preserve">OrdenCompra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 + recepción + registro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OK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Sí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Sí*</w:t>
            </w:r>
          </w:p>
        </w:tc>
      </w:tr>
      <w:tr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VEN-01</w:t>
            </w:r>
          </w:p>
        </w:tc>
        <w:tc>
          <w:tcPr>
            <w:tcW w:type="dxa" w:w="136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OV</w:t>
            </w:r>
          </w:p>
        </w:tc>
        <w:tc>
          <w:tcPr>
            <w:tcW w:type="dxa" w:w="19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Previa a factura; stock al confirmar</w:t>
            </w:r>
          </w:p>
        </w:tc>
        <w:tc>
          <w:tcPr>
            <w:tcW w:type="dxa" w:w="241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6"/>
                <w:szCs w:val="16"/>
              </w:rPr>
              <w:t xml:space="preserve">ORDEN_VENTA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color w:val="1F6F6B"/>
                <w:sz w:val="16"/>
                <w:szCs w:val="16"/>
              </w:rPr>
              <w:t xml:space="preserve">confirmarOrdenVenta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OK local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Sí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H14</w:t>
            </w:r>
          </w:p>
        </w:tc>
      </w:tr>
      <w:tr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VEN-02</w:t>
            </w:r>
          </w:p>
        </w:tc>
        <w:tc>
          <w:tcPr>
            <w:tcW w:type="dxa" w:w="136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Factura</w:t>
            </w:r>
          </w:p>
        </w:tc>
        <w:tc>
          <w:tcPr>
            <w:tcW w:type="dxa" w:w="19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Copia qty/desc; precio editable</w:t>
            </w:r>
          </w:p>
        </w:tc>
        <w:tc>
          <w:tcPr>
            <w:tcW w:type="dxa" w:w="241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Wizard Emitir FACTURA desde OV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OK local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Stub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Stub</w:t>
            </w:r>
          </w:p>
        </w:tc>
      </w:tr>
      <w:tr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VEN-03</w:t>
            </w:r>
          </w:p>
        </w:tc>
        <w:tc>
          <w:tcPr>
            <w:tcW w:type="dxa" w:w="136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Libro</w:t>
            </w:r>
          </w:p>
        </w:tc>
        <w:tc>
          <w:tcPr>
            <w:tcW w:type="dxa" w:w="19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Solo emitidos; sin botón emitir</w:t>
            </w:r>
          </w:p>
        </w:tc>
        <w:tc>
          <w:tcPr>
            <w:tcW w:type="dxa" w:w="241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Libro + print local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OK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Sí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Parcial XML</w:t>
            </w:r>
          </w:p>
        </w:tc>
      </w:tr>
      <w:tr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VEN-04</w:t>
            </w:r>
          </w:p>
        </w:tc>
        <w:tc>
          <w:tcPr>
            <w:tcW w:type="dxa" w:w="136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Bajo costo</w:t>
            </w:r>
          </w:p>
        </w:tc>
        <w:tc>
          <w:tcPr>
            <w:tcW w:type="dxa" w:w="19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Bloquear por empresa</w:t>
            </w:r>
          </w:p>
        </w:tc>
        <w:tc>
          <w:tcPr>
            <w:tcW w:type="dxa" w:w="241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6"/>
                <w:szCs w:val="16"/>
              </w:rPr>
              <w:t xml:space="preserve">Empresa.ventaBajoCosto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 UI Admin (solo BLOQUEAR)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OK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Sí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Sí</w:t>
            </w:r>
          </w:p>
        </w:tc>
      </w:tr>
      <w:tr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INV-01</w:t>
            </w:r>
          </w:p>
        </w:tc>
        <w:tc>
          <w:tcPr>
            <w:tcW w:type="dxa" w:w="136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Stock venta</w:t>
            </w:r>
          </w:p>
        </w:tc>
        <w:tc>
          <w:tcPr>
            <w:tcW w:type="dxa" w:w="19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Positivo por bodega</w:t>
            </w:r>
          </w:p>
        </w:tc>
        <w:tc>
          <w:tcPr>
            <w:tcW w:type="dxa" w:w="241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6"/>
                <w:szCs w:val="16"/>
              </w:rPr>
              <w:t xml:space="preserve">StockInsumoBodega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OK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Sí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H14</w:t>
            </w:r>
          </w:p>
        </w:tc>
      </w:tr>
      <w:tr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INV-02</w:t>
            </w:r>
          </w:p>
        </w:tc>
        <w:tc>
          <w:tcPr>
            <w:tcW w:type="dxa" w:w="136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Movimientos</w:t>
            </w:r>
          </w:p>
        </w:tc>
        <w:tc>
          <w:tcPr>
            <w:tcW w:type="dxa" w:w="19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Tipos + NC reingreso</w:t>
            </w:r>
          </w:p>
        </w:tc>
        <w:tc>
          <w:tcPr>
            <w:tcW w:type="dxa" w:w="241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UI movimientos; bodega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texto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Parcial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Sí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Sí</w:t>
            </w:r>
          </w:p>
        </w:tc>
      </w:tr>
      <w:tr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INV-03</w:t>
            </w:r>
          </w:p>
        </w:tc>
        <w:tc>
          <w:tcPr>
            <w:tcW w:type="dxa" w:w="136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Inventariable</w:t>
            </w:r>
          </w:p>
        </w:tc>
        <w:tc>
          <w:tcPr>
            <w:tcW w:type="dxa" w:w="19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Servicio no mueve stock</w:t>
            </w:r>
          </w:p>
        </w:tc>
        <w:tc>
          <w:tcPr>
            <w:tcW w:type="dxa" w:w="241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Flag maestro + OV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OK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Sí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Sí</w:t>
            </w:r>
          </w:p>
        </w:tc>
      </w:tr>
      <w:tr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FIC-01</w:t>
            </w:r>
          </w:p>
        </w:tc>
        <w:tc>
          <w:tcPr>
            <w:tcW w:type="dxa" w:w="136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Ficha única</w:t>
            </w:r>
          </w:p>
        </w:tc>
        <w:tc>
          <w:tcPr>
            <w:tcW w:type="dxa" w:w="19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Bancos, contactos, despacho</w:t>
            </w:r>
          </w:p>
        </w:tc>
        <w:tc>
          <w:tcPr>
            <w:tcW w:type="dxa" w:w="241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Modelos Cliente/Proveedor + modal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OK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Sí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Sí</w:t>
            </w:r>
          </w:p>
        </w:tc>
      </w:tr>
      <w:tr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FIC-02</w:t>
            </w:r>
          </w:p>
        </w:tc>
        <w:tc>
          <w:tcPr>
            <w:tcW w:type="dxa" w:w="136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Lookup RUT</w:t>
            </w:r>
          </w:p>
        </w:tc>
        <w:tc>
          <w:tcPr>
            <w:tcW w:type="dxa" w:w="19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Sociedad/cliente/proveedor</w:t>
            </w:r>
          </w:p>
        </w:tc>
        <w:tc>
          <w:tcPr>
            <w:tcW w:type="dxa" w:w="241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API lookup; productor = flag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OK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Sí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Sí</w:t>
            </w:r>
          </w:p>
        </w:tc>
      </w:tr>
      <w:tr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DTE-01</w:t>
            </w:r>
          </w:p>
        </w:tc>
        <w:tc>
          <w:tcPr>
            <w:tcW w:type="dxa" w:w="136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Emisión SII</w:t>
            </w:r>
          </w:p>
        </w:tc>
        <w:tc>
          <w:tcPr>
            <w:tcW w:type="dxa" w:w="19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GoSocket transparente</w:t>
            </w:r>
          </w:p>
        </w:tc>
        <w:tc>
          <w:tcPr>
            <w:tcW w:type="dxa" w:w="241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Stub billing; no SII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Diferido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Stub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CNT-01</w:t>
            </w:r>
          </w:p>
        </w:tc>
        <w:tc>
          <w:tcPr>
            <w:tcW w:type="dxa" w:w="136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Plan cuentas</w:t>
            </w:r>
          </w:p>
        </w:tc>
        <w:tc>
          <w:tcPr>
            <w:tcW w:type="dxa" w:w="19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Flags + inactivar</w:t>
            </w:r>
          </w:p>
        </w:tc>
        <w:tc>
          <w:tcPr>
            <w:tcW w:type="dxa" w:w="241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Modelos + UI parametrización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OK base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Sí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Parcial demo</w:t>
            </w:r>
          </w:p>
        </w:tc>
      </w:tr>
      <w:tr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TES-01</w:t>
            </w:r>
          </w:p>
        </w:tc>
        <w:tc>
          <w:tcPr>
            <w:tcW w:type="dxa" w:w="136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Cartola</w:t>
            </w:r>
          </w:p>
        </w:tc>
        <w:tc>
          <w:tcPr>
            <w:tcW w:type="dxa" w:w="19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Excel banco → calce</w:t>
            </w:r>
          </w:p>
        </w:tc>
        <w:tc>
          <w:tcPr>
            <w:tcW w:type="dxa" w:w="241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Parsers + conciliación base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Parcial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Sí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Excel MJ</w:t>
            </w:r>
          </w:p>
        </w:tc>
      </w:tr>
      <w:tr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OUT-01</w:t>
            </w:r>
          </w:p>
        </w:tc>
        <w:tc>
          <w:tcPr>
            <w:tcW w:type="dxa" w:w="136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Cotiz ventas</w:t>
            </w:r>
          </w:p>
        </w:tc>
        <w:tc>
          <w:tcPr>
            <w:tcW w:type="dxa" w:w="19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No existe</w:t>
            </w:r>
          </w:p>
        </w:tc>
        <w:tc>
          <w:tcPr>
            <w:tcW w:type="dxa" w:w="241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Redirect </w:t>
            </w:r>
            <w:r>
              <w:rPr>
                <w:rFonts w:ascii="Consolas" w:cs="Consolas" w:eastAsia="Consolas" w:hAnsi="Consolas"/>
                <w:color w:val="1F6F6B"/>
                <w:sz w:val="16"/>
                <w:szCs w:val="16"/>
              </w:rPr>
              <w:t xml:space="preserve">/comercial/cotizaciones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OK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OUT-02</w:t>
            </w:r>
          </w:p>
        </w:tc>
        <w:tc>
          <w:tcPr>
            <w:tcW w:type="dxa" w:w="136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Mano de obra / maquinaria</w:t>
            </w:r>
          </w:p>
        </w:tc>
        <w:tc>
          <w:tcPr>
            <w:tcW w:type="dxa" w:w="19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Fuera</w:t>
            </w:r>
          </w:p>
        </w:tc>
        <w:tc>
          <w:tcPr>
            <w:tcW w:type="dxa" w:w="241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No módulo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OK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200"/>
      </w:pPr>
    </w:p>
    <w:p>
      <w:pPr>
        <w:spacing w:after="14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\*Prod: validar seed y migrate; no asumir paridad con local.</w:t>
      </w:r>
    </w:p>
    <w:p>
      <w:pPr>
        <w:pStyle w:val="Heading1"/>
        <w:pBdr>
          <w:bottom w:val="single" w:color="1F6F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1F6F6B"/>
          <w:sz w:val="28"/>
          <w:szCs w:val="28"/>
        </w:rPr>
        <w:t xml:space="preserve">Contradicciones resueltas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94"/>
        <w:gridCol w:w="5066"/>
      </w:tblGrid>
      <w:tr>
        <w:trPr>
          <w:tblHeader/>
        </w:trPr>
        <w:tc>
          <w:tcPr>
            <w:tcW w:type="dxa" w:w="429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Antes (Reu4/Reu5 o demo)</w:t>
            </w:r>
          </w:p>
        </w:tc>
        <w:tc>
          <w:tcPr>
            <w:tcW w:type="dxa" w:w="506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Ahora (Reu6 + código)</w:t>
            </w:r>
          </w:p>
        </w:tc>
      </w:tr>
      <w:tr>
        <w:tc>
          <w:tcPr>
            <w:tcW w:type="dxa" w:w="429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Cotización cliente → NP → factura</w:t>
            </w:r>
          </w:p>
        </w:tc>
        <w:tc>
          <w:tcPr>
            <w:tcW w:type="dxa" w:w="506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Cotización Compras → OC; Ventas = OV → factura</w:t>
            </w:r>
          </w:p>
        </w:tc>
      </w:tr>
      <w:tr>
        <w:tc>
          <w:tcPr>
            <w:tcW w:type="dxa" w:w="429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 firma pool</w:t>
            </w:r>
          </w:p>
        </w:tc>
        <w:tc>
          <w:tcPr>
            <w:tcW w:type="dxa" w:w="506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Cadena grupos/escalas</w:t>
            </w:r>
          </w:p>
        </w:tc>
      </w:tr>
      <w:tr>
        <w:tc>
          <w:tcPr>
            <w:tcW w:type="dxa" w:w="429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PIN en checkbox de rol</w:t>
            </w:r>
          </w:p>
        </w:tc>
        <w:tc>
          <w:tcPr>
            <w:tcW w:type="dxa" w:w="506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PIN por designación + hash usuario</w:t>
            </w:r>
          </w:p>
        </w:tc>
      </w:tr>
      <w:tr>
        <w:tc>
          <w:tcPr>
            <w:tcW w:type="dxa" w:w="429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GoSocket “en 2 semanas”</w:t>
            </w:r>
          </w:p>
        </w:tc>
        <w:tc>
          <w:tcPr>
            <w:tcW w:type="dxa" w:w="506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Stub suficiente para piloto; integración en proyecto aparte</w:t>
            </w:r>
          </w:p>
        </w:tc>
      </w:tr>
      <w:tr>
        <w:tc>
          <w:tcPr>
            <w:tcW w:type="dxa" w:w="429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UI venta bajo costo “sin pantalla” (deuda antigua)</w:t>
            </w:r>
          </w:p>
        </w:tc>
        <w:tc>
          <w:tcPr>
            <w:tcW w:type="dxa" w:w="506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Existe en Admin › Empresas (H2)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6F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1F6F6B"/>
          <w:sz w:val="28"/>
          <w:szCs w:val="28"/>
        </w:rPr>
        <w:t xml:space="preserve">Lectura para integración GoSocket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 es el siguiente cable de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datos maestros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Primero: persistencia coherente (bodega id, líneas OV, canonical flete), tenant, stub estable. Luego credenciales y espejo de folios. Ver </w:t>
      </w:r>
      <w:r>
        <w:rPr>
          <w:rFonts w:ascii="Calibri" w:cs="Calibri" w:eastAsia="Calibri" w:hAnsi="Calibri"/>
          <w:color w:val="1F6F6B"/>
          <w:sz w:val="21"/>
          <w:szCs w:val="21"/>
          <w:u w:val="single"/>
        </w:rPr>
        <w:t xml:space="preserve">`auditoria-integridad-datos.md`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sectPr>
      <w:headerReference w:type="default" r:id="rId7"/>
      <w:footerReference w:type="default" r:id="rId8"/>
      <w:pgSz w:w="11906" w:h="16838" w:orient="portrait"/>
      <w:pgMar w:top="144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F6B6A"/>
        <w:sz w:val="17"/>
        <w:szCs w:val="17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EDD" w:sz="4" w:space="4"/>
      </w:pBdr>
      <w:tabs>
        <w:tab w:val="right" w:pos="9360"/>
      </w:tabs>
    </w:pPr>
    <w:r>
      <w:rPr>
        <w:rFonts w:ascii="Calibri" w:cs="Calibri" w:eastAsia="Calibri" w:hAnsi="Calibri"/>
        <w:b/>
        <w:bCs/>
        <w:color w:val="5F6B6A"/>
        <w:sz w:val="17"/>
        <w:szCs w:val="17"/>
      </w:rPr>
      <w:t xml:space="preserve">ERP Almahue</w:t>
    </w:r>
    <w:r>
      <w:rPr>
        <w:rFonts w:ascii="Calibri" w:cs="Calibri" w:eastAsia="Calibri" w:hAnsi="Calibri"/>
        <w:color w:val="5F6B6A"/>
        <w:sz w:val="17"/>
        <w:szCs w:val="17"/>
      </w:rPr>
      <w:t xml:space="preserve">	Matriz AS-IS / TO-BE (conversaciones + código)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1F6F6B"/>
      </w:rPr>
    </w:lvl>
    <w:lvl w:ilvl="1" w15:tentative="1">
      <w:start w:val="1"/>
      <w:numFmt w:val="bullet"/>
      <w:lvlText w:val="◦"/>
      <w:lvlJc w:val="left"/>
      <w:pPr>
        <w:ind w:left="780" w:hanging="240"/>
      </w:pPr>
      <w:rPr>
        <w:color w:val="5F6B6A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240"/>
      </w:pPr>
      <w:rPr>
        <w:color w:val="5F6B6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F6F6B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AS-IS / TO-BE (conversaciones + código)</dc:title>
  <dc:creator>ERP Almahue</dc:creator>
  <cp:lastModifiedBy>Un-named</cp:lastModifiedBy>
  <cp:revision>1</cp:revision>
  <dcterms:created xsi:type="dcterms:W3CDTF">2026-09-17T14:44:04.180Z</dcterms:created>
  <dcterms:modified xsi:type="dcterms:W3CDTF">2026-09-17T14:44:04.180Z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