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5F6B6A"/>
          <w:sz w:val="18"/>
          <w:szCs w:val="18"/>
        </w:rPr>
        <w:t xml:space="preserve">ERP ALMAHUE · DOCUMENTO TÉCNICO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F6F6B"/>
          <w:sz w:val="40"/>
          <w:szCs w:val="40"/>
        </w:rPr>
        <w:t xml:space="preserve">Auditoría de integridad de datos (UI vs Prisma)</w:t>
      </w:r>
    </w:p>
    <w:p>
      <w:pPr>
        <w:pBdr>
          <w:bottom w:val="single" w:color="1F6F6B" w:sz="12" w:space="8"/>
        </w:pBdr>
        <w:spacing w:after="300"/>
      </w:pPr>
      <w:r>
        <w:rPr>
          <w:rFonts w:ascii="Calibri" w:cs="Calibri" w:eastAsia="Calibri" w:hAnsi="Calibri"/>
          <w:b/>
          <w:bCs/>
          <w:color w:val="5F6B6A"/>
          <w:sz w:val="20"/>
          <w:szCs w:val="20"/>
        </w:rPr>
        <w:t xml:space="preserve">Alcance:</w:t>
      </w:r>
      <w:r>
        <w:rPr>
          <w:rFonts w:ascii="Calibri" w:cs="Calibri" w:eastAsia="Calibri" w:hAnsi="Calibri"/>
          <w:color w:val="5F6B6A"/>
          <w:sz w:val="20"/>
          <w:szCs w:val="20"/>
        </w:rPr>
        <w:t xml:space="preserve"> formularios Comercial, Compras, Insumos frente a </w:t>
      </w:r>
      <w:r>
        <w:rPr>
          <w:rFonts w:ascii="Consolas" w:cs="Consolas" w:eastAsia="Consolas" w:hAnsi="Consolas"/>
          <w:color w:val="1F6F6B"/>
          <w:sz w:val="18"/>
          <w:szCs w:val="18"/>
        </w:rPr>
        <w:t xml:space="preserve">ERP/erp_back/prisma/schema.prisma</w:t>
      </w:r>
      <w:r>
        <w:rPr>
          <w:rFonts w:ascii="Calibri" w:cs="Calibri" w:eastAsia="Calibri" w:hAnsi="Calibri"/>
          <w:color w:val="5F6B6A"/>
          <w:sz w:val="20"/>
          <w:szCs w:val="20"/>
        </w:rPr>
        <w:t xml:space="preserve">.</w:t>
      </w:r>
      <w:r>
        <w:br/>
      </w:r>
      <w:r>
        <w:rPr>
          <w:rFonts w:ascii="Calibri" w:cs="Calibri" w:eastAsia="Calibri" w:hAnsi="Calibri"/>
          <w:b/>
          <w:bCs/>
          <w:color w:val="5F6B6A"/>
          <w:sz w:val="20"/>
          <w:szCs w:val="20"/>
        </w:rPr>
        <w:t xml:space="preserve">Fecha:</w:t>
      </w:r>
      <w:r>
        <w:rPr>
          <w:rFonts w:ascii="Calibri" w:cs="Calibri" w:eastAsia="Calibri" w:hAnsi="Calibri"/>
          <w:color w:val="5F6B6A"/>
          <w:sz w:val="20"/>
          <w:szCs w:val="20"/>
        </w:rPr>
        <w:t xml:space="preserve"> 2026-08-16 (actualizado mismo día: FKs inventario + flete canónico en código).</w:t>
      </w:r>
      <w:r>
        <w:br/>
      </w:r>
      <w:r>
        <w:rPr>
          <w:rFonts w:ascii="Calibri" w:cs="Calibri" w:eastAsia="Calibri" w:hAnsi="Calibri"/>
          <w:b/>
          <w:bCs/>
          <w:color w:val="5F6B6A"/>
          <w:sz w:val="20"/>
          <w:szCs w:val="20"/>
        </w:rPr>
        <w:t xml:space="preserve">Objetivo:</w:t>
      </w:r>
      <w:r>
        <w:rPr>
          <w:rFonts w:ascii="Calibri" w:cs="Calibri" w:eastAsia="Calibri" w:hAnsi="Calibri"/>
          <w:color w:val="5F6B6A"/>
          <w:sz w:val="20"/>
          <w:szCs w:val="20"/>
        </w:rPr>
        <w:t xml:space="preserve"> cables sueltos </w:t>
      </w:r>
      <w:r>
        <w:rPr>
          <w:rFonts w:ascii="Calibri" w:cs="Calibri" w:eastAsia="Calibri" w:hAnsi="Calibri"/>
          <w:b/>
          <w:bCs/>
          <w:color w:val="5F6B6A"/>
          <w:sz w:val="20"/>
          <w:szCs w:val="20"/>
        </w:rPr>
        <w:t xml:space="preserve">antes</w:t>
      </w:r>
      <w:r>
        <w:rPr>
          <w:rFonts w:ascii="Calibri" w:cs="Calibri" w:eastAsia="Calibri" w:hAnsi="Calibri"/>
          <w:color w:val="5F6B6A"/>
          <w:sz w:val="20"/>
          <w:szCs w:val="20"/>
        </w:rPr>
        <w:t xml:space="preserve"> de integrar GoSocket.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Tenant: toda fila de negocio lleva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empresaId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Schema PostgreSQL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erp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pStyle w:val="Heading1"/>
        <w:pBdr>
          <w:bottom w:val="single" w:color="1F6F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1F6F6B"/>
          <w:sz w:val="28"/>
          <w:szCs w:val="28"/>
        </w:rPr>
        <w:t xml:space="preserve">1. Mapa de persistencia (lo que sí conecta)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6"/>
        <w:gridCol w:w="5633"/>
        <w:gridCol w:w="2421"/>
      </w:tblGrid>
      <w:tr>
        <w:trPr>
          <w:tblHeader/>
        </w:trPr>
        <w:tc>
          <w:tcPr>
            <w:tcW w:type="dxa" w:w="130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UI</w:t>
            </w:r>
          </w:p>
        </w:tc>
        <w:tc>
          <w:tcPr>
            <w:tcW w:type="dxa" w:w="5633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Modelo / campos</w:t>
            </w:r>
          </w:p>
        </w:tc>
        <w:tc>
          <w:tcPr>
            <w:tcW w:type="dxa" w:w="242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130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Compras › OC</w:t>
            </w:r>
          </w:p>
        </w:tc>
        <w:tc>
          <w:tcPr>
            <w:tcW w:type="dxa" w:w="5633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OrdenCompra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: numero, fecha, proveedor/proveedorId, solicitante, moneda, neto, afacto, estado, departamento, cuenta/CC/elemento,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distribucionCc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JSON,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lineas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JSON, cadena aprobación</w:t>
            </w:r>
          </w:p>
        </w:tc>
        <w:tc>
          <w:tcPr>
            <w:tcW w:type="dxa" w:w="242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Formulario en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ComprasPages.tsx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persiste maestro proveedor</w:t>
            </w:r>
          </w:p>
        </w:tc>
      </w:tr>
      <w:tr>
        <w:tc>
          <w:tcPr>
            <w:tcW w:type="dxa" w:w="130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Compras › recepción / registro</w:t>
            </w:r>
          </w:p>
        </w:tc>
        <w:tc>
          <w:tcPr>
            <w:tcW w:type="dxa" w:w="5633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RecepcionOc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RegistroCompra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(match 3 vías)</w:t>
            </w:r>
          </w:p>
        </w:tc>
        <w:tc>
          <w:tcPr>
            <w:tcW w:type="dxa" w:w="242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30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Ventas › OV (lista)</w:t>
            </w:r>
          </w:p>
        </w:tc>
        <w:tc>
          <w:tcPr>
            <w:tcW w:type="dxa" w:w="5633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Filtra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DocumentoComercial.tipo = ORDEN_VENTA</w:t>
            </w:r>
          </w:p>
        </w:tc>
        <w:tc>
          <w:tcPr>
            <w:tcW w:type="dxa" w:w="242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Alta/edición vía wizard Emitir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contexto=ov</w:t>
            </w:r>
          </w:p>
        </w:tc>
      </w:tr>
      <w:tr>
        <w:tc>
          <w:tcPr>
            <w:tcW w:type="dxa" w:w="130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Ventas › Emitir</w:t>
            </w:r>
          </w:p>
        </w:tc>
        <w:tc>
          <w:tcPr>
            <w:tcW w:type="dxa" w:w="5633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DocumentoComercial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(folio, tipo, cliente, neto, iva, lineas, formaPago, vencimiento, receptor*, COMEX opcionales, referencia OC/NP)</w:t>
            </w:r>
          </w:p>
        </w:tc>
        <w:tc>
          <w:tcPr>
            <w:tcW w:type="dxa" w:w="242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Tipos UI: FACTURA/NC/ND/GUIA</w:t>
            </w:r>
          </w:p>
        </w:tc>
      </w:tr>
      <w:tr>
        <w:tc>
          <w:tcPr>
            <w:tcW w:type="dxa" w:w="130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Insumos › artículos</w:t>
            </w:r>
          </w:p>
        </w:tc>
        <w:tc>
          <w:tcPr>
            <w:tcW w:type="dxa" w:w="5633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Insumo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: codigo, familia, subfamilia, nombre, unidad, cuentaContableId, inventariable</w:t>
            </w:r>
          </w:p>
        </w:tc>
        <w:tc>
          <w:tcPr>
            <w:tcW w:type="dxa" w:w="242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 captura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stock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ni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costoPromedio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(correcto: viven en bodega/movimientos)</w:t>
            </w:r>
          </w:p>
        </w:tc>
      </w:tr>
      <w:tr>
        <w:tc>
          <w:tcPr>
            <w:tcW w:type="dxa" w:w="130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Insumos › bodegas</w:t>
            </w:r>
          </w:p>
        </w:tc>
        <w:tc>
          <w:tcPr>
            <w:tcW w:type="dxa" w:w="5633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Bodega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: codigo, nombre, activa, empresaId</w:t>
            </w:r>
          </w:p>
        </w:tc>
        <w:tc>
          <w:tcPr>
            <w:tcW w:type="dxa" w:w="242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30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Insumos › movimientos</w:t>
            </w:r>
          </w:p>
        </w:tc>
        <w:tc>
          <w:tcPr>
            <w:tcW w:type="dxa" w:w="5633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MovimientoBodega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: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bodegaId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bodegaDestinoId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insumoId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(FK);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bodega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articulo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denormalizados (código/nombre)</w:t>
            </w:r>
          </w:p>
        </w:tc>
        <w:tc>
          <w:tcPr>
            <w:tcW w:type="dxa" w:w="242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UI envía ids; stock solo vía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StockInsumoBodega</w:t>
            </w:r>
          </w:p>
        </w:tc>
      </w:tr>
      <w:tr>
        <w:tc>
          <w:tcPr>
            <w:tcW w:type="dxa" w:w="130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Admin › Empresas</w:t>
            </w:r>
          </w:p>
        </w:tc>
        <w:tc>
          <w:tcPr>
            <w:tcW w:type="dxa" w:w="5633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ventaBajoCosto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comercialRequiereAprobacion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comercialAprobacionDesde</w:t>
            </w:r>
          </w:p>
        </w:tc>
        <w:tc>
          <w:tcPr>
            <w:tcW w:type="dxa" w:w="242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UI D16 solo opción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BLOQUEAR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6F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1F6F6B"/>
          <w:sz w:val="28"/>
          <w:szCs w:val="28"/>
        </w:rPr>
        <w:t xml:space="preserve">2. Campos de UI que no guardan (o guardan mal) en BD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"/>
        <w:gridCol w:w="1306"/>
        <w:gridCol w:w="1882"/>
        <w:gridCol w:w="1993"/>
        <w:gridCol w:w="3641"/>
      </w:tblGrid>
      <w:tr>
        <w:trPr>
          <w:tblHeader/>
        </w:trPr>
        <w:tc>
          <w:tcPr>
            <w:tcW w:type="dxa" w:w="5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30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Pantalla</w:t>
            </w:r>
          </w:p>
        </w:tc>
        <w:tc>
          <w:tcPr>
            <w:tcW w:type="dxa" w:w="188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 UI</w:t>
            </w:r>
          </w:p>
        </w:tc>
        <w:tc>
          <w:tcPr>
            <w:tcW w:type="dxa" w:w="1993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364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5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U1</w:t>
            </w:r>
          </w:p>
        </w:tc>
        <w:tc>
          <w:tcPr>
            <w:tcW w:type="dxa" w:w="130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Movimientos bodega</w:t>
            </w:r>
          </w:p>
        </w:tc>
        <w:tc>
          <w:tcPr>
            <w:tcW w:type="dxa" w:w="188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Bodega origen/destino</w:t>
            </w:r>
          </w:p>
        </w:tc>
        <w:tc>
          <w:tcPr>
            <w:tcW w:type="dxa" w:w="1993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Antes el select usaba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`b.nombre`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.</w:t>
            </w:r>
          </w:p>
        </w:tc>
        <w:tc>
          <w:tcPr>
            <w:tcW w:type="dxa" w:w="364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Resuelto (2026-08-16).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Persistencia y cruce de stock usan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bodegaId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bodegaDestinoId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(FK a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Bodega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).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bodega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queda como código denormalizado de lectura. UI: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InsumosPages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envía ids. Migración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20260816220000_movimiento_bodega_fks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5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U2</w:t>
            </w:r>
          </w:p>
        </w:tc>
        <w:tc>
          <w:tcPr>
            <w:tcW w:type="dxa" w:w="130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Movimientos bodega</w:t>
            </w:r>
          </w:p>
        </w:tc>
        <w:tc>
          <w:tcPr>
            <w:tcW w:type="dxa" w:w="188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Artículo</w:t>
            </w:r>
          </w:p>
        </w:tc>
        <w:tc>
          <w:tcPr>
            <w:tcW w:type="dxa" w:w="1993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Antes el select usaba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`i.nombre`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.</w:t>
            </w:r>
          </w:p>
        </w:tc>
        <w:tc>
          <w:tcPr>
            <w:tcW w:type="dxa" w:w="364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Resuelto (2026-08-16).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insumoId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obligatorio en create/update; lookup por nombre eliminado.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articulo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= nombre denormalizado.</w:t>
            </w:r>
          </w:p>
        </w:tc>
      </w:tr>
      <w:tr>
        <w:tc>
          <w:tcPr>
            <w:tcW w:type="dxa" w:w="5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U3</w:t>
            </w:r>
          </w:p>
        </w:tc>
        <w:tc>
          <w:tcPr>
            <w:tcW w:type="dxa" w:w="130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OV / Emitir</w:t>
            </w:r>
          </w:p>
        </w:tc>
        <w:tc>
          <w:tcPr>
            <w:tcW w:type="dxa" w:w="188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Splits de bodega</w:t>
            </w:r>
          </w:p>
        </w:tc>
        <w:tc>
          <w:tcPr>
            <w:tcW w:type="dxa" w:w="1993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El TO-BE pide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splits[{bodegaId, cantidad}]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en líneas.</w:t>
            </w:r>
          </w:p>
        </w:tc>
        <w:tc>
          <w:tcPr>
            <w:tcW w:type="dxa" w:w="364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Parcial / resuelto en backend: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OV confirma stock con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splits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bodegaId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insumoId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(misma transacción). Seguir validando en QA que el wizard siempre envíe ids.</w:t>
            </w:r>
          </w:p>
        </w:tc>
      </w:tr>
      <w:tr>
        <w:tc>
          <w:tcPr>
            <w:tcW w:type="dxa" w:w="5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U4</w:t>
            </w:r>
          </w:p>
        </w:tc>
        <w:tc>
          <w:tcPr>
            <w:tcW w:type="dxa" w:w="130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Empresas</w:t>
            </w:r>
          </w:p>
        </w:tc>
        <w:tc>
          <w:tcPr>
            <w:tcW w:type="dxa" w:w="188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ventaBajoCosto</w:t>
            </w:r>
          </w:p>
        </w:tc>
        <w:tc>
          <w:tcPr>
            <w:tcW w:type="dxa" w:w="1993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Select sin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PERMITIR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; comentario Prisma menciona valor legado. No exponer ni usar ese legado.</w:t>
            </w:r>
          </w:p>
        </w:tc>
        <w:tc>
          <w:tcPr>
            <w:tcW w:type="dxa" w:w="364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Abierto</w:t>
            </w:r>
          </w:p>
        </w:tc>
      </w:tr>
      <w:tr>
        <w:tc>
          <w:tcPr>
            <w:tcW w:type="dxa" w:w="5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U5</w:t>
            </w:r>
          </w:p>
        </w:tc>
        <w:tc>
          <w:tcPr>
            <w:tcW w:type="dxa" w:w="130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Plantilla documentos</w:t>
            </w:r>
          </w:p>
        </w:tc>
        <w:tc>
          <w:tcPr>
            <w:tcW w:type="dxa" w:w="188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Preview logo/sello/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plantillaDoc</w:t>
            </w:r>
          </w:p>
        </w:tc>
        <w:tc>
          <w:tcPr>
            <w:tcW w:type="dxa" w:w="1993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JSON en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Empresa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; no es DTE. No confundir con GoSocket.</w:t>
            </w:r>
          </w:p>
        </w:tc>
        <w:tc>
          <w:tcPr>
            <w:tcW w:type="dxa" w:w="364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Abierto</w:t>
            </w:r>
          </w:p>
        </w:tc>
      </w:tr>
      <w:tr>
        <w:tc>
          <w:tcPr>
            <w:tcW w:type="dxa" w:w="5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U6</w:t>
            </w:r>
          </w:p>
        </w:tc>
        <w:tc>
          <w:tcPr>
            <w:tcW w:type="dxa" w:w="130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Guías</w:t>
            </w:r>
          </w:p>
        </w:tc>
        <w:tc>
          <w:tcPr>
            <w:tcW w:type="dxa" w:w="188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GuiasDespachoPage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vs tipo GUIA en Emitir</w:t>
            </w:r>
          </w:p>
        </w:tc>
        <w:tc>
          <w:tcPr>
            <w:tcW w:type="dxa" w:w="1993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Dos caminos: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GuiaDespacho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vs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DocumentoComercial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tipo GUIA. Riesgo de doble verdad.</w:t>
            </w:r>
          </w:p>
        </w:tc>
        <w:tc>
          <w:tcPr>
            <w:tcW w:type="dxa" w:w="364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Abierto</w:t>
            </w:r>
          </w:p>
        </w:tc>
      </w:tr>
      <w:tr>
        <w:tc>
          <w:tcPr>
            <w:tcW w:type="dxa" w:w="5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U7</w:t>
            </w:r>
          </w:p>
        </w:tc>
        <w:tc>
          <w:tcPr>
            <w:tcW w:type="dxa" w:w="130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Compras OC</w:t>
            </w:r>
          </w:p>
        </w:tc>
        <w:tc>
          <w:tcPr>
            <w:tcW w:type="dxa" w:w="188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proveedor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texto denormalizado</w:t>
            </w:r>
          </w:p>
        </w:tc>
        <w:tc>
          <w:tcPr>
            <w:tcW w:type="dxa" w:w="1993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 rellena desde maestro; si el usuario edita nombre a mano, diverge de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proveedorId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.</w:t>
            </w:r>
          </w:p>
        </w:tc>
        <w:tc>
          <w:tcPr>
            <w:tcW w:type="dxa" w:w="364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Abierto</w:t>
            </w:r>
          </w:p>
        </w:tc>
      </w:tr>
      <w:tr>
        <w:tc>
          <w:tcPr>
            <w:tcW w:type="dxa" w:w="5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U8</w:t>
            </w:r>
          </w:p>
        </w:tc>
        <w:tc>
          <w:tcPr>
            <w:tcW w:type="dxa" w:w="130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Modo demo (toggle front)</w:t>
            </w:r>
          </w:p>
        </w:tc>
        <w:tc>
          <w:tcPr>
            <w:tcW w:type="dxa" w:w="188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Fixtures</w:t>
            </w:r>
          </w:p>
        </w:tc>
        <w:tc>
          <w:tcPr>
            <w:tcW w:type="dxa" w:w="1993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Pueden mostrar campos que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no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pegan a API real. No usar demo como evidencia de persistencia.</w:t>
            </w:r>
          </w:p>
        </w:tc>
        <w:tc>
          <w:tcPr>
            <w:tcW w:type="dxa" w:w="3641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Abierto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6F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1F6F6B"/>
          <w:sz w:val="28"/>
          <w:szCs w:val="28"/>
        </w:rPr>
        <w:t xml:space="preserve">3. Tablas / columnas de BD sin captura adecuada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"/>
        <w:gridCol w:w="2558"/>
        <w:gridCol w:w="1402"/>
        <w:gridCol w:w="4862"/>
      </w:tblGrid>
      <w:tr>
        <w:trPr>
          <w:tblHeader/>
        </w:trPr>
        <w:tc>
          <w:tcPr>
            <w:tcW w:type="dxa" w:w="5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55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Prisma</w:t>
            </w:r>
          </w:p>
        </w:tc>
        <w:tc>
          <w:tcPr>
            <w:tcW w:type="dxa" w:w="140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Obligatorio / relevante</w:t>
            </w:r>
          </w:p>
        </w:tc>
        <w:tc>
          <w:tcPr>
            <w:tcW w:type="dxa" w:w="486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UI</w:t>
            </w:r>
          </w:p>
        </w:tc>
      </w:tr>
      <w:tr>
        <w:tc>
          <w:tcPr>
            <w:tcW w:type="dxa" w:w="5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D1</w:t>
            </w:r>
          </w:p>
        </w:tc>
        <w:tc>
          <w:tcPr>
            <w:tcW w:type="dxa" w:w="255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StockInsumoBodega</w:t>
            </w:r>
          </w:p>
        </w:tc>
        <w:tc>
          <w:tcPr>
            <w:tcW w:type="dxa" w:w="140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Saldo venta (único serio)</w:t>
            </w:r>
          </w:p>
        </w:tc>
        <w:tc>
          <w:tcPr>
            <w:tcW w:type="dxa" w:w="486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Sin mantenedor de stock (correcto). Deltas solo por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empresaId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+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insumoId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+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bodegaId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5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D2</w:t>
            </w:r>
          </w:p>
        </w:tc>
        <w:tc>
          <w:tcPr>
            <w:tcW w:type="dxa" w:w="255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MovimientoBodega.insumoId</w:t>
            </w:r>
          </w:p>
        </w:tc>
        <w:tc>
          <w:tcPr>
            <w:tcW w:type="dxa" w:w="140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Trazabilidad</w:t>
            </w:r>
          </w:p>
        </w:tc>
        <w:tc>
          <w:tcPr>
            <w:tcW w:type="dxa" w:w="486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Resuelto: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form + API exigen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insumoId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5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D3</w:t>
            </w:r>
          </w:p>
        </w:tc>
        <w:tc>
          <w:tcPr>
            <w:tcW w:type="dxa" w:w="255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MovimientoBodega.parId</w:t>
            </w:r>
          </w:p>
        </w:tc>
        <w:tc>
          <w:tcPr>
            <w:tcW w:type="dxa" w:w="140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Pareja traslado/salida</w:t>
            </w:r>
          </w:p>
        </w:tc>
        <w:tc>
          <w:tcPr>
            <w:tcW w:type="dxa" w:w="486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Interno; UI no lo muestra (aceptable si el API lo genera).</w:t>
            </w:r>
          </w:p>
        </w:tc>
      </w:tr>
      <w:tr>
        <w:tc>
          <w:tcPr>
            <w:tcW w:type="dxa" w:w="5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D4</w:t>
            </w:r>
          </w:p>
        </w:tc>
        <w:tc>
          <w:tcPr>
            <w:tcW w:type="dxa" w:w="255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DocumentoComercial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COMEX (puerto, cláusula, vía, etc.)</w:t>
            </w:r>
          </w:p>
        </w:tc>
        <w:tc>
          <w:tcPr>
            <w:tcW w:type="dxa" w:w="140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Exportación MJ</w:t>
            </w:r>
          </w:p>
        </w:tc>
        <w:tc>
          <w:tcPr>
            <w:tcW w:type="dxa" w:w="486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Wizard: bloque condicional; no auditado vs canonical DTE.</w:t>
            </w:r>
          </w:p>
        </w:tc>
      </w:tr>
      <w:tr>
        <w:tc>
          <w:tcPr>
            <w:tcW w:type="dxa" w:w="5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D5</w:t>
            </w:r>
          </w:p>
        </w:tc>
        <w:tc>
          <w:tcPr>
            <w:tcW w:type="dxa" w:w="255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Cliente.tipoCliente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NACIONAL/EXPORTACION</w:t>
            </w:r>
          </w:p>
        </w:tc>
        <w:tc>
          <w:tcPr>
            <w:tcW w:type="dxa" w:w="140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Reu4</w:t>
            </w:r>
          </w:p>
        </w:tc>
        <w:tc>
          <w:tcPr>
            <w:tcW w:type="dxa" w:w="486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Verificar si ficha lo persiste siempre.</w:t>
            </w:r>
          </w:p>
        </w:tc>
      </w:tr>
      <w:tr>
        <w:tc>
          <w:tcPr>
            <w:tcW w:type="dxa" w:w="5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D6</w:t>
            </w:r>
          </w:p>
        </w:tc>
        <w:tc>
          <w:tcPr>
            <w:tcW w:type="dxa" w:w="255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AnticipoProductor</w:t>
            </w:r>
          </w:p>
        </w:tc>
        <w:tc>
          <w:tcPr>
            <w:tcW w:type="dxa" w:w="140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Tesorería productor</w:t>
            </w:r>
          </w:p>
        </w:tc>
        <w:tc>
          <w:tcPr>
            <w:tcW w:type="dxa" w:w="486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Fuera de Comercial/Compras/Insumos; sin captura en estos módulos.</w:t>
            </w:r>
          </w:p>
        </w:tc>
      </w:tr>
      <w:tr>
        <w:tc>
          <w:tcPr>
            <w:tcW w:type="dxa" w:w="5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D7</w:t>
            </w:r>
          </w:p>
        </w:tc>
        <w:tc>
          <w:tcPr>
            <w:tcW w:type="dxa" w:w="255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Prospecto</w:t>
            </w:r>
          </w:p>
        </w:tc>
        <w:tc>
          <w:tcPr>
            <w:tcW w:type="dxa" w:w="140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Modelo existe</w:t>
            </w:r>
          </w:p>
        </w:tc>
        <w:tc>
          <w:tcPr>
            <w:tcW w:type="dxa" w:w="486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Menú no debe revivir prospectos fantasma (H4).</w:t>
            </w:r>
          </w:p>
        </w:tc>
      </w:tr>
      <w:tr>
        <w:tc>
          <w:tcPr>
            <w:tcW w:type="dxa" w:w="5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D8</w:t>
            </w:r>
          </w:p>
        </w:tc>
        <w:tc>
          <w:tcPr>
            <w:tcW w:type="dxa" w:w="255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Insumo.stock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costoPromedio</w:t>
            </w:r>
          </w:p>
        </w:tc>
        <w:tc>
          <w:tcPr>
            <w:tcW w:type="dxa" w:w="140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Legado</w:t>
            </w:r>
          </w:p>
        </w:tc>
        <w:tc>
          <w:tcPr>
            <w:tcW w:type="dxa" w:w="486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Form no los edita (bien). Lecturas de listado no deben vender con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Insumo.stock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5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D9</w:t>
            </w:r>
          </w:p>
        </w:tc>
        <w:tc>
          <w:tcPr>
            <w:tcW w:type="dxa" w:w="255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Empresa.logoUrl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selloUrl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/ dirección</w:t>
            </w:r>
          </w:p>
        </w:tc>
        <w:tc>
          <w:tcPr>
            <w:tcW w:type="dxa" w:w="140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Plantillas</w:t>
            </w:r>
          </w:p>
        </w:tc>
        <w:tc>
          <w:tcPr>
            <w:tcW w:type="dxa" w:w="486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Admin empresas: confirmar si el form de D16 incluye domicilio/logo o solo flags.</w:t>
            </w:r>
          </w:p>
        </w:tc>
      </w:tr>
      <w:tr>
        <w:tc>
          <w:tcPr>
            <w:tcW w:type="dxa" w:w="5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D10</w:t>
            </w:r>
          </w:p>
        </w:tc>
        <w:tc>
          <w:tcPr>
            <w:tcW w:type="dxa" w:w="255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7"/>
                <w:szCs w:val="17"/>
              </w:rPr>
              <w:t xml:space="preserve">AprobacionOv</w:t>
            </w:r>
          </w:p>
        </w:tc>
        <w:tc>
          <w:tcPr>
            <w:tcW w:type="dxa" w:w="140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Cadena comercial</w:t>
            </w:r>
          </w:p>
        </w:tc>
        <w:tc>
          <w:tcPr>
            <w:tcW w:type="dxa" w:w="486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UI bandeja existe; flag empresa a menudo desactiva el camino.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6F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1F6F6B"/>
          <w:sz w:val="28"/>
          <w:szCs w:val="28"/>
        </w:rPr>
        <w:t xml:space="preserve">4. Plan de refactorización (pre-GoSocket)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Orden. Los pasos 1, 2 y 4 quedaron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resueltos en código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(local, 2026-08-16).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Identificadores de inventario — RESUELTO</w:t>
      </w:r>
    </w:p>
    <w:p>
      <w:pPr>
        <w:spacing w:after="140" w:before="0" w:line="276"/>
        <w:ind w:left="72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Movimientos y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StockInsumoBodega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cruzan solo con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bodegaId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+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insumoId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+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empresaId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Nombres/códigos no resuelven stock.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requireBodega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requireInsumo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en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stock-bodega.util.ts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Front de movimientos envía FKs.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Líneas OV canónicas — RESUELTO (backend)</w:t>
      </w:r>
    </w:p>
    <w:p>
      <w:pPr>
        <w:spacing w:after="140" w:before="0" w:line="276"/>
        <w:ind w:left="72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Producto: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insumoId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splits[{ bodegaId, cantidad }]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tipoLinea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Flete: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tipoLinea: FLETE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(legado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RECARGO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se normaliza a FLETE) como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línea explícita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en el JSON de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DocumentoComercial.lineas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; no mueve stock. Confirmación OV y NC usan las mismas FKs.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Una verdad de guía — pendiente</w:t>
      </w:r>
    </w:p>
    <w:p>
      <w:pPr>
        <w:spacing w:after="140" w:before="0" w:line="276"/>
        <w:ind w:left="72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Elegir: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GuiaDespacho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es proyección de un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DocumentoComercial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tipo GUIA, o al revés. Evitar dos folios.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Canonical DTE vs flete — RESUELTO</w:t>
      </w:r>
    </w:p>
    <w:p>
      <w:pPr>
        <w:spacing w:after="140" w:before="0" w:line="276"/>
        <w:ind w:left="720"/>
      </w:pPr>
      <w:r>
        <w:rPr>
          <w:rFonts w:ascii="Consolas" w:cs="Consolas" w:eastAsia="Consolas" w:hAnsi="Consolas"/>
          <w:color w:val="1F6F6B"/>
          <w:sz w:val="19"/>
          <w:szCs w:val="19"/>
        </w:rPr>
        <w:t xml:space="preserve">buildCanonicalFromDocumento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emite flete como línea de detalle (descripción prefijada «Flete · …»), no recargo SII.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BillingGatewayClient.emit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solo stub local (sin HTTP GoSocket).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Stub estable — pendiente QA</w:t>
      </w:r>
    </w:p>
    <w:p>
      <w:pPr>
        <w:spacing w:after="140" w:before="0" w:line="276"/>
        <w:ind w:left="72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Timeout/error simulable; el front no debe colgar el wizard si el stub falla (caso QA).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Tenant y concurrencia — pendiente</w:t>
      </w:r>
    </w:p>
    <w:p>
      <w:pPr>
        <w:spacing w:after="140" w:before="0" w:line="276"/>
        <w:ind w:left="72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Confirmar OV: lock por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(empresaId, insumoId, bodegaId)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o equivalente. Dos sesiones no pueden dejar stock negativo.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Recién entonces GoSocket — no iniciado</w:t>
      </w:r>
    </w:p>
    <w:p>
      <w:pPr>
        <w:spacing w:after="140" w:before="0" w:line="276"/>
        <w:ind w:left="72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Credenciales, mapeo folio SII, XML/PDF partner, reenvío libro. No mezclar con carga Acepta ni SMTP.</w:t>
      </w:r>
    </w:p>
    <w:p>
      <w:pPr>
        <w:pStyle w:val="Heading1"/>
        <w:pBdr>
          <w:bottom w:val="single" w:color="1F6F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1F6F6B"/>
          <w:sz w:val="28"/>
          <w:szCs w:val="28"/>
        </w:rPr>
        <w:t xml:space="preserve">5. Fuera de alcance de esta auditoría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Tesorería, contabilidad profunda, contratistas, workflows-admin legacy. No inventar UI de productor-maestro.</w:t>
      </w:r>
    </w:p>
    <w:sectPr>
      <w:headerReference w:type="default" r:id="rId7"/>
      <w:footerReference w:type="default" r:id="rId8"/>
      <w:pgSz w:w="11906" w:h="16838" w:orient="portrait"/>
      <w:pgMar w:top="144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F6B6A"/>
        <w:sz w:val="17"/>
        <w:szCs w:val="17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EDD" w:sz="4" w:space="4"/>
      </w:pBdr>
      <w:tabs>
        <w:tab w:val="right" w:pos="9360"/>
      </w:tabs>
    </w:pPr>
    <w:r>
      <w:rPr>
        <w:rFonts w:ascii="Calibri" w:cs="Calibri" w:eastAsia="Calibri" w:hAnsi="Calibri"/>
        <w:b/>
        <w:bCs/>
        <w:color w:val="5F6B6A"/>
        <w:sz w:val="17"/>
        <w:szCs w:val="17"/>
      </w:rPr>
      <w:t xml:space="preserve">ERP Almahue</w:t>
    </w:r>
    <w:r>
      <w:rPr>
        <w:rFonts w:ascii="Calibri" w:cs="Calibri" w:eastAsia="Calibri" w:hAnsi="Calibri"/>
        <w:color w:val="5F6B6A"/>
        <w:sz w:val="17"/>
        <w:szCs w:val="17"/>
      </w:rPr>
      <w:t xml:space="preserve">	Auditoría de integridad de datos (UI vs Prisma)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1F6F6B"/>
      </w:rPr>
    </w:lvl>
    <w:lvl w:ilvl="1" w15:tentative="1">
      <w:start w:val="1"/>
      <w:numFmt w:val="bullet"/>
      <w:lvlText w:val="◦"/>
      <w:lvlJc w:val="left"/>
      <w:pPr>
        <w:ind w:left="780" w:hanging="240"/>
      </w:pPr>
      <w:rPr>
        <w:color w:val="5F6B6A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240"/>
      </w:pPr>
      <w:rPr>
        <w:color w:val="5F6B6A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400"/>
      </w:pPr>
      <w:rPr>
        <w:b/>
        <w:bCs/>
        <w:color w:val="1F6F6B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Auditoría de integridad de datos (UI vs Prisma)</dc:title>
  <dc:creator>ERP Almahue</dc:creator>
  <cp:lastModifiedBy>Un-named</cp:lastModifiedBy>
  <cp:revision>1</cp:revision>
  <dcterms:created xsi:type="dcterms:W3CDTF">2026-09-17T14:44:03.692Z</dcterms:created>
  <dcterms:modified xsi:type="dcterms:W3CDTF">2026-09-17T14:44:03.693Z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