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F6B6A"/>
          <w:sz w:val="18"/>
          <w:szCs w:val="18"/>
        </w:rPr>
        <w:t xml:space="preserve">ERP ALMAHUE · DOCUMENTO TÉCNICO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6F6B"/>
          <w:sz w:val="40"/>
          <w:szCs w:val="40"/>
        </w:rPr>
        <w:t xml:space="preserve">Transcripción limpia v2</w:t>
      </w:r>
    </w:p>
    <w:p>
      <w:pPr>
        <w:pBdr>
          <w:bottom w:val="single" w:color="1F6F6B" w:sz="12" w:space="8"/>
        </w:pBdr>
        <w:spacing w:after="300"/>
      </w:pP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Fecha: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2026-08-16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Método: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depuración en español de Chile (filtro de muletillas) + contraste con minutas. Pipeline local: </w:t>
      </w:r>
      <w:r>
        <w:rPr>
          <w:rFonts w:ascii="Calibri" w:cs="Calibri" w:eastAsia="Calibri" w:hAnsi="Calibri"/>
          <w:color w:val="1F6F6B"/>
          <w:sz w:val="20"/>
          <w:szCs w:val="20"/>
          <w:u w:val="single"/>
        </w:rPr>
        <w:t xml:space="preserve">`tools/transcript-ollama/`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(Ollama, sin APIs de pago).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Fuentes crudas: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F6F6B"/>
          <w:sz w:val="18"/>
          <w:szCs w:val="18"/>
        </w:rPr>
        <w:t xml:space="preserve">docs/erp-planificacion/agrosoft-levantamiento/fuentes/transcripcion*.md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(Reu1–Reu6).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Prioridad de verdad: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Reu6 &gt; Reu5 &gt; Reu4; </w:t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Agustín / María Jesús (MJ)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sobre opiniones de Carlos/Sergio en demo.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Exclusión: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el concepto de mermas no aplica al negocio; no se documenta ni se propone.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Leyenda de origen: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Cliente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= Agustín/MJ/equipo Almahue ·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Hipótesis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= Carlos/Sergio en demo ·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Minuta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= decisión ya formalizada.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1. Identidad del producto y alcance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ERP agrícola (Agrosoft 3.0) para operación multi-empresa (Almahue SpA, logística, frutícola, etc.). No reemplazar Book (mano de obra). Maquinaria y niveles de almacenamiento: fuera de v1. AlmaWeb / Power BI son sistemas vecinos, no el ERP.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"/>
        <w:gridCol w:w="2817"/>
        <w:gridCol w:w="3380"/>
        <w:gridCol w:w="1127"/>
        <w:gridCol w:w="1210"/>
      </w:tblGrid>
      <w:tr>
        <w:trPr>
          <w:tblHeader/>
        </w:trPr>
        <w:tc>
          <w:tcPr>
            <w:tcW w:type="dxa" w:w="8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1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338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de negocio</w:t>
            </w:r>
          </w:p>
        </w:tc>
        <w:tc>
          <w:tcPr>
            <w:tcW w:type="dxa" w:w="11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8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DEC-01</w:t>
            </w:r>
          </w:p>
        </w:tc>
        <w:tc>
          <w:tcPr>
            <w:tcW w:type="dxa" w:w="281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Sin módulo Mano de Obra</w:t>
            </w:r>
          </w:p>
        </w:tc>
        <w:tc>
          <w:tcPr>
            <w:tcW w:type="dxa" w:w="338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Labores en Contratistas</w:t>
            </w:r>
          </w:p>
        </w:tc>
        <w:tc>
          <w:tcPr>
            <w:tcW w:type="dxa" w:w="11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Minuta Reu1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8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DEC-02</w:t>
            </w:r>
          </w:p>
        </w:tc>
        <w:tc>
          <w:tcPr>
            <w:tcW w:type="dxa" w:w="281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Sin solicitud de compra</w:t>
            </w:r>
          </w:p>
        </w:tc>
        <w:tc>
          <w:tcPr>
            <w:tcW w:type="dxa" w:w="338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Ir directo a OC</w:t>
            </w:r>
          </w:p>
        </w:tc>
        <w:tc>
          <w:tcPr>
            <w:tcW w:type="dxa" w:w="11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Minuta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8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DEC-03</w:t>
            </w:r>
          </w:p>
        </w:tc>
        <w:tc>
          <w:tcPr>
            <w:tcW w:type="dxa" w:w="281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Aislamiento por empresa activa</w:t>
            </w:r>
          </w:p>
        </w:tc>
        <w:tc>
          <w:tcPr>
            <w:tcW w:type="dxa" w:w="338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Header aísla CC, bodegas, documentos</w:t>
            </w:r>
          </w:p>
        </w:tc>
        <w:tc>
          <w:tcPr>
            <w:tcW w:type="dxa" w:w="11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Cliente Reu6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8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DEC-10</w:t>
            </w:r>
          </w:p>
        </w:tc>
        <w:tc>
          <w:tcPr>
            <w:tcW w:type="dxa" w:w="281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Maquinaria</w:t>
            </w:r>
          </w:p>
        </w:tc>
        <w:tc>
          <w:tcPr>
            <w:tcW w:type="dxa" w:w="338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usado en rubros</w:t>
            </w:r>
          </w:p>
        </w:tc>
        <w:tc>
          <w:tcPr>
            <w:tcW w:type="dxa" w:w="11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Minuta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Fuera v1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2. Administración, usuarios y permisos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Usuarios se administran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 el ERP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(no solo en ambiente de desarrollo). Un usuario puede tener varias empresas; la empresa del header es la que filtra datos. Super admin ve todas las empresas. Permisos por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rol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(lectura/escritura por módulo/pantalla); si hay diferencia por empresa, se crea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otro rol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SSO Microsoft: pedido de cliente (correos corporativos / baja de cuenta Entra). En código hay botón; credenciales IT pendientes. Hipótesis Devint: “como Google/Facebook”.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PIN de aprobación: no vive en el checkbox del rol (implementación antigua vista en demo). Queda ligado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designación en reglas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+ PIN de 4 dígitos del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"/>
        <w:gridCol w:w="4495"/>
        <w:gridCol w:w="1587"/>
        <w:gridCol w:w="2644"/>
      </w:tblGrid>
      <w:tr>
        <w:trPr>
          <w:tblHeader/>
        </w:trP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9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158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64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D1 Reu6</w:t>
            </w:r>
          </w:p>
        </w:tc>
        <w:tc>
          <w:tcPr>
            <w:tcW w:type="dxa" w:w="449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 usuarios en ERP; multi-empresa</w:t>
            </w:r>
          </w:p>
        </w:tc>
        <w:tc>
          <w:tcPr>
            <w:tcW w:type="dxa" w:w="158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Cliente + minuta</w:t>
            </w:r>
          </w:p>
        </w:tc>
        <w:tc>
          <w:tcPr>
            <w:tcW w:type="dxa" w:w="264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D2</w:t>
            </w:r>
          </w:p>
        </w:tc>
        <w:tc>
          <w:tcPr>
            <w:tcW w:type="dxa" w:w="449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Super admin aprueba cualquier pendiente (con aviso)</w:t>
            </w:r>
          </w:p>
        </w:tc>
        <w:tc>
          <w:tcPr>
            <w:tcW w:type="dxa" w:w="158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dxa" w:w="264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D3</w:t>
            </w:r>
          </w:p>
        </w:tc>
        <w:tc>
          <w:tcPr>
            <w:tcW w:type="dxa" w:w="449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Permisos por rol, no por empresa</w:t>
            </w:r>
          </w:p>
        </w:tc>
        <w:tc>
          <w:tcPr>
            <w:tcW w:type="dxa" w:w="158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dxa" w:w="264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D5</w:t>
            </w:r>
          </w:p>
        </w:tc>
        <w:tc>
          <w:tcPr>
            <w:tcW w:type="dxa" w:w="449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Quitar PIN del mantenedor de roles</w:t>
            </w:r>
          </w:p>
        </w:tc>
        <w:tc>
          <w:tcPr>
            <w:tcW w:type="dxa" w:w="158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Minuta (post demo)</w:t>
            </w:r>
          </w:p>
        </w:tc>
        <w:tc>
          <w:tcPr>
            <w:tcW w:type="dxa" w:w="264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D19</w:t>
            </w:r>
          </w:p>
        </w:tc>
        <w:tc>
          <w:tcPr>
            <w:tcW w:type="dxa" w:w="449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SSO Microsoft</w:t>
            </w:r>
          </w:p>
        </w:tc>
        <w:tc>
          <w:tcPr>
            <w:tcW w:type="dxa" w:w="158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dxa" w:w="264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Parcial (sin Tenant/Client ID)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3. Aprobaciones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Reu4 hablaba de “una firma / pool de jefes”. Reu6 evoluciona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cadena secuencial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por montos + línea de mando + suplencia de vacaciones. El solicitante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elige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un aprobador ajeno al área.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Módulos con cadena: Compras (OC), Contratistas (proformas). Comercial (OV) está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reservado / parametrizable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comercialRequiereAprobacion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); no es el mismo flujo que factura.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9"/>
        <w:gridCol w:w="4834"/>
        <w:gridCol w:w="922"/>
        <w:gridCol w:w="2785"/>
      </w:tblGrid>
      <w:tr>
        <w:trPr>
          <w:tblHeader/>
        </w:trPr>
        <w:tc>
          <w:tcPr>
            <w:tcW w:type="dxa" w:w="81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78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81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D4 Reu6</w:t>
            </w:r>
          </w:p>
        </w:tc>
        <w:tc>
          <w:tcPr>
            <w:tcW w:type="dxa" w:w="48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Cadena automática por módulo/monto</w:t>
            </w:r>
          </w:p>
        </w:tc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Minuta</w:t>
            </w:r>
          </w:p>
        </w:tc>
        <w:tc>
          <w:tcPr>
            <w:tcW w:type="dxa" w:w="278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 (código grupos/escalas)</w:t>
            </w:r>
          </w:p>
        </w:tc>
      </w:tr>
      <w:tr>
        <w:tc>
          <w:tcPr>
            <w:tcW w:type="dxa" w:w="81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D6</w:t>
            </w:r>
          </w:p>
        </w:tc>
        <w:tc>
          <w:tcPr>
            <w:tcW w:type="dxa" w:w="48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Organigrama + tope + suplencia</w:t>
            </w:r>
          </w:p>
        </w:tc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dxa" w:w="278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81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Reu4 D2–D3</w:t>
            </w:r>
          </w:p>
        </w:tc>
        <w:tc>
          <w:tcPr>
            <w:tcW w:type="dxa" w:w="48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Proforma aprobada sin edición; clave de reversa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por usuario</w:t>
            </w:r>
          </w:p>
        </w:tc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MJ</w:t>
            </w:r>
          </w:p>
        </w:tc>
        <w:tc>
          <w:tcPr>
            <w:tcW w:type="dxa" w:w="278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4. Compras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Cotización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proveedor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(no de cliente). Convierte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orden de compra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OC: afecto/exento, CC por ítem, cuenta/elemento, proveedor del maestro. Libro de compras: asociar factura solo a OC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aprobadas y recepcionadas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Matching 3 vías (OC–recepción–factura) es regla operativa.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Productores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fuera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del menú Compras como listado mezclado; flag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esProductor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 ficha.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Tres cotizaciones comparativas: ideal futuro,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proceso actual (H10 diferido).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8"/>
        <w:gridCol w:w="5262"/>
        <w:gridCol w:w="1960"/>
        <w:gridCol w:w="1210"/>
      </w:tblGrid>
      <w:tr>
        <w:trPr>
          <w:tblHeader/>
        </w:trPr>
        <w:tc>
          <w:tcPr>
            <w:tcW w:type="dxa" w:w="92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2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19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2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D11 flujo</w:t>
            </w:r>
          </w:p>
        </w:tc>
        <w:tc>
          <w:tcPr>
            <w:tcW w:type="dxa" w:w="52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Cotización Compras → OC</w:t>
            </w:r>
          </w:p>
        </w:tc>
        <w:tc>
          <w:tcPr>
            <w:tcW w:type="dxa" w:w="19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MJ/Agustín + código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92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Reu4 D4</w:t>
            </w:r>
          </w:p>
        </w:tc>
        <w:tc>
          <w:tcPr>
            <w:tcW w:type="dxa" w:w="52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OC ligada a factura solo si aprobada + recepcionada</w:t>
            </w:r>
          </w:p>
        </w:tc>
        <w:tc>
          <w:tcPr>
            <w:tcW w:type="dxa" w:w="19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MJ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92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H10</w:t>
            </w:r>
          </w:p>
        </w:tc>
        <w:tc>
          <w:tcPr>
            <w:tcW w:type="dxa" w:w="52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Cotizaciones comparativas</w:t>
            </w:r>
          </w:p>
        </w:tc>
        <w:tc>
          <w:tcPr>
            <w:tcW w:type="dxa" w:w="19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Hipótesis / futuro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Diferido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5. Ventas / comercial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MJ: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ventas no cotizan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Agustín: hace falta un documento previo a la factura (orden / proforma comercial). Decisión de producto: menú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Orden de venta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(no cotización de cliente en Ventas).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OV: línea producto (catálogo + bodega + stock) o servicio (sin stock). El movimiento de inventario ocurre al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confirmar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la OV, no al facturar. La factura copia cantidad y descripción;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precio editable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Stock vendible = saldo positivo real (no tránsito). Multi-bodega: no vender sobre stock. Flete =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línea adicional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 recargo SII en el detalle.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restaurar cotización → nota de pedido → factura (eso apareció en UI Reu5 y quedó obsoleto).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Emitir documento: FACTURA / NC / ND / GUÍA. Libro de ventas = consulta de emitidos/contabilizados (sin botón emitir).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"/>
        <w:gridCol w:w="3937"/>
        <w:gridCol w:w="922"/>
        <w:gridCol w:w="3579"/>
      </w:tblGrid>
      <w:tr>
        <w:trPr>
          <w:tblHeader/>
        </w:trPr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93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357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D11–D15 Reu6</w:t>
            </w:r>
          </w:p>
        </w:tc>
        <w:tc>
          <w:tcPr>
            <w:tcW w:type="dxa" w:w="393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OV, stock, multi-bodega</w:t>
            </w:r>
          </w:p>
        </w:tc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MJ + Agustín</w:t>
            </w:r>
          </w:p>
        </w:tc>
        <w:tc>
          <w:tcPr>
            <w:tcW w:type="dxa" w:w="357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D16</w:t>
            </w:r>
          </w:p>
        </w:tc>
        <w:tc>
          <w:tcPr>
            <w:tcW w:type="dxa" w:w="393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vender bajo costo (parametrizable, default bloquear)</w:t>
            </w:r>
          </w:p>
        </w:tc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Minuta</w:t>
            </w:r>
          </w:p>
        </w:tc>
        <w:tc>
          <w:tcPr>
            <w:tcW w:type="dxa" w:w="357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 (sin excepciones de negocio inventadas)</w:t>
            </w:r>
          </w:p>
        </w:tc>
      </w:tr>
      <w:tr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D17</w:t>
            </w:r>
          </w:p>
        </w:tc>
        <w:tc>
          <w:tcPr>
            <w:tcW w:type="dxa" w:w="393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Flete como línea</w:t>
            </w:r>
          </w:p>
        </w:tc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Minuta</w:t>
            </w:r>
          </w:p>
        </w:tc>
        <w:tc>
          <w:tcPr>
            <w:tcW w:type="dxa" w:w="357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Reu4 D5–D8</w:t>
            </w:r>
          </w:p>
        </w:tc>
        <w:tc>
          <w:tcPr>
            <w:tcW w:type="dxa" w:w="393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Guías ≠ libro ventas; emisión en pantalla dedicada</w:t>
            </w:r>
          </w:p>
        </w:tc>
        <w:tc>
          <w:tcPr>
            <w:tcW w:type="dxa" w:w="9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MJ</w:t>
            </w:r>
          </w:p>
        </w:tc>
        <w:tc>
          <w:tcPr>
            <w:tcW w:type="dxa" w:w="357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Confirmado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6. Contrapartes (ficha única)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Bases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separadas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cliente vs proveedor. Consulta RUT unificada (sociedad, cliente, proveedor; productor como flag,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maestro propio). Ficha: bancos (N cuentas/monedas), contactos, direcciones de despacho.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7. Insumos / bodega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Maestro de artículos (familia, UM, inventariable, cuenta de centralización). Bodegas por empresa. Movimientos: entrada proveedor, traslado, salida, devolución/NC. Carga masiva tipo AlmaWeb = depende de Excel MJ (proyecto vecino). NC inventariable reingresa bodega.</w:t>
      </w:r>
    </w:p>
    <w:p>
      <w:pPr>
        <w:spacing w:after="140" w:before="0" w:line="276"/>
      </w:pPr>
      <w:r>
        <w:rPr>
          <w:rFonts w:ascii="Consolas" w:cs="Consolas" w:eastAsia="Consolas" w:hAnsi="Consolas"/>
          <w:color w:val="1F6F6B"/>
          <w:sz w:val="19"/>
          <w:szCs w:val="19"/>
        </w:rPr>
        <w:t xml:space="preserve">Insumo.stock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global es legado de lectura; el saldo de venta 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 bodega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8. Contabilidad y tesorería (alcance, no demo completa Reu6)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Plan de cuentas con flags CC / elemento / área;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inactivar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 vez de borrar si hay movimiento. Periodos en Contabilidad. Cartola Excel → conciliar (plantilla fina MJ pendiente). Estado de cuenta por RUT (compras+ventas). Contabilidad electrónica SII = segunda etapa.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9. Facturación electrónica (DTE)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GoSocket es proveedor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independiente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del ERP. Credenciales y docs oficiales pendientes. El ERP opera con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stub local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(PDF/print, sin SII real). Carga masiva histórica: MJ ↔ Acepta (externo).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Hipótesis Devint en Reu6: “ya tenemos documentación para iniciar”. No tratarlo como go-live.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10. Diferidos explícitos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2"/>
        <w:gridCol w:w="2000"/>
        <w:gridCol w:w="2938"/>
      </w:tblGrid>
      <w:tr>
        <w:trPr>
          <w:tblHeader/>
        </w:trPr>
        <w:tc>
          <w:tcPr>
            <w:tcW w:type="dxa" w:w="44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20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2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44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Traspaso gastos próxima temporada</w:t>
            </w:r>
          </w:p>
        </w:tc>
        <w:tc>
          <w:tcPr>
            <w:tcW w:type="dxa" w:w="20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Producto + MJ</w:t>
            </w:r>
          </w:p>
        </w:tc>
        <w:tc>
          <w:tcPr>
            <w:tcW w:type="dxa" w:w="2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bloquea piloto</w:t>
            </w:r>
          </w:p>
        </w:tc>
      </w:tr>
      <w:tr>
        <w:tc>
          <w:tcPr>
            <w:tcW w:type="dxa" w:w="44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SMTP / correo al cambiar PIN</w:t>
            </w:r>
          </w:p>
        </w:tc>
        <w:tc>
          <w:tcPr>
            <w:tcW w:type="dxa" w:w="20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Infra Almahue</w:t>
            </w:r>
          </w:p>
        </w:tc>
        <w:tc>
          <w:tcPr>
            <w:tcW w:type="dxa" w:w="2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H9</w:t>
            </w:r>
          </w:p>
        </w:tc>
      </w:tr>
      <w:tr>
        <w:tc>
          <w:tcPr>
            <w:tcW w:type="dxa" w:w="44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Excel cartolas finas</w:t>
            </w:r>
          </w:p>
        </w:tc>
        <w:tc>
          <w:tcPr>
            <w:tcW w:type="dxa" w:w="20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MJ</w:t>
            </w:r>
          </w:p>
        </w:tc>
        <w:tc>
          <w:tcPr>
            <w:tcW w:type="dxa" w:w="2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H13</w:t>
            </w:r>
          </w:p>
        </w:tc>
      </w:tr>
      <w:tr>
        <w:tc>
          <w:tcPr>
            <w:tcW w:type="dxa" w:w="44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Cobranza módulo</w:t>
            </w:r>
          </w:p>
        </w:tc>
        <w:tc>
          <w:tcPr>
            <w:tcW w:type="dxa" w:w="20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Propuesta</w:t>
            </w:r>
          </w:p>
        </w:tc>
        <w:tc>
          <w:tcPr>
            <w:tcW w:type="dxa" w:w="2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Fuera piloto</w:t>
            </w:r>
          </w:p>
        </w:tc>
      </w:tr>
      <w:tr>
        <w:tc>
          <w:tcPr>
            <w:tcW w:type="dxa" w:w="44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Exportación / COMEX profundo</w:t>
            </w:r>
          </w:p>
        </w:tc>
        <w:tc>
          <w:tcPr>
            <w:tcW w:type="dxa" w:w="20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Manual MJ</w:t>
            </w:r>
          </w:p>
        </w:tc>
        <w:tc>
          <w:tcPr>
            <w:tcW w:type="dxa" w:w="2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Campos en documento; UI parcial</w:t>
            </w:r>
          </w:p>
        </w:tc>
      </w:tr>
      <w:tr>
        <w:tc>
          <w:tcPr>
            <w:tcW w:type="dxa" w:w="442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Deploy prod migrate OV/stock</w:t>
            </w:r>
          </w:p>
        </w:tc>
        <w:tc>
          <w:tcPr>
            <w:tcW w:type="dxa" w:w="20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Operación</w:t>
            </w:r>
          </w:p>
        </w:tc>
        <w:tc>
          <w:tcPr>
            <w:tcW w:type="dxa" w:w="2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H14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11. Cómo leer a Carlos y Sergio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las transcripciones aparecen frases del tipo “ya está”, “lo podemos incorporar”, “esto no hay que considerarlo”. Se registran como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hipótesis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hasta que consten en minuta de MJ/Agustín o en código + prueba. Ejemplos: SSO “listo como Google”; cotización de ventas; PIN en el rol; emisión SII inminente.</w:t>
      </w:r>
    </w:p>
    <w:sectPr>
      <w:headerReference w:type="default" r:id="rId7"/>
      <w:footerReference w:type="default" r:id="rId8"/>
      <w:pgSz w:w="11906" w:h="16838" w:orient="portrait"/>
      <w:pgMar w:top="144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6A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D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5F6B6A"/>
        <w:sz w:val="17"/>
        <w:szCs w:val="17"/>
      </w:rPr>
      <w:t xml:space="preserve">ERP Almahue</w:t>
    </w:r>
    <w:r>
      <w:rPr>
        <w:rFonts w:ascii="Calibri" w:cs="Calibri" w:eastAsia="Calibri" w:hAnsi="Calibri"/>
        <w:color w:val="5F6B6A"/>
        <w:sz w:val="17"/>
        <w:szCs w:val="17"/>
      </w:rPr>
      <w:t xml:space="preserve">	Transcripción limpia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F6F6B"/>
      </w:rPr>
    </w:lvl>
    <w:lvl w:ilvl="1" w15:tentative="1">
      <w:start w:val="1"/>
      <w:numFmt w:val="bullet"/>
      <w:lvlText w:val="◦"/>
      <w:lvlJc w:val="left"/>
      <w:pPr>
        <w:ind w:left="780" w:hanging="240"/>
      </w:pPr>
      <w:rPr>
        <w:color w:val="5F6B6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240"/>
      </w:pPr>
      <w:rPr>
        <w:color w:val="5F6B6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F6F6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Transcripción limpia v2</dc:title>
  <dc:creator>ERP Almahue</dc:creator>
  <cp:lastModifiedBy>Un-named</cp:lastModifiedBy>
  <cp:revision>1</cp:revision>
  <dcterms:created xsi:type="dcterms:W3CDTF">2026-09-17T14:44:04.341Z</dcterms:created>
  <dcterms:modified xsi:type="dcterms:W3CDTF">2026-09-17T14:44:04.341Z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