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S8 - 31 de agosto al 6 de septiembre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07. La carta esta en mockups (comercial, catalogos, contabilidad). No hay carpeta Cliente. El codigo conecta la emision al facturador.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Emision DTE con consulta de estado y dos sociedades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01/09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Estado del facturador en el libro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01/09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Gateway: estado GoSocket y un solo contenedor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 01/09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de cartola en Trello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01/09, video, sin md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ERP Carlos y Sergio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03/09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 con evidencia de trabajo. Ninguno es el mockup que la carta ponia esta semana. No hubo review de cliente.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31/08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Dejamos el puente del facturador para el martes.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01/09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 emision consulta estado en GoSocket. El libro muestra ese estado. El gateway queda en un contenedor. Interna de cartola en Trello.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02/09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Revisamos las dos sociedades que quedaron en la migracion de ayer.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03/09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de ERP. No hubo cliente. A la noche hay una grabacion de clase: no es del proyecto.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04/09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No abrimos alcance nuevo.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Semana sin cliente en Sesiones. Lo que se cerro es tecnico.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03/09 en la noche hay una grabacion de clase. No es ERP y no entra aqui.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Sin cliente. El martes revisamos entre nosotros el estado del facturador en el libro. La interna del jueves no la contamos como aceptacion.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Consultar estado en el gateway, y no adivinarlo en el ERP, ordeno el libro.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Una semana sin cliente dejo el DTE sin feedback de MJ o Lupe.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MOCK-COM-DASH: en las transcripciones no hay KPIs comerciales cerrados. El dashboard del 14/09 es saldo por banco en cartola, no este boceto.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esta en mockups. El commit del 01/09 conecta la emision real al facturador, con dos sociedades.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Eso vive en `billing-gateway`, el tercer proyecto que la carta no nombra. La barra de integracion GoSocket de la carta sigue puesta en diciembre.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