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B0D23">
      <w:pPr>
        <w:pStyle w:val="11"/>
        <w:widowControl/>
        <w:shd w:val="clear" w:color="auto" w:fill="FFFFFF"/>
        <w:spacing w:after="0" w:line="720" w:lineRule="auto"/>
        <w:ind w:left="0"/>
        <w:jc w:val="center"/>
        <w:rPr>
          <w:rFonts w:ascii="Times New Roman" w:hAnsi="Times New Roman" w:eastAsia="黑体" w:cs="Segoe UI"/>
          <w:color w:val="0F1115"/>
          <w:kern w:val="0"/>
          <w:sz w:val="52"/>
          <w:szCs w:val="52"/>
          <w14:ligatures w14:val="none"/>
        </w:rPr>
      </w:pPr>
    </w:p>
    <w:p w14:paraId="66C0E138">
      <w:pPr>
        <w:spacing w:after="0" w:line="240" w:lineRule="auto"/>
        <w:jc w:val="both"/>
        <w:rPr>
          <w:rFonts w:ascii="Times New Roman" w:hAnsi="Times New Roman" w:eastAsia="宋体" w:cs="Times New Roman"/>
          <w:sz w:val="21"/>
          <w14:ligatures w14:val="none"/>
        </w:rPr>
      </w:pPr>
    </w:p>
    <w:p w14:paraId="108D01EE">
      <w:pPr>
        <w:spacing w:after="0" w:line="240" w:lineRule="auto"/>
        <w:jc w:val="center"/>
        <w:rPr>
          <w:rFonts w:ascii="Times New Roman" w:hAnsi="Times New Roman" w:eastAsia="隶书" w:cs="Times New Roman"/>
          <w:b/>
          <w:bCs/>
          <w:sz w:val="84"/>
          <w14:ligatures w14:val="none"/>
        </w:rPr>
      </w:pPr>
      <w:r>
        <w:rPr>
          <w:rFonts w:ascii="Times New Roman" w:hAnsi="Times New Roman" w:eastAsia="宋体" w:cs="Times New Roman"/>
          <w:sz w:val="21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1290955</wp:posOffset>
            </wp:positionH>
            <wp:positionV relativeFrom="paragraph">
              <wp:posOffset>99060</wp:posOffset>
            </wp:positionV>
            <wp:extent cx="2971800" cy="638175"/>
            <wp:effectExtent l="0" t="0" r="0" b="9525"/>
            <wp:wrapNone/>
            <wp:docPr id="5" name="图片 5" descr="说明: 895909@lj20068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说明: 895909@lj2006828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8FC01C">
      <w:pPr>
        <w:spacing w:after="0" w:line="240" w:lineRule="auto"/>
        <w:jc w:val="center"/>
        <w:rPr>
          <w:rFonts w:ascii="Times New Roman" w:hAnsi="Times New Roman" w:eastAsia="隶书" w:cs="Times New Roman"/>
          <w:b/>
          <w:bCs/>
          <w:sz w:val="18"/>
          <w:szCs w:val="2"/>
          <w14:ligatures w14:val="none"/>
        </w:rPr>
      </w:pPr>
    </w:p>
    <w:p w14:paraId="01C9B1F1">
      <w:pPr>
        <w:spacing w:after="0" w:line="240" w:lineRule="auto"/>
        <w:jc w:val="center"/>
        <w:rPr>
          <w:rFonts w:ascii="Times New Roman" w:hAnsi="Times New Roman" w:eastAsia="宋体" w:cs="Times New Roman"/>
          <w:sz w:val="21"/>
          <w14:ligatures w14:val="none"/>
        </w:rPr>
      </w:pPr>
      <w:r>
        <w:rPr>
          <w:rFonts w:hint="eastAsia" w:ascii="Times New Roman" w:hAnsi="Times New Roman" w:eastAsia="隶书" w:cs="Times New Roman"/>
          <w:b/>
          <w:bCs/>
          <w:sz w:val="84"/>
          <w14:ligatures w14:val="none"/>
        </w:rPr>
        <w:t>商业计划书</w:t>
      </w:r>
    </w:p>
    <w:p w14:paraId="31BC0DC5">
      <w:pPr>
        <w:spacing w:after="0" w:line="240" w:lineRule="auto"/>
        <w:jc w:val="center"/>
        <w:rPr>
          <w:rFonts w:ascii="Times New Roman" w:hAnsi="Times New Roman" w:eastAsia="宋体" w:cs="Times New Roman"/>
          <w:sz w:val="21"/>
          <w14:ligatures w14:val="none"/>
        </w:rPr>
      </w:pPr>
    </w:p>
    <w:p w14:paraId="16690049">
      <w:pPr>
        <w:spacing w:after="0" w:line="240" w:lineRule="auto"/>
        <w:jc w:val="center"/>
        <w:rPr>
          <w:rFonts w:ascii="Times New Roman" w:hAnsi="Times New Roman" w:eastAsia="黑体" w:cs="Times New Roman"/>
          <w:sz w:val="72"/>
          <w14:ligatures w14:val="none"/>
        </w:rPr>
      </w:pPr>
      <w:r>
        <w:rPr>
          <w:rFonts w:ascii="Times New Roman" w:hAnsi="Times New Roman" w:eastAsia="宋体" w:cs="Times New Roman"/>
          <w:sz w:val="21"/>
          <w14:ligatures w14:val="none"/>
        </w:rPr>
        <w:object>
          <v:shape id="_x0000_i1025" o:spt="75" type="#_x0000_t75" style="height:154pt;width:16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8">
            <o:LockedField>false</o:LockedField>
          </o:OLEObject>
        </w:object>
      </w:r>
    </w:p>
    <w:p w14:paraId="553CA019">
      <w:pPr>
        <w:spacing w:after="0" w:line="240" w:lineRule="auto"/>
        <w:jc w:val="both"/>
        <w:rPr>
          <w:rFonts w:ascii="Times New Roman" w:hAnsi="Times New Roman" w:eastAsia="方正楷体简体" w:cs="Times New Roman"/>
          <w:sz w:val="44"/>
          <w14:ligatures w14:val="none"/>
        </w:rPr>
      </w:pPr>
    </w:p>
    <w:p w14:paraId="11D6C609">
      <w:pPr>
        <w:spacing w:after="0" w:line="240" w:lineRule="auto"/>
        <w:jc w:val="center"/>
        <w:rPr>
          <w:rFonts w:hint="eastAsia" w:ascii="宋体" w:hAnsi="宋体" w:eastAsia="宋体" w:cs="宋体"/>
          <w:b/>
          <w:sz w:val="32"/>
          <w:szCs w:val="32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  <w14:ligatures w14:val="none"/>
        </w:rPr>
        <w:t>航空语音通信质量检测与报警系统</w:t>
      </w:r>
    </w:p>
    <w:p w14:paraId="777810C5">
      <w:pPr>
        <w:spacing w:after="0" w:line="240" w:lineRule="auto"/>
        <w:jc w:val="both"/>
        <w:rPr>
          <w:rFonts w:ascii="Times New Roman" w:hAnsi="Times New Roman" w:eastAsia="宋体" w:cs="Times New Roman"/>
          <w:b/>
          <w:sz w:val="44"/>
          <w:szCs w:val="44"/>
          <w14:ligatures w14:val="none"/>
        </w:rPr>
      </w:pPr>
    </w:p>
    <w:tbl>
      <w:tblPr>
        <w:tblStyle w:val="9"/>
        <w:tblW w:w="8396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6542"/>
      </w:tblGrid>
      <w:tr w14:paraId="3E353B5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54" w:type="dxa"/>
            <w:tcBorders>
              <w:bottom w:val="nil"/>
            </w:tcBorders>
            <w:vAlign w:val="bottom"/>
          </w:tcPr>
          <w:p w14:paraId="20F2CD06">
            <w:pPr>
              <w:keepNext w:val="0"/>
              <w:keepLines w:val="0"/>
              <w:pageBreakBefore w:val="0"/>
              <w:widowControl w:val="0"/>
              <w:tabs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  <w14:ligatures w14:val="none"/>
              </w:rPr>
              <w:t>团队编号：</w:t>
            </w:r>
          </w:p>
        </w:tc>
        <w:tc>
          <w:tcPr>
            <w:tcW w:w="6542" w:type="dxa"/>
            <w:vAlign w:val="bottom"/>
          </w:tcPr>
          <w:p w14:paraId="6BFFA57B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  <w14:ligatures w14:val="none"/>
              </w:rPr>
              <w:t>2025-13-23</w:t>
            </w:r>
          </w:p>
        </w:tc>
      </w:tr>
      <w:tr w14:paraId="4EF5E00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54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21D6AAF7">
            <w:pPr>
              <w:keepNext w:val="0"/>
              <w:keepLines w:val="0"/>
              <w:pageBreakBefore w:val="0"/>
              <w:widowControl w:val="0"/>
              <w:tabs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pacing w:val="1"/>
                <w:w w:val="93"/>
                <w:kern w:val="0"/>
                <w:sz w:val="32"/>
                <w:szCs w:val="32"/>
                <w:fitText w:val="1200" w:id="47725912"/>
                <w14:ligatures w14:val="none"/>
              </w:rPr>
              <w:t>学生姓</w:t>
            </w:r>
            <w:r>
              <w:rPr>
                <w:rFonts w:hint="eastAsia" w:ascii="宋体" w:hAnsi="宋体" w:eastAsia="宋体" w:cs="宋体"/>
                <w:b/>
                <w:spacing w:val="2"/>
                <w:w w:val="93"/>
                <w:kern w:val="0"/>
                <w:sz w:val="32"/>
                <w:szCs w:val="32"/>
                <w:fitText w:val="1200" w:id="47725912"/>
                <w14:ligatures w14:val="none"/>
              </w:rPr>
              <w:t>名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6542" w:type="dxa"/>
            <w:shd w:val="clear" w:color="auto" w:fill="auto"/>
            <w:vAlign w:val="bottom"/>
          </w:tcPr>
          <w:p w14:paraId="2505DAA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  <w:t>胡伟畅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eastAsia="zh-CN"/>
                <w14:ligatures w14:val="none"/>
              </w:rPr>
              <w:t>、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  <w:t>郝成城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eastAsia="zh-CN"/>
                <w14:ligatures w14:val="none"/>
              </w:rPr>
              <w:t>、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  <w:t>丰国庆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eastAsia="zh-CN"/>
                <w14:ligatures w14:val="none"/>
              </w:rPr>
              <w:t>、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  <w:t>刘相炜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eastAsia="zh-CN"/>
                <w14:ligatures w14:val="none"/>
              </w:rPr>
              <w:t>、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  <w14:ligatures w14:val="none"/>
              </w:rPr>
              <w:t xml:space="preserve">李竺韵 </w:t>
            </w:r>
          </w:p>
        </w:tc>
      </w:tr>
      <w:tr w14:paraId="4BCC790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54" w:type="dxa"/>
            <w:tcBorders>
              <w:top w:val="nil"/>
              <w:bottom w:val="nil"/>
            </w:tcBorders>
            <w:vAlign w:val="bottom"/>
          </w:tcPr>
          <w:p w14:paraId="542EE6D8">
            <w:pPr>
              <w:keepNext w:val="0"/>
              <w:keepLines w:val="0"/>
              <w:pageBreakBefore w:val="0"/>
              <w:widowControl w:val="0"/>
              <w:tabs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pacing w:val="200"/>
                <w:kern w:val="0"/>
                <w:sz w:val="32"/>
                <w:szCs w:val="32"/>
                <w:fitText w:val="1200" w:id="792595781"/>
                <w14:ligatures w14:val="none"/>
              </w:rPr>
              <w:t xml:space="preserve">专 </w:t>
            </w: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32"/>
                <w:szCs w:val="32"/>
                <w:fitText w:val="1200" w:id="792595781"/>
                <w14:ligatures w14:val="none"/>
              </w:rPr>
              <w:t>业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6542" w:type="dxa"/>
            <w:vAlign w:val="bottom"/>
          </w:tcPr>
          <w:p w14:paraId="0CF8328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  <w:t>电子信息工程（CDIO试点班）、工商管理</w:t>
            </w:r>
          </w:p>
        </w:tc>
      </w:tr>
      <w:tr w14:paraId="6FFEC75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54" w:type="dxa"/>
            <w:tcBorders>
              <w:top w:val="nil"/>
              <w:bottom w:val="nil"/>
            </w:tcBorders>
            <w:vAlign w:val="bottom"/>
          </w:tcPr>
          <w:p w14:paraId="6F0FC60D">
            <w:pPr>
              <w:keepNext w:val="0"/>
              <w:keepLines w:val="0"/>
              <w:pageBreakBefore w:val="0"/>
              <w:widowControl w:val="0"/>
              <w:tabs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spacing w:val="200"/>
                <w:kern w:val="0"/>
                <w:sz w:val="32"/>
                <w:szCs w:val="32"/>
                <w:fitText w:val="1200" w:id="792595781"/>
                <w14:ligatures w14:val="none"/>
              </w:rPr>
            </w:pPr>
          </w:p>
        </w:tc>
        <w:tc>
          <w:tcPr>
            <w:tcW w:w="6542" w:type="dxa"/>
            <w:vAlign w:val="bottom"/>
          </w:tcPr>
          <w:p w14:paraId="5544910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  <w:t>（卓越试点班）</w:t>
            </w:r>
          </w:p>
        </w:tc>
      </w:tr>
      <w:tr w14:paraId="0CA8E47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54" w:type="dxa"/>
            <w:tcBorders>
              <w:top w:val="nil"/>
              <w:bottom w:val="nil"/>
            </w:tcBorders>
            <w:vAlign w:val="bottom"/>
          </w:tcPr>
          <w:p w14:paraId="6ADB7106">
            <w:pPr>
              <w:keepNext w:val="0"/>
              <w:keepLines w:val="0"/>
              <w:pageBreakBefore w:val="0"/>
              <w:widowControl w:val="0"/>
              <w:tabs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pacing w:val="1"/>
                <w:w w:val="93"/>
                <w:kern w:val="0"/>
                <w:sz w:val="32"/>
                <w:szCs w:val="32"/>
                <w:fitText w:val="1200" w:id="1689019941"/>
                <w14:ligatures w14:val="none"/>
              </w:rPr>
              <w:t>指导教</w:t>
            </w:r>
            <w:r>
              <w:rPr>
                <w:rFonts w:hint="eastAsia" w:ascii="宋体" w:hAnsi="宋体" w:eastAsia="宋体" w:cs="宋体"/>
                <w:b/>
                <w:spacing w:val="2"/>
                <w:w w:val="93"/>
                <w:kern w:val="0"/>
                <w:sz w:val="32"/>
                <w:szCs w:val="32"/>
                <w:fitText w:val="1200" w:id="1689019941"/>
                <w14:ligatures w14:val="none"/>
              </w:rPr>
              <w:t>师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6542" w:type="dxa"/>
            <w:vAlign w:val="bottom"/>
          </w:tcPr>
          <w:p w14:paraId="29306B8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  <w:t>刘丹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eastAsia="zh-CN"/>
                <w14:ligatures w14:val="none"/>
              </w:rPr>
              <w:t>、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  <w:t>黄建宇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eastAsia="zh-CN"/>
                <w14:ligatures w14:val="none"/>
              </w:rPr>
              <w:t>、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:lang w:val="en-US" w:eastAsia="zh-CN"/>
                <w14:ligatures w14:val="none"/>
              </w:rPr>
              <w:t>张明凤</w:t>
            </w:r>
          </w:p>
        </w:tc>
      </w:tr>
      <w:tr w14:paraId="32BC90F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54" w:type="dxa"/>
            <w:tcBorders>
              <w:top w:val="nil"/>
              <w:bottom w:val="nil"/>
            </w:tcBorders>
            <w:vAlign w:val="bottom"/>
          </w:tcPr>
          <w:p w14:paraId="286B3DB7">
            <w:pPr>
              <w:keepNext w:val="0"/>
              <w:keepLines w:val="0"/>
              <w:pageBreakBefore w:val="0"/>
              <w:widowControl w:val="0"/>
              <w:tabs>
                <w:tab w:val="left" w:pos="6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pacing w:val="200"/>
                <w:kern w:val="0"/>
                <w:sz w:val="32"/>
                <w:szCs w:val="32"/>
                <w:fitText w:val="1200" w:id="911941061"/>
                <w14:ligatures w14:val="none"/>
              </w:rPr>
              <w:t xml:space="preserve">学 </w:t>
            </w: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32"/>
                <w:szCs w:val="32"/>
                <w:fitText w:val="1200" w:id="911941061"/>
                <w14:ligatures w14:val="none"/>
              </w:rPr>
              <w:t>院</w:t>
            </w:r>
            <w:r>
              <w:rPr>
                <w:rFonts w:hint="eastAsia" w:ascii="宋体" w:hAnsi="宋体" w:eastAsia="宋体" w:cs="宋体"/>
                <w:b/>
                <w:sz w:val="32"/>
                <w:szCs w:val="32"/>
                <w14:ligatures w14:val="none"/>
              </w:rPr>
              <w:t>：</w:t>
            </w:r>
          </w:p>
        </w:tc>
        <w:tc>
          <w:tcPr>
            <w:tcW w:w="6542" w:type="dxa"/>
            <w:vAlign w:val="bottom"/>
          </w:tcPr>
          <w:p w14:paraId="69DC112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sz w:val="32"/>
                <w:szCs w:val="32"/>
                <w:vertAlign w:val="baseline"/>
                <w14:ligatures w14:val="none"/>
              </w:rPr>
              <w:t>电子信息与自动化学院、经济与管理学院</w:t>
            </w:r>
          </w:p>
        </w:tc>
      </w:tr>
    </w:tbl>
    <w:p w14:paraId="022E379A">
      <w:pPr>
        <w:spacing w:after="0" w:line="240" w:lineRule="auto"/>
        <w:jc w:val="both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</w:p>
    <w:p w14:paraId="4B6738C9">
      <w:pPr>
        <w:spacing w:after="0" w:line="240" w:lineRule="auto"/>
        <w:jc w:val="both"/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</w:pPr>
    </w:p>
    <w:p w14:paraId="2369FC92">
      <w:pPr>
        <w:spacing w:after="0" w:line="240" w:lineRule="auto"/>
        <w:jc w:val="center"/>
        <w:rPr>
          <w:rFonts w:ascii="Times New Roman" w:hAnsi="Times New Roman" w:eastAsia="宋体" w:cs="Times New Roman"/>
          <w:b/>
          <w:sz w:val="28"/>
          <w:szCs w:val="28"/>
          <w14:ligatures w14:val="non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14:ligatures w14:val="none"/>
        </w:rPr>
        <w:t>二〇二五年十二月</w:t>
      </w:r>
    </w:p>
    <w:p w14:paraId="2411904F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b/>
          <w:bCs w:val="0"/>
          <w:sz w:val="32"/>
          <w:szCs w:val="32"/>
        </w:rPr>
        <w:sectPr>
          <w:pgSz w:w="11905" w:h="16840"/>
          <w:cols w:space="720" w:num="1"/>
        </w:sectPr>
      </w:pPr>
    </w:p>
    <w:sdt>
      <w:sdtPr>
        <w:rPr>
          <w:rFonts w:ascii="宋体" w:hAnsi="宋体" w:eastAsia="宋体" w:cstheme="minorBidi"/>
          <w:sz w:val="21"/>
          <w:szCs w:val="22"/>
        </w:rPr>
        <w:id w:val="147456295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sz w:val="21"/>
          <w:szCs w:val="28"/>
        </w:rPr>
      </w:sdtEndPr>
      <w:sdtContent>
        <w:p w14:paraId="4ACC72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30"/>
              <w:szCs w:val="30"/>
            </w:rPr>
          </w:pPr>
          <w:bookmarkStart w:id="0" w:name="heading_0"/>
          <w:r>
            <w:rPr>
              <w:rFonts w:ascii="宋体" w:hAnsi="宋体" w:eastAsia="宋体"/>
              <w:b/>
              <w:bCs/>
              <w:sz w:val="30"/>
              <w:szCs w:val="30"/>
            </w:rPr>
            <w:t>目录</w:t>
          </w:r>
        </w:p>
        <w:p w14:paraId="0131C4E5">
          <w:pPr>
            <w:pStyle w:val="7"/>
            <w:tabs>
              <w:tab w:val="right" w:leader="dot" w:pos="8305"/>
            </w:tabs>
          </w:pP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b/>
              <w:sz w:val="28"/>
              <w:szCs w:val="28"/>
            </w:rPr>
            <w:fldChar w:fldCharType="separate"/>
          </w:r>
        </w:p>
        <w:p w14:paraId="3C1DA53D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_Toc27154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第1章 项目概述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_Toc27154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8F2D679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_Toc13484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1.1 项目背景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_Toc13484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3AB02DD4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_Toc11640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1.1.1 通信链路核心隐患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_Toc11640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838083F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_Toc3833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1.1.2 行业安全需求迫切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_Toc3833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36266E84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_Toc17852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1.1.3 政策合规要求严格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_Toc17852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31BC228A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_Toc4813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1.1.4 市场供给缺口显著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_Toc4813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1830299C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_Toc3579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1.2 产品介绍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_Toc3579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0E421E3D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_Toc4610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1.2.1 核心功能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_Toc4610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3B5CDBF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_Toc14085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1.2.2 技术参数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_Toc14085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4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752B2AC8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_Toc3693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1.2.3 系统架构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_Toc3693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4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5383E7C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_Toc1935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第2章 市场分析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_Toc1935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10AA6347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_Toc20297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2.1 市场需求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_Toc20297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257E64C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_Toc2859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2.1.1 通用航空领域需求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_Toc2859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72D9FF5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_Toc22793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2.1.2 航空设备制造领域需求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_Toc22793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04EE56C7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_Toc31444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2.1.3 教育科研领域需求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_Toc31444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069236BE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_Toc878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2.2 市场竞争优势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_Toc878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331798CC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_Toc12058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2.2.1 成本优势：极致控本，性价比领先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_Toc12058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119EEE4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_Toc27998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2.2.2 合规性优势：政策适配，准入门槛低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_Toc27998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26D528FA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_Toc31151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2.2.3 技术优势：精准高效，稳定可靠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_Toc31151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8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223A1D0C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_Toc7825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2.2.4 易用性优势：操作便捷，运维成本低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_Toc7825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8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7F750F8E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_Toc13530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第3章 运营计划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_Toc13530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5B7B47A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_Toc31715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3.1 研发流程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_Toc31715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C936CF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_Toc1196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3.2 生产计划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_Toc1196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1B2BE10A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_Toc11127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3.2.1供应链管理：稳定可控，成本优化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_Toc11127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2A95C3E6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_Toc23826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3.2.2 生产模式：灵活适配，风险可控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_Toc23826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10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3CD49055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_Toc3320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3.2.3 质量控制：全流程把关，品质保障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_Toc3320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10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8082282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_Toc19220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3.3 销售与推广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_Toc19220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10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04B5043D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_Toc4999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3.3.1 销售渠道：多渠道协同，精准覆盖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_Toc4999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10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2C125A5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_Toc11591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3.3.2 推广策略：场景化营销，口碑构建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_Toc11591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10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264D4E23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_Toc21617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第4章 财务计划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_Toc21617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3B3ED6E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_Toc22696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4.1 成本预算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_Toc22696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B60A1D0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_Toc6675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4.1.1初期总投资与成本构成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_Toc6675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CCD2151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_Toc31247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4.1.2 单位生产成本规划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_Toc31247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05A281D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_Toc531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4.2 收入预测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_Toc531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5C68148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_Toc29711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4.2.1 差异化定价策略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_Toc29711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1B833CF9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_Toc14898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4.2.2 分阶段销量与收入预测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_Toc14898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13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75014B4F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_Toc9463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4.2.3 分阶段盈利预测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_Toc9463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13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51984DB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_Toc14538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第5章 项目融资需求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_Toc14538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15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DEACF9F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_Toc7643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5.1 融资需求测算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_Toc7643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15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C84EFD9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_Toc30271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5.2 融资方案设计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_Toc30271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15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307E70D6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  <w:sectPr>
              <w:pgSz w:w="11905" w:h="16840"/>
              <w:cols w:space="720" w:num="1"/>
            </w:sectPr>
          </w:pPr>
        </w:p>
        <w:p w14:paraId="6D5769F0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_Toc23232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5.3 投资回报与退出机制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_Toc23232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16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5B04BFBE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_Toc5861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5.3.1 投资回报测算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_Toc5861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16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080A5C5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_Toc19819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5.3.2 退出机制设计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_Toc19819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16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30BEBD3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_Toc12588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第6章 团队介绍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_Toc12588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1DB70FB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_Toc22368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6.1 核心成员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_Toc22368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4355A9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_Toc31246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6.2 指导团队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_Toc31246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17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3C085DC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_Toc29967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第7章 风险分析与应对措施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_Toc29967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18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1CEE9C3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_Toc12824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7..1 技术风险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_Toc12824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18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1C607B6E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_Toc11082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7.1.1 核心风险描述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_Toc11082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18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1CA51097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_Toc16256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7.1.2 针对性应对措施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_Toc16256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18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D4474F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_Toc4462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7.2 市场风险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_Toc4462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4B1B5C67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_Toc1572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7.2.1 核心风险描述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_Toc1572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078F7AB2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_Toc26095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7.2.2 针对性应对措施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_Toc26095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6A430B5D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_Toc21620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7.3 运营风险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_Toc21620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798AEDCE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_Toc18469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7.3.1 核心风险描述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_Toc18469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313C58F8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_Toc13443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7.3.2 针对性应对措施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_Toc13443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19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7F20E4CA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_Toc18821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第8章 发展规划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_Toc18821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21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0EDC8B53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_Toc10972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8.1 短期规划（1-2年）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_Toc10972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21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054525B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_Toc22961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8.2 中期规划（3-5年）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_Toc22961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21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23BF8D18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  <w:rPr>
              <w:rFonts w:hint="eastAsia" w:ascii="等线" w:hAnsi="等线" w:eastAsia="等线" w:cs="等线"/>
              <w:sz w:val="22"/>
              <w:szCs w:val="22"/>
            </w:rPr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_Toc30929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8.3 长期规划（5年以上）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_Toc30929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21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5F658D14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64" w:lineRule="auto"/>
            <w:textAlignment w:val="auto"/>
          </w:pP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HYPERLINK \l _Toc27655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kern w:val="2"/>
              <w:sz w:val="22"/>
              <w:szCs w:val="22"/>
              <w:lang w:val="en-US" w:eastAsia="zh-CN" w:bidi="ar-SA"/>
              <w14:ligatures w14:val="standardContextual"/>
            </w:rPr>
            <w:t>第9章 结论</w:t>
          </w:r>
          <w:r>
            <w:rPr>
              <w:rFonts w:hint="eastAsia" w:ascii="等线" w:hAnsi="等线" w:eastAsia="等线" w:cs="等线"/>
              <w:sz w:val="22"/>
              <w:szCs w:val="22"/>
            </w:rPr>
            <w:tab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begin"/>
          </w:r>
          <w:r>
            <w:rPr>
              <w:rFonts w:hint="eastAsia" w:ascii="等线" w:hAnsi="等线" w:eastAsia="等线" w:cs="等线"/>
              <w:sz w:val="22"/>
              <w:szCs w:val="22"/>
            </w:rPr>
            <w:instrText xml:space="preserve"> PAGEREF _Toc27655 \h </w:instrTex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separate"/>
          </w:r>
          <w:r>
            <w:rPr>
              <w:rFonts w:hint="eastAsia" w:ascii="等线" w:hAnsi="等线" w:eastAsia="等线" w:cs="等线"/>
              <w:sz w:val="22"/>
              <w:szCs w:val="22"/>
            </w:rPr>
            <w:t>22</w:t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  <w:r>
            <w:rPr>
              <w:rFonts w:hint="eastAsia" w:ascii="等线" w:hAnsi="等线" w:eastAsia="等线" w:cs="等线"/>
              <w:sz w:val="22"/>
              <w:szCs w:val="22"/>
            </w:rPr>
            <w:fldChar w:fldCharType="end"/>
          </w:r>
        </w:p>
        <w:p w14:paraId="2DEF43AF">
          <w:pPr>
            <w:spacing w:before="320" w:after="120" w:line="288" w:lineRule="auto"/>
            <w:ind w:left="0"/>
            <w:jc w:val="left"/>
            <w:outlineLvl w:val="1"/>
            <w:rPr>
              <w:rFonts w:hint="eastAsia" w:ascii="黑体" w:hAnsi="黑体" w:eastAsia="黑体" w:cs="黑体"/>
              <w:sz w:val="21"/>
              <w:szCs w:val="28"/>
            </w:rPr>
          </w:pPr>
          <w:r>
            <w:rPr>
              <w:rFonts w:hint="eastAsia" w:ascii="黑体" w:hAnsi="黑体" w:eastAsia="黑体" w:cs="黑体"/>
              <w:szCs w:val="28"/>
            </w:rPr>
            <w:fldChar w:fldCharType="end"/>
          </w:r>
        </w:p>
      </w:sdtContent>
    </w:sdt>
    <w:p w14:paraId="3C94CC95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sz w:val="21"/>
          <w:szCs w:val="28"/>
        </w:rPr>
        <w:sectPr>
          <w:footerReference r:id="rId3" w:type="default"/>
          <w:pgSz w:w="11905" w:h="16840"/>
          <w:pgNumType w:start="1"/>
          <w:cols w:space="720" w:num="1"/>
        </w:sectPr>
      </w:pPr>
    </w:p>
    <w:p w14:paraId="4541D4C1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sz w:val="28"/>
          <w:szCs w:val="28"/>
        </w:rPr>
      </w:pPr>
      <w:bookmarkStart w:id="1" w:name="_Toc4369"/>
      <w:bookmarkStart w:id="2" w:name="_Toc9546"/>
      <w:r>
        <w:rPr>
          <w:rFonts w:hint="eastAsia" w:ascii="黑体" w:hAnsi="黑体" w:eastAsia="黑体" w:cs="黑体"/>
          <w:b/>
          <w:sz w:val="28"/>
          <w:szCs w:val="28"/>
        </w:rPr>
        <w:t>摘要</w:t>
      </w:r>
      <w:bookmarkEnd w:id="0"/>
      <w:bookmarkEnd w:id="1"/>
      <w:bookmarkEnd w:id="2"/>
    </w:p>
    <w:p w14:paraId="7D141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本项目精准聚焦现代航空语音通信领域的核心安全痛点，研发集多重功能于一体的航空语音通信质量监测与报警系统，构建全流程闭环管控体系，填补中小型航空企业及科研机构的技术空白。核心核心信息如下：</w:t>
      </w:r>
    </w:p>
    <w:p w14:paraId="14BEF8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核心定位：破解地空传输链路信号受电磁干扰、环境噪声、设备老化等因素影响导致的通信质量下降难题，保障航空航行安全。</w:t>
      </w:r>
    </w:p>
    <w:p w14:paraId="4C341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核心技术路线：采用低功率中波模拟通信技术，融合STM32嵌入式实时处理与MATLAB高精度信号分析双路径方案，符合国家无电台执照设备功率管控要求。</w:t>
      </w:r>
    </w:p>
    <w:p w14:paraId="16BB12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核心性能指标：</w:t>
      </w:r>
    </w:p>
    <w:p w14:paraId="0A43BB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检测带宽：150~4.5kHz</w:t>
      </w:r>
    </w:p>
    <w:p w14:paraId="3CF142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频带分辨率：35Hz</w:t>
      </w:r>
    </w:p>
    <w:p w14:paraId="509A96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检测分辨率：0.01dB</w:t>
      </w:r>
    </w:p>
    <w:p w14:paraId="387983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失真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度分辨率：</w:t>
      </w:r>
      <w:r>
        <w:rPr>
          <w:rFonts w:hint="eastAsia" w:ascii="宋体" w:hAnsi="宋体" w:eastAsia="宋体" w:cs="宋体"/>
          <w:sz w:val="24"/>
          <w:szCs w:val="24"/>
        </w:rPr>
        <w:t>0.01%</w:t>
      </w:r>
    </w:p>
    <w:p w14:paraId="7CFACC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报警响应时间：&lt;1s</w:t>
      </w:r>
      <w:bookmarkStart w:id="130" w:name="_GoBack"/>
      <w:bookmarkEnd w:id="130"/>
    </w:p>
    <w:p w14:paraId="7F165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核心功能覆盖：信号实时采集、关键指标分析、异常快速报警、数据存储与可视化展示。</w:t>
      </w:r>
    </w:p>
    <w:p w14:paraId="069FB4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" w:name="heading_1"/>
      <w:r>
        <w:rPr>
          <w:rFonts w:hint="eastAsia" w:ascii="宋体" w:hAnsi="宋体" w:eastAsia="宋体" w:cs="宋体"/>
          <w:sz w:val="24"/>
          <w:szCs w:val="24"/>
        </w:rPr>
        <w:t>项目核心竞争优势源于模块化架构设计与全链条成本控制，形成四大核心壁垒，支撑市场竞争力与商业化推广：</w:t>
      </w:r>
    </w:p>
    <w:p w14:paraId="079BF2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兼容性优势：模块化设计+标准化接口，可灵活对接不同型号航空通信设备，覆盖通用航空运维、机场安全巡检、设备研发测试、科研教学实验等多元场景。</w:t>
      </w:r>
    </w:p>
    <w:p w14:paraId="66D531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成本优势：硬件总成本严格控制在1354.78元以内，远低于行业同类设备3000元以上的成本水平，性价比突出，易切入中低端市场。</w:t>
      </w:r>
    </w:p>
    <w:p w14:paraId="7243AD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技术稳定性优势：硬件采用磁珠隔离、去耦电容等抗干扰设计，双路径数据处理方案协同优化，可在复杂环境下稳定运行，满足航空通信实时性、可靠性要求。</w:t>
      </w:r>
    </w:p>
    <w:p w14:paraId="00FCDD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合规性优势：发射功率≤10W，符合国家无线电管理规定，无需额外申请电台执照，降低客户准入门槛与运营成本。</w:t>
      </w:r>
    </w:p>
    <w:p w14:paraId="14A8C45C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sectPr>
          <w:footerReference r:id="rId4" w:type="default"/>
          <w:pgSz w:w="11905" w:h="16840"/>
          <w:pgNumType w:fmt="decimal" w:start="1"/>
          <w:cols w:space="720" w:num="1"/>
        </w:sectPr>
      </w:pPr>
      <w:bookmarkStart w:id="4" w:name="_Toc27154"/>
    </w:p>
    <w:p w14:paraId="6C65BE6B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t>第1章 项目概述</w:t>
      </w:r>
      <w:bookmarkEnd w:id="3"/>
      <w:bookmarkEnd w:id="4"/>
    </w:p>
    <w:p w14:paraId="47C3570D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5" w:name="_Toc13484"/>
      <w:bookmarkStart w:id="6" w:name="heading_2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1.1 项目背景</w:t>
      </w:r>
      <w:bookmarkEnd w:id="5"/>
      <w:bookmarkEnd w:id="6"/>
    </w:p>
    <w:p w14:paraId="4B6BA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地空语音通信是航空运输体系的核心纽带，其质量稳定性直接关系飞行安全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CE41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7" w:name="_Toc11640"/>
      <w:bookmarkStart w:id="8" w:name="heading_3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1.1.1 通信链路核心隐患</w:t>
      </w:r>
      <w:bookmarkEnd w:id="7"/>
      <w:bookmarkEnd w:id="8"/>
    </w:p>
    <w:p w14:paraId="7F001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自然环境干扰：大气噪声、雷电天气等导致信号衰减、失真；</w:t>
      </w:r>
    </w:p>
    <w:p w14:paraId="7D990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人为电磁干扰：机场周边工业设备、民用通信设备等产生的辐射信号破坏通信完整性；</w:t>
      </w:r>
    </w:p>
    <w:p w14:paraId="50C78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设备自身故障：航空器通信设备老化、地面接收装置故障等引发通信中断或质量下降。</w:t>
      </w:r>
    </w:p>
    <w:p w14:paraId="02B78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9" w:name="_Toc3833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1.1.2 行业安全需求迫切</w:t>
      </w:r>
      <w:bookmarkEnd w:id="9"/>
    </w:p>
    <w:p w14:paraId="1BBC3E8A">
      <w:pPr>
        <w:spacing w:before="120" w:after="120" w:line="288" w:lineRule="auto"/>
        <w:ind w:left="0"/>
        <w:jc w:val="left"/>
      </w:pPr>
      <w:r>
        <w:rPr>
          <w:rFonts w:hint="eastAsia" w:ascii="宋体" w:hAnsi="宋体" w:eastAsia="宋体" w:cs="宋体"/>
          <w:sz w:val="24"/>
          <w:szCs w:val="24"/>
        </w:rPr>
        <w:t>据民航局发布的《通用航空安全发展报告》统计，近年来我国通用航空领域因通信质量问题引发的安全事件占比达15%以上，其中60%以上的事件与通信信号干扰、设备故障未及时发现相关，凸显了通信质量实时监测的必要性与紧迫性。</w:t>
      </w:r>
    </w:p>
    <w:p w14:paraId="436B6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0" w:name="_Toc17852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1.1.3 政策合规要求严格</w:t>
      </w:r>
      <w:bookmarkEnd w:id="10"/>
    </w:p>
    <w:p w14:paraId="7EC038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我国明确规定无电台执照设备发射功率不得超过10W，传统航空通信模拟系统难以满足合规要求。当前市场主流航空通信监测设备参数对比情况如下表所示：</w:t>
      </w:r>
    </w:p>
    <w:p w14:paraId="04E1622A">
      <w:pPr>
        <w:pStyle w:val="2"/>
        <w:jc w:val="center"/>
        <w:rPr>
          <w:rFonts w:hint="eastAsia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当前市场主流航空通信监测设备参数对比情况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DA521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2C8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参数维度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3BC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本项目产品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CC0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传统高端设备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75C7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传统中端设备</w:t>
            </w:r>
          </w:p>
        </w:tc>
      </w:tr>
      <w:tr w14:paraId="4515C3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34E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发射功率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6D7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≤10W（合规）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47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20-50W（需电台执照）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F21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15-25W（需电台执照）</w:t>
            </w:r>
          </w:p>
        </w:tc>
      </w:tr>
      <w:tr w14:paraId="21DAD6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3AF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市场售价（元）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90EC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2800-4500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7AC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8000-15000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32D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3000-8000</w:t>
            </w:r>
          </w:p>
        </w:tc>
      </w:tr>
      <w:tr w14:paraId="5E35DD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38C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操作难度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007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简单（触摸操作，即插即用）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B79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复杂（需专业调试）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D99A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中等（需电脑辅助）</w:t>
            </w:r>
          </w:p>
        </w:tc>
      </w:tr>
      <w:tr w14:paraId="4C25AB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A6D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信噪比测量精度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59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±2dB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5E65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±1dB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28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±3dB</w:t>
            </w:r>
          </w:p>
        </w:tc>
      </w:tr>
      <w:tr w14:paraId="201BE5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B527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失真度测量精度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A7C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±1%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AAB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±0.5%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427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±2%</w:t>
            </w:r>
          </w:p>
        </w:tc>
      </w:tr>
    </w:tbl>
    <w:p w14:paraId="21237D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由上表可知，本项目产品在保障核心测量精度基本满足需求的前提下，具备明显的合规性与成本优势，同时操作难度更低，更适配中低端市场需求。</w:t>
      </w:r>
    </w:p>
    <w:p w14:paraId="076B1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1" w:name="heading_6"/>
      <w:bookmarkStart w:id="12" w:name="_Toc4813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1.1.4 市场供给缺口显著</w:t>
      </w:r>
      <w:bookmarkEnd w:id="11"/>
      <w:bookmarkEnd w:id="12"/>
    </w:p>
    <w:p w14:paraId="4AEF98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从市场需求结构来看，当前航空通信监测市场呈现“两极分化”特征：</w:t>
      </w:r>
    </w:p>
    <w:p w14:paraId="1682E2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高端市场被少数国际品牌垄断，功率偏大、结构复杂、调试难度高、成本高昂（3000-8000元）、操作繁琐，主要服务于大型航空公司与枢纽机场；</w:t>
      </w:r>
    </w:p>
    <w:p w14:paraId="41BF3C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中低端市场则存在明显供给缺口，中小型航空企业、地方机场、航空院校等主体的低成本、轻量化监测需求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航空院校的易用性、经济性教学科研需求均存在供给空白。</w:t>
      </w:r>
    </w:p>
    <w:p w14:paraId="0F697A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此行业背景下，市场亟需一款兼具低成本、高可靠性、符合合规要求、操作便捷的航空语音通信质量监测解决方案，以填补中小型航空企业及科研机构的市场空白，完善航空通信安全保障体系的细分领域覆盖，推动航空通信监测行业的普惠化、规范化发展。本项目正是基于这一市场痛点，精准定位中低端市场，通过技术创新与成本优化，打造符合市场需求的高性价比产品，具备广阔的市场发展空间。</w:t>
      </w:r>
      <w:bookmarkStart w:id="13" w:name="heading_7"/>
    </w:p>
    <w:p w14:paraId="77E5D6DA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14" w:name="_Toc3579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1.2 产品介绍</w:t>
      </w:r>
      <w:bookmarkEnd w:id="13"/>
      <w:bookmarkEnd w:id="14"/>
    </w:p>
    <w:p w14:paraId="332B6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5" w:name="_Toc4610"/>
      <w:bookmarkStart w:id="16" w:name="heading_8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1.2.1 核心功能</w:t>
      </w:r>
      <w:bookmarkEnd w:id="15"/>
      <w:bookmarkEnd w:id="16"/>
    </w:p>
    <w:p w14:paraId="6BA4F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系统核心功能围绕“实时监测、精准分析、快速预警、数据留存”四大核心目标构建，形成全流程闭环管控体系，各功能模块协同工作，确保通信质量的全方位掌控。</w:t>
      </w:r>
    </w:p>
    <w:p w14:paraId="6FA18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7" w:name="heading_9"/>
      <w:r>
        <w:rPr>
          <w:rFonts w:hint="eastAsia" w:ascii="宋体" w:hAnsi="宋体" w:eastAsia="宋体" w:cs="宋体"/>
          <w:sz w:val="24"/>
          <w:szCs w:val="24"/>
        </w:rPr>
        <w:t>信号采集与实时监测环节，系统通过高精度音频采集模块对航空语音通信信号进行持续采集，采样率≥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</w:rPr>
        <w:t>kHz，可完整捕捉语音信号的细节特征，同时同步采集通信链路的电压、电流等辅助参数，为后续分析提供全面数据支撑。采集到的信号经预处理后，传输至STM32核心处理单元，实时分析信噪比、失真度等关键质量指标，分析结果通过触摸串口屏实时展示，工作人员可直观掌握通信质量动态变化，实现对通信链路的全天候实时监控。</w:t>
      </w:r>
    </w:p>
    <w:p w14:paraId="3E3E4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常报警功能是保障飞行安全的关键环节，系统预设信噪比、失真度等指标的安全阈值，当检测到通信链路故障、信号干扰或指标超标等异常情况时，可快速触发声光报警机制：蜂鸣器发出高频报警声，音量≥80dB，确保在嘈杂的机场环境中工作人员能够及时察觉；RGB LED灯发出红色闪烁灯光，通过视觉警示强化报警效果，整个报警响应时间≤1s，为故障处置争取宝贵时间。同时，系统支持报警阈值自定义设置，客户可根据自身使用场景与通信设备特性，灵活调整阈值参数，提升报警功能的适配性。</w:t>
      </w:r>
    </w:p>
    <w:p w14:paraId="06333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处理层面，系统创新采用“本地实时处理+云端精准分析”的双模式架构，兼顾时效性与精度需求。本地处理模式依托STM32芯片的强大运算能力，实现指标计算与数据格式转换，满足现场快速分析与决策需求；云端精准分析模式则通过TRS接口将采集到的原始信号传输至MATLAB系统，利用MATLAB的专业信号处理算法开展高精度降噪处理与离线深度分析，可精准提取信号特征参数，生成详细的数据分析报告，为设备性能优化、通信链路升级等提供深度数据支撑。此外，双模式架构支持数据互通与协同优化，本地处理的关键数据可同步至MATLAB系统进行二次校验，MATLAB的分析模型参数也可反向同步至本地系统，提升实时处理精度。</w:t>
      </w:r>
    </w:p>
    <w:p w14:paraId="236EF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存储与可视化展示功能为后续运维与分析提供坚实保障。系统配备大容量本地存储模块，可连续存储不少于30天的监测数据（含原始信号、指标分析结果、报警记录等），支持按时间、设备编号、故障类型等多维度检索，方便工作人员追溯历史数据、排查故障根源。可视化展示通过分辨率≥800×480像素的触摸串口屏实现，采用直观的图表化呈现方式：实时显示信噪比、失真度等核心指标的动态变化曲线，用不同颜色标注指标正常、预警、超标三种状态；同步展示通信信号的频谱图，清晰呈现信号频率分布与干扰情况。同时，触摸操作支持参数设置、数据导出、报警记录查询等功能，工作人员可通过屏幕直接完成操作，无需额外连接电脑，大幅提升现场使用便捷性。</w:t>
      </w:r>
    </w:p>
    <w:p w14:paraId="265994AF">
      <w:pPr>
        <w:numPr>
          <w:ilvl w:val="0"/>
          <w:numId w:val="0"/>
        </w:numPr>
        <w:spacing w:before="300" w:after="120" w:line="288" w:lineRule="auto"/>
        <w:jc w:val="center"/>
        <w:outlineLvl w:val="2"/>
      </w:pPr>
      <w:bookmarkStart w:id="18" w:name="_Toc11401"/>
      <w:bookmarkStart w:id="19" w:name="_Toc3881"/>
      <w:r>
        <w:drawing>
          <wp:inline distT="0" distB="0" distL="114300" distR="114300">
            <wp:extent cx="4731385" cy="3305810"/>
            <wp:effectExtent l="0" t="0" r="5715" b="889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"/>
      <w:bookmarkEnd w:id="19"/>
    </w:p>
    <w:p w14:paraId="71CD8D7E">
      <w:pPr>
        <w:pStyle w:val="2"/>
        <w:numPr>
          <w:ilvl w:val="0"/>
          <w:numId w:val="0"/>
        </w:numPr>
        <w:spacing w:before="300" w:after="120" w:line="288" w:lineRule="auto"/>
        <w:jc w:val="center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0" w:name="_Toc3110"/>
      <w:bookmarkStart w:id="21" w:name="_Toc32307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总系统图</w:t>
      </w:r>
      <w:bookmarkEnd w:id="20"/>
      <w:bookmarkEnd w:id="21"/>
    </w:p>
    <w:p w14:paraId="14E35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22" w:name="_Toc14085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1.2.2 技术参数</w:t>
      </w:r>
      <w:bookmarkEnd w:id="17"/>
      <w:bookmarkEnd w:id="22"/>
    </w:p>
    <w:p w14:paraId="73AD6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系统核心技术参数经严格测试校准，全面覆盖质量测量、通信性能、信号处理、环境适应四大维度，确保满足实际应用需求：</w:t>
      </w:r>
    </w:p>
    <w:p w14:paraId="02F85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3" w:name="heading_10"/>
      <w:r>
        <w:rPr>
          <w:rFonts w:hint="eastAsia" w:ascii="宋体" w:hAnsi="宋体" w:eastAsia="宋体" w:cs="宋体"/>
          <w:sz w:val="24"/>
          <w:szCs w:val="24"/>
        </w:rPr>
        <w:t>核心质量指标测量参数</w:t>
      </w:r>
      <w:bookmarkEnd w:id="23"/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检测带宽：150~4.5kHz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频带分辨率：35Hz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检测分辨率：信噪比0.01dB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失真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度：</w:t>
      </w:r>
      <w:r>
        <w:rPr>
          <w:rFonts w:hint="eastAsia" w:ascii="宋体" w:hAnsi="宋体" w:eastAsia="宋体" w:cs="宋体"/>
          <w:sz w:val="24"/>
          <w:szCs w:val="24"/>
        </w:rPr>
        <w:t>0.01%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报警响应时间：&lt;1s。</w:t>
      </w:r>
    </w:p>
    <w:p w14:paraId="4C685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4" w:name="heading_11"/>
      <w:r>
        <w:rPr>
          <w:rFonts w:hint="eastAsia" w:ascii="宋体" w:hAnsi="宋体" w:eastAsia="宋体" w:cs="宋体"/>
          <w:sz w:val="24"/>
          <w:szCs w:val="24"/>
        </w:rPr>
        <w:t>通信性能参数</w:t>
      </w:r>
      <w:bookmarkEnd w:id="24"/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工作频率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范围为</w:t>
      </w:r>
      <w:r>
        <w:rPr>
          <w:rFonts w:hint="eastAsia" w:ascii="宋体" w:hAnsi="宋体" w:eastAsia="宋体" w:cs="宋体"/>
          <w:sz w:val="24"/>
          <w:szCs w:val="24"/>
        </w:rPr>
        <w:t>1000kHz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~</w:t>
      </w:r>
      <w:r>
        <w:rPr>
          <w:rFonts w:hint="eastAsia" w:ascii="宋体" w:hAnsi="宋体" w:eastAsia="宋体" w:cs="宋体"/>
          <w:sz w:val="24"/>
          <w:szCs w:val="24"/>
        </w:rPr>
        <w:t>2000kHz；发射功率≤10W，符合国家无线电设备功率规定，无需额外申请电台执照。</w:t>
      </w:r>
    </w:p>
    <w:p w14:paraId="6A6C4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5" w:name="heading_12"/>
      <w:r>
        <w:rPr>
          <w:rFonts w:hint="eastAsia" w:ascii="宋体" w:hAnsi="宋体" w:eastAsia="宋体" w:cs="宋体"/>
          <w:sz w:val="24"/>
          <w:szCs w:val="24"/>
        </w:rPr>
        <w:t>信号处理参数</w:t>
      </w:r>
      <w:bookmarkEnd w:id="25"/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信号采样率≥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</w:rPr>
        <w:t>kHz；分析能力支持256点浮点FFT运算，具备良好的信号分析与频谱解析能力。</w:t>
      </w:r>
    </w:p>
    <w:p w14:paraId="43FC2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6" w:name="heading_13"/>
      <w:r>
        <w:rPr>
          <w:rFonts w:hint="eastAsia" w:ascii="宋体" w:hAnsi="宋体" w:eastAsia="宋体" w:cs="宋体"/>
          <w:sz w:val="24"/>
          <w:szCs w:val="24"/>
        </w:rPr>
        <w:t>环境适应性参数</w:t>
      </w:r>
      <w:bookmarkEnd w:id="26"/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工作温度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范围为</w:t>
      </w:r>
      <w:r>
        <w:rPr>
          <w:rFonts w:hint="eastAsia" w:ascii="宋体" w:hAnsi="宋体" w:eastAsia="宋体" w:cs="宋体"/>
          <w:sz w:val="24"/>
          <w:szCs w:val="24"/>
        </w:rPr>
        <w:t>-10℃~50℃；相对湿度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范围为</w:t>
      </w:r>
      <w:r>
        <w:rPr>
          <w:rFonts w:hint="eastAsia" w:ascii="宋体" w:hAnsi="宋体" w:eastAsia="宋体" w:cs="宋体"/>
          <w:sz w:val="24"/>
          <w:szCs w:val="24"/>
        </w:rPr>
        <w:t>30%~80%；平均无故障工作时间≥1h，可适配机场露天运维、室内科研实验等多场景。</w:t>
      </w:r>
    </w:p>
    <w:p w14:paraId="4586D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27" w:name="_Toc3693"/>
      <w:bookmarkStart w:id="28" w:name="heading_14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1.2.3 系统架构</w:t>
      </w:r>
      <w:bookmarkEnd w:id="27"/>
      <w:bookmarkEnd w:id="28"/>
    </w:p>
    <w:p w14:paraId="0D687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系统采用模块化分层架构设计，主要由四大核心模块组成，各模块协同工作实现全功能落地。</w:t>
      </w:r>
    </w:p>
    <w:p w14:paraId="097B7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航空语音模拟通信系统作为信号源核心，包含音频采集、发射机、接收机三大子模块，依次完成语音信号的采集捕捉、调制发射与解调还原，为后续监测分析提供稳定的信号输入；</w:t>
      </w:r>
    </w:p>
    <w:p w14:paraId="30826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STM32信号检测与控制系统是整个系统的核心处理单元，承担信号采集、关键指标计算、异常报警触发以及人机交互控制等核心任务，保障系统的实时响应能力；</w:t>
      </w:r>
    </w:p>
    <w:p w14:paraId="567F8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MATLAB信号处理系统作为高精度分析补充，通过TRS接口接收STM32传输的信号数据，开展高精度降噪处理与离线深度分析，提升数据处理的灵活性与精度；</w:t>
      </w:r>
    </w:p>
    <w:p w14:paraId="1D3B2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辅助模块则包含电源管理与人机交互两大子模块，其中电源管理模块可稳定提供3V、3.3V、5V多种电压输出，满足不同元器件的供电需求，人机交互模块通过触摸串口屏实现操作指令输入与数据展示，提升系统易用性。</w:t>
      </w:r>
    </w:p>
    <w:p w14:paraId="5413DE1A">
      <w:pP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29" w:name="heading_4"/>
      <w:bookmarkStart w:id="30" w:name="heading_25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br w:type="page"/>
      </w:r>
    </w:p>
    <w:p w14:paraId="5E4792B6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31" w:name="_Toc1935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t>第2章 市场分析</w:t>
      </w:r>
      <w:bookmarkEnd w:id="29"/>
      <w:bookmarkEnd w:id="31"/>
    </w:p>
    <w:p w14:paraId="62DDE1DA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32" w:name="heading_5"/>
      <w:bookmarkStart w:id="33" w:name="_Toc20297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2.1 市场需求</w:t>
      </w:r>
      <w:bookmarkEnd w:id="32"/>
      <w:bookmarkEnd w:id="33"/>
    </w:p>
    <w:p w14:paraId="0F62E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航空通信监测市场需求呈现多元化、刚性化特征，核心聚焦三大领域，各领域需求场景与痛点明确：</w:t>
      </w:r>
    </w:p>
    <w:p w14:paraId="1E190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34" w:name="_Toc2859"/>
      <w:bookmarkStart w:id="35" w:name="heading_17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2.1.1 通用航空领域需求</w:t>
      </w:r>
      <w:bookmarkEnd w:id="34"/>
      <w:bookmarkEnd w:id="35"/>
    </w:p>
    <w:p w14:paraId="2CA02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我国通用航空企业数量持续增长，中小型航空公司与通航机场预算有限、运维团队规模小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对低成本、易操作的通信质量监测设备需求迫切，用于日常运维与故障排查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保障飞行作业安全。</w:t>
      </w:r>
    </w:p>
    <w:p w14:paraId="725A6B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36" w:name="_Toc22793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2.1.2 航空设备制造领域需求</w:t>
      </w:r>
      <w:bookmarkEnd w:id="36"/>
    </w:p>
    <w:p w14:paraId="3D57C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航空设备厂商研发迭代与出厂检测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sz w:val="24"/>
          <w:szCs w:val="24"/>
        </w:rPr>
        <w:t>需可靠的模拟监测系统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sz w:val="24"/>
          <w:szCs w:val="24"/>
        </w:rPr>
        <w:t>传统设备测试成本高、周期长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而本产品</w:t>
      </w:r>
      <w:r>
        <w:rPr>
          <w:rFonts w:hint="eastAsia" w:ascii="宋体" w:hAnsi="宋体" w:eastAsia="宋体" w:cs="宋体"/>
          <w:sz w:val="24"/>
          <w:szCs w:val="24"/>
        </w:rPr>
        <w:t>可提供精准信噪比、失真度等指标数据的监测设备，为产品性能优化与质量把控提供数据支撑。</w:t>
      </w:r>
    </w:p>
    <w:p w14:paraId="23C12B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37" w:name="_Toc31444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2.1.3 教育科研领域需求</w:t>
      </w:r>
      <w:bookmarkEnd w:id="37"/>
    </w:p>
    <w:p w14:paraId="631F0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航空院校在电子信息工程、通信工程等专业的教学与科研中，缺乏低成本的模拟通信实验平台，难以支撑教学实践与科研项目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需要低成本的模拟通信实验平台，本项目产品兼具实操性与数据精准性的实验设备，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可进行</w:t>
      </w:r>
      <w:r>
        <w:rPr>
          <w:rFonts w:hint="eastAsia" w:ascii="宋体" w:hAnsi="宋体" w:eastAsia="宋体" w:cs="宋体"/>
          <w:sz w:val="24"/>
          <w:szCs w:val="24"/>
        </w:rPr>
        <w:t>通信原理演示、信号分析实践及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作为</w:t>
      </w:r>
      <w:r>
        <w:rPr>
          <w:rFonts w:hint="eastAsia" w:ascii="宋体" w:hAnsi="宋体" w:eastAsia="宋体" w:cs="宋体"/>
          <w:sz w:val="24"/>
          <w:szCs w:val="24"/>
        </w:rPr>
        <w:t>科研实验载体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可满足教学与科研双重需求。</w:t>
      </w:r>
    </w:p>
    <w:bookmarkEnd w:id="30"/>
    <w:p w14:paraId="65602EB5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38" w:name="_Toc878"/>
      <w:bookmarkStart w:id="39" w:name="heading_35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2.2 市场竞争优势</w:t>
      </w:r>
      <w:bookmarkEnd w:id="38"/>
    </w:p>
    <w:p w14:paraId="12A6D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相较于行业同类产品，本项目产品形成四大核心竞争优势，构建差异化市场竞争力：</w:t>
      </w:r>
    </w:p>
    <w:p w14:paraId="43EBD2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40" w:name="_Toc12058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2.2.1 成本优势：极致控本，性价比领先</w:t>
      </w:r>
      <w:bookmarkEnd w:id="40"/>
    </w:p>
    <w:p w14:paraId="51F59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三大措施实现成本优化：一是模块化设计减少冗余元器件，提升物料利用率；二是核心元器件批量采购，通过供应商议价降低单位成本；三是PCB打样选择具备免费额度的专业厂商，节省加工成本。最终实现总成本1354.78元，远低于行业同类设备，快速切入中低端市场。</w:t>
      </w:r>
    </w:p>
    <w:p w14:paraId="3B35C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41" w:name="_Toc27998"/>
      <w:bookmarkStart w:id="42" w:name="heading_22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2.2.2 合规性优势：政策适配，准入门槛低</w:t>
      </w:r>
      <w:bookmarkEnd w:id="41"/>
      <w:bookmarkEnd w:id="42"/>
    </w:p>
    <w:p w14:paraId="0B84B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系统发射功率严格控制在≤10W，完全符合《中华人民共和国无线电管理条例》要求，客户无需额外申请电台执照即可合规使用，大幅降低资质办理成本与时间成本，实现“即买即用”。</w:t>
      </w:r>
    </w:p>
    <w:p w14:paraId="1A818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43" w:name="_Toc31151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2.2.3 技术优势：精准高效，稳定可靠</w:t>
      </w:r>
      <w:bookmarkEnd w:id="43"/>
    </w:p>
    <w:p w14:paraId="11CD2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双路径处理：STM32本地实时处理保障响应速度，MATLAB云端分析保障精度，兼顾不同场景需求；</w:t>
      </w:r>
    </w:p>
    <w:p w14:paraId="3B6D1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抗干扰设计：硬件电路采用磁珠隔离、去耦电容等专业设计，可抵御复杂电磁环境干扰，确保数据精准可靠。</w:t>
      </w:r>
    </w:p>
    <w:p w14:paraId="5D861B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44" w:name="_Toc7825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2.2.4 易用性优势：操作便捷，运维成本低</w:t>
      </w:r>
      <w:bookmarkEnd w:id="44"/>
    </w:p>
    <w:p w14:paraId="03563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配备分辨率≥800×480像素的高分辨率触摸串口屏，操作界面直观简洁，支持本地直接控制与数据查看，无需专业技术人员即可快速上手，降低人员培训成本与现场运维效率。</w:t>
      </w:r>
    </w:p>
    <w:p w14:paraId="0E001EC3">
      <w:pP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br w:type="page"/>
      </w:r>
    </w:p>
    <w:p w14:paraId="4D3BE7BF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45" w:name="_Toc13530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t>第3章 运营计划</w:t>
      </w:r>
      <w:bookmarkEnd w:id="45"/>
    </w:p>
    <w:p w14:paraId="696354C3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46" w:name="heading_26"/>
      <w:bookmarkStart w:id="47" w:name="_Toc31715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3.1 研发流程</w:t>
      </w:r>
      <w:bookmarkEnd w:id="46"/>
      <w:bookmarkEnd w:id="47"/>
    </w:p>
    <w:p w14:paraId="6D741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项目研发遵循“阶段化推进、全流程验证”的核心逻辑，整体规划16周周期，分四大阶段有序开展，确保产品质量与研发效率平衡：</w:t>
      </w:r>
    </w:p>
    <w:p w14:paraId="281D101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8" w:name="heading_27"/>
      <w:bookmarkStart w:id="49" w:name="_Toc32523"/>
      <w:bookmarkStart w:id="50" w:name="_Toc476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①第一阶段：方案论证与详细设计（1-4周）</w:t>
      </w:r>
      <w:bookmarkEnd w:id="48"/>
      <w:bookmarkEnd w:id="49"/>
      <w:bookmarkEnd w:id="50"/>
    </w:p>
    <w:p w14:paraId="4B177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核心任务：完成核心器件选型、系统原理图绘制、洞洞板验证、元器件采购；</w:t>
      </w:r>
    </w:p>
    <w:p w14:paraId="51988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关键措施：通过Multisim平台提前验证原理图可行性，规避设计风险；选择京东电子、立创商城等正规渠道采购元器件，保障物料可靠性。</w:t>
      </w:r>
    </w:p>
    <w:p w14:paraId="20D8FBE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51" w:name="_Toc32330"/>
      <w:bookmarkStart w:id="52" w:name="_Toc19198"/>
      <w:bookmarkStart w:id="53" w:name="heading_2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 第二阶段：分模块开发与算法仿真（5-10周）</w:t>
      </w:r>
      <w:bookmarkEnd w:id="51"/>
      <w:bookmarkEnd w:id="52"/>
      <w:bookmarkEnd w:id="53"/>
    </w:p>
    <w:p w14:paraId="7FF7C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核心任务：推进PCB设计与打样、硬件焊接调试、STM32底层驱动开发、MATLAB信号处理程序开发；</w:t>
      </w:r>
    </w:p>
    <w:p w14:paraId="0A96E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关键措施：各模块并行开发并单独调试，确保单个模块性能达标后再进入集成阶段。</w:t>
      </w:r>
    </w:p>
    <w:p w14:paraId="3BB5841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54" w:name="heading_29"/>
      <w:bookmarkStart w:id="55" w:name="_Toc25620"/>
      <w:bookmarkStart w:id="56" w:name="_Toc315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③第三阶段：子系统实现与初步集成（11-13周）</w:t>
      </w:r>
      <w:bookmarkEnd w:id="54"/>
      <w:bookmarkEnd w:id="55"/>
      <w:bookmarkEnd w:id="56"/>
    </w:p>
    <w:p w14:paraId="4F43A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核心任务：搭建无线收发链路，完成各子系统测试与初步集成；</w:t>
      </w:r>
    </w:p>
    <w:p w14:paraId="3184E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关键措施：重点验证各模块协同工作能力，聚焦核心功能的稳定性与兼容性。</w:t>
      </w:r>
    </w:p>
    <w:p w14:paraId="1100C55E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57" w:name="_Toc22937"/>
      <w:bookmarkStart w:id="58" w:name="heading_30"/>
      <w:bookmarkStart w:id="59" w:name="_Toc1035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④第四阶段：系统联调、优化与总结（14-16周）</w:t>
      </w:r>
      <w:bookmarkEnd w:id="57"/>
      <w:bookmarkEnd w:id="58"/>
      <w:bookmarkEnd w:id="59"/>
    </w:p>
    <w:p w14:paraId="22BC1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核心任务：开展对比测试、参数优化、72小时压力测试，完善产品性能；整理技术文档；</w:t>
      </w:r>
    </w:p>
    <w:p w14:paraId="0A003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关键措施：通过压力测试验证系统长期运行稳定性，形成完整技术文档，为生产与推广提供支撑。</w:t>
      </w:r>
    </w:p>
    <w:p w14:paraId="75135065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60" w:name="_Toc1196"/>
      <w:bookmarkStart w:id="61" w:name="heading_31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3.2 生产计划</w:t>
      </w:r>
      <w:bookmarkEnd w:id="60"/>
      <w:bookmarkEnd w:id="61"/>
    </w:p>
    <w:p w14:paraId="7757A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生产计划围绕“供应链稳定、生产高效、品质可控”三大目标，从供应链管理、生产模式、质量控制三个维度构建全流程体系：</w:t>
      </w:r>
    </w:p>
    <w:p w14:paraId="563E9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62" w:name="heading_32"/>
      <w:bookmarkStart w:id="63" w:name="_Toc11127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3.2.1供应链管理：稳定可控，成本优化</w:t>
      </w:r>
      <w:bookmarkEnd w:id="62"/>
      <w:bookmarkEnd w:id="63"/>
    </w:p>
    <w:p w14:paraId="4D068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采购渠道：核心元器件（STM32F407ZGT6、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陶晶驰串口屏</w:t>
      </w:r>
      <w:r>
        <w:rPr>
          <w:rFonts w:hint="eastAsia" w:ascii="宋体" w:hAnsi="宋体" w:eastAsia="宋体" w:cs="宋体"/>
          <w:sz w:val="24"/>
          <w:szCs w:val="24"/>
        </w:rPr>
        <w:t>等）通过京东电子、立创商城等正规渠道采购，保障品质；</w:t>
      </w:r>
    </w:p>
    <w:p w14:paraId="47415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成本控制：核心元器件批量采购降低单位成本；PCB打样与嘉立创等专业厂商合作，利用免费打板额度节省加工成本。</w:t>
      </w:r>
    </w:p>
    <w:p w14:paraId="4294E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64" w:name="heading_33"/>
      <w:bookmarkStart w:id="65" w:name="_Toc23826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3.2.2 生产模式：灵活适配，风险可控</w:t>
      </w:r>
      <w:bookmarkEnd w:id="64"/>
      <w:bookmarkEnd w:id="65"/>
    </w:p>
    <w:p w14:paraId="696C2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初期模式：采用小批量定制生产，根据订单需求精准组织生产，月产能50-100套；</w:t>
      </w:r>
    </w:p>
    <w:p w14:paraId="3D20D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优势：避免库存积压，降低资金占用，可快速响应客户个性化需求；</w:t>
      </w:r>
    </w:p>
    <w:p w14:paraId="73F2E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长期规划：随着市场需求增长，逐步扩大产能，提升规模化生产效率。</w:t>
      </w:r>
    </w:p>
    <w:p w14:paraId="23940D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66" w:name="heading_34"/>
      <w:bookmarkStart w:id="67" w:name="_Toc3320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3.2.3 质量控制：全流程把关，品质保障</w:t>
      </w:r>
      <w:bookmarkEnd w:id="66"/>
      <w:bookmarkEnd w:id="67"/>
    </w:p>
    <w:p w14:paraId="21CA1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建立“多环节检测、全流程追溯”的质量体系，确保产品合格率≥98%：</w:t>
      </w:r>
    </w:p>
    <w:p w14:paraId="1A760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元器件验收：对采购元器件进行性能测试，剔除不合格品；</w:t>
      </w:r>
    </w:p>
    <w:p w14:paraId="5F0ED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过程检测：PCB焊接后开展电路连通性测试，软件开发后进行算法精度测试；</w:t>
      </w:r>
    </w:p>
    <w:p w14:paraId="1B055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成品测试：系统集成后开展功能完整性测试、稳定性测试，确保交付品质。</w:t>
      </w:r>
    </w:p>
    <w:p w14:paraId="788B2138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68" w:name="_Toc19220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3.3 销售与推广</w:t>
      </w:r>
      <w:bookmarkEnd w:id="39"/>
      <w:bookmarkEnd w:id="68"/>
    </w:p>
    <w:p w14:paraId="2F391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69" w:name="heading_36"/>
      <w:bookmarkStart w:id="70" w:name="_Toc4999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3.3.1 销售渠道：多渠道协同，精准覆盖</w:t>
      </w:r>
      <w:bookmarkEnd w:id="69"/>
      <w:bookmarkEnd w:id="70"/>
    </w:p>
    <w:p w14:paraId="6059E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构建“直接销售+渠道合作+线上推广”的三维销售渠道体系，实现不同客户群体的精准覆盖：</w:t>
      </w:r>
    </w:p>
    <w:p w14:paraId="1A091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直接销售：针对航空设备制造商、大型通航企业等核心企业客户，组建专业销售团队开展一对一洽谈，提供定制化解决方案，提升订单转化率；</w:t>
      </w:r>
    </w:p>
    <w:p w14:paraId="64CF4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渠道合作：与航空设备经销商、教育装备供应商建立长期合作关系，借助其现有市场渠道与客户资源，扩大市场覆盖范围，降低渠道开拓成本；</w:t>
      </w:r>
    </w:p>
    <w:p w14:paraId="5DD97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线上推广：依托航空行业垂直平台（如民航资源网）、学术论坛（如中国航空学会论坛）、社交媒体（如 LinkedIn 行业账号）展示产品功能与案例，吸引科研机构、中小型企业等线上客户。</w:t>
      </w:r>
    </w:p>
    <w:p w14:paraId="67515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71" w:name="heading_37"/>
      <w:bookmarkStart w:id="72" w:name="_Toc11591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3.3.2 推广策略：场景化营销，口碑构建</w:t>
      </w:r>
      <w:bookmarkEnd w:id="71"/>
      <w:bookmarkEnd w:id="72"/>
    </w:p>
    <w:p w14:paraId="445C3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聚焦客户需求场景，通过多元化推广手段提升品牌认知与产品认可度：</w:t>
      </w:r>
    </w:p>
    <w:p w14:paraId="22D51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展会推广：参加中国国际航空航天博览会、全国教育装备展示会等行业展会，现场演示产品功能，与客户面对面沟通，收集潜在需求；</w:t>
      </w:r>
    </w:p>
    <w:p w14:paraId="0B26B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校企合作：与航空院校建立教学合作关系，提供定制化教学实验套装，作为实践教学器材投入使用，通过院校口碑辐射科研领域客户；</w:t>
      </w:r>
    </w:p>
    <w:p w14:paraId="08740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试用体验：针对潜在企业客户推出短期免费试用活动，提供上门安装调试与技术支持，收集使用反馈并快速优化产品，以实际效果打动客户；</w:t>
      </w:r>
    </w:p>
    <w:p w14:paraId="0D96A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案例营销：整理典型客户使用案例（如通航企业运维优化、院校科研实验应用），制作案例手册与视频，通过线上线下渠道传播，增强产品说服力。</w:t>
      </w:r>
    </w:p>
    <w:p w14:paraId="6FD8583E">
      <w:pP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73" w:name="heading_38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br w:type="page"/>
      </w:r>
    </w:p>
    <w:p w14:paraId="7C98C23C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74" w:name="_Toc21617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t>第4章 财务计划</w:t>
      </w:r>
      <w:bookmarkEnd w:id="73"/>
      <w:bookmarkEnd w:id="74"/>
    </w:p>
    <w:p w14:paraId="4F81BF16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75" w:name="heading_39"/>
      <w:bookmarkStart w:id="76" w:name="_Toc22696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4.1 成本预算</w:t>
      </w:r>
      <w:bookmarkEnd w:id="75"/>
      <w:bookmarkEnd w:id="76"/>
    </w:p>
    <w:p w14:paraId="78B676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77" w:name="_Toc6675"/>
      <w:bookmarkStart w:id="78" w:name="heading_40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4.1.1初期总投资与成本构成</w:t>
      </w:r>
      <w:bookmarkEnd w:id="77"/>
      <w:bookmarkEnd w:id="78"/>
    </w:p>
    <w:p w14:paraId="29F0D429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初期投资与成本构成</w:t>
      </w:r>
    </w:p>
    <w:tbl>
      <w:tblPr>
        <w:tblStyle w:val="8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3"/>
        <w:gridCol w:w="2753"/>
        <w:gridCol w:w="2753"/>
      </w:tblGrid>
      <w:tr w14:paraId="72CC4A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6" w:hRule="atLeast"/>
          <w:jc w:val="center"/>
        </w:trPr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8DCC2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成本类型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C63AC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金额（元）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6034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占比</w:t>
            </w:r>
          </w:p>
        </w:tc>
      </w:tr>
      <w:tr w14:paraId="74E61B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6" w:hRule="atLeast"/>
          <w:jc w:val="center"/>
        </w:trPr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46B685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外购部件成本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A53B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1142.58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E2C2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84.3%</w:t>
            </w:r>
          </w:p>
        </w:tc>
      </w:tr>
      <w:tr w14:paraId="785935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6" w:hRule="atLeast"/>
          <w:jc w:val="center"/>
        </w:trPr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F3710B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外协加工成本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9425D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51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2A54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3.8%</w:t>
            </w:r>
          </w:p>
        </w:tc>
      </w:tr>
      <w:tr w14:paraId="2BF96A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6" w:hRule="atLeast"/>
          <w:jc w:val="center"/>
        </w:trPr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C3B1C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项目管理成本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4246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161.2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26E69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11.9%</w:t>
            </w:r>
          </w:p>
        </w:tc>
      </w:tr>
      <w:tr w14:paraId="24A65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2" w:hRule="atLeast"/>
          <w:jc w:val="center"/>
        </w:trPr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0FFD6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合计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0E948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1354.78</w:t>
            </w:r>
          </w:p>
        </w:tc>
        <w:tc>
          <w:tcPr>
            <w:tcW w:w="275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0B480">
            <w:pPr>
              <w:spacing w:before="120" w:after="120" w:line="288" w:lineRule="auto"/>
              <w:ind w:lef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100%</w:t>
            </w:r>
          </w:p>
        </w:tc>
      </w:tr>
    </w:tbl>
    <w:p w14:paraId="52422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12EB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项目初期总投资预算3047.2元，实际决算成本1354.78元，成本控制成效显著，具体构成如下：</w:t>
      </w:r>
    </w:p>
    <w:p w14:paraId="42720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外购部件成本：1142.58元，占比84.3%，涵盖STM32核心板、音频放大器、触摸屏、电源模块、连接器等核心元器件；</w:t>
      </w:r>
    </w:p>
    <w:p w14:paraId="058F2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外协加工成本：51元，占比3.8%，主要为铝合金工具箱采购费用（PCB打样利用厂商免费额度，未产生额外成本）；</w:t>
      </w:r>
    </w:p>
    <w:p w14:paraId="493C4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项目管理成本：161.2元，占比11.9%，包括报告打印、海报制作、会议沟通等前期筹备费用。</w:t>
      </w:r>
    </w:p>
    <w:p w14:paraId="6B7B0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79" w:name="heading_41"/>
      <w:bookmarkStart w:id="80" w:name="_Toc31247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4.1.2 单位生产成本规划</w:t>
      </w:r>
      <w:bookmarkEnd w:id="79"/>
      <w:bookmarkEnd w:id="80"/>
    </w:p>
    <w:p w14:paraId="0EB99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批量生产后，通过规模效应进一步优化成本：一方面核心元器件批量采购量提升，单位采购成本可降低10%-15%；另一方面生产流程优化，减少人工与物料损耗，最终单位生产成本可控制在1200元以内，为高毛利率奠定基础。</w:t>
      </w:r>
    </w:p>
    <w:p w14:paraId="266FF0FA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81" w:name="_Toc531"/>
      <w:bookmarkStart w:id="82" w:name="heading_42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4.2 收入预测</w:t>
      </w:r>
      <w:bookmarkEnd w:id="81"/>
      <w:bookmarkEnd w:id="82"/>
    </w:p>
    <w:p w14:paraId="62801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83" w:name="heading_43"/>
      <w:bookmarkStart w:id="84" w:name="_Toc29711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4.2.1 差异化定价策略</w:t>
      </w:r>
      <w:bookmarkEnd w:id="83"/>
      <w:bookmarkEnd w:id="84"/>
    </w:p>
    <w:p w14:paraId="451AA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结合市场同类产品价格、自身成本优势及客户付费能力，制定差异化定价体系：</w:t>
      </w:r>
    </w:p>
    <w:p w14:paraId="2878C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企业客户定价：3500-4500元/套，针对通用航空企业、航空设备制造商等付费能力较强的客户，提供全功能套餐与定制化服务；</w:t>
      </w:r>
    </w:p>
    <w:p w14:paraId="6B11C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院校科研客户定价：2800-3500元/套，针对航空院校等预算敏感型客户，提供基础功能套餐与教学适配服务，提升市场渗透率。</w:t>
      </w:r>
    </w:p>
    <w:p w14:paraId="5CECD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85" w:name="heading_44"/>
      <w:bookmarkStart w:id="86" w:name="_Toc14898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4.2.2 分阶段销量与收入预测</w:t>
      </w:r>
      <w:bookmarkEnd w:id="85"/>
      <w:bookmarkEnd w:id="86"/>
    </w:p>
    <w:p w14:paraId="2BC2F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基于市场拓展节奏与品牌建设周期，分三年制定销量与收入目标，逐步实现规模化盈利：</w:t>
      </w:r>
    </w:p>
    <w:p w14:paraId="6EB44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第一年度：市场导入期，目标销量300套，预计销售收入90万元，毛利率≥60%；核心任务是完成产品定型，建立初步销售渠道，积累种子客户；</w:t>
      </w:r>
    </w:p>
    <w:p w14:paraId="7AC36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第二年度：市场拓展期，目标销量800套，预计销售收入240万元，毛利率≥65%；核心任务是扩大渠道覆盖，提升品牌认知，实现销量快速增长；</w:t>
      </w:r>
    </w:p>
    <w:p w14:paraId="17CBB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第三年度：市场成熟期，目标销量1500套，预计销售收入450万元，毛利率≥70%；核心任务是形成品牌效应，优化供应链与销售体系，提升盈利水平。</w:t>
      </w:r>
    </w:p>
    <w:p w14:paraId="6A98A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87" w:name="heading_45"/>
      <w:bookmarkStart w:id="88" w:name="_Toc9463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4.2.3 分阶段盈利预测</w:t>
      </w:r>
      <w:bookmarkEnd w:id="87"/>
      <w:bookmarkEnd w:id="88"/>
    </w:p>
    <w:p w14:paraId="204F0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盈利预测基于销量增长、毛利率提升及费用优化，具体如下：</w:t>
      </w:r>
    </w:p>
    <w:p w14:paraId="77D30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第一年度：扣除生产成本（36万元）、销售费用（15万元）、管理费用（9万元）后，预计净利润30万元；</w:t>
      </w:r>
    </w:p>
    <w:p w14:paraId="79F22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第二年度：规模效应凸显，生产成本（96万元）、销售费用（40万元）、管理费用（24万元）占比下降，预计净利润80万元；</w:t>
      </w:r>
    </w:p>
    <w:p w14:paraId="67A68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第三年度：供应链优化进一步降低成本，销售渠道成熟降低渠道费用，预计净利润180万元，盈利能力显著提升。</w:t>
      </w:r>
    </w:p>
    <w:p w14:paraId="4E438B52">
      <w:pPr>
        <w:pStyle w:val="2"/>
        <w:jc w:val="center"/>
        <w:rPr>
          <w:rFonts w:hint="default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分阶段盈利预测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641A1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B063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年度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8B0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销量（套）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F9C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销售收入（万元）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D78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生产成本（万元）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0428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销售费用（万元）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C8C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管理费用（万元）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2B58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净利润（万元）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CF37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毛利率</w:t>
            </w:r>
          </w:p>
        </w:tc>
      </w:tr>
      <w:tr w14:paraId="4315EE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19" w:hRule="atLeast"/>
        </w:trPr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F81E6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第一年度（市场导入期）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8A91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22D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0409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0CD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669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8CA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2F50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≥60%</w:t>
            </w:r>
          </w:p>
        </w:tc>
      </w:tr>
      <w:tr w14:paraId="03C56E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7140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第二年度（市场拓展期）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964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F784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240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EC63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96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BD34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848E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229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B961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≥65%</w:t>
            </w:r>
          </w:p>
        </w:tc>
      </w:tr>
      <w:tr w14:paraId="0AE3FA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BF2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第三年度（市场成熟期）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7E0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1500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DF84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450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08D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180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7BF00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BC89F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2A7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180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96C4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≥70%</w:t>
            </w:r>
          </w:p>
        </w:tc>
      </w:tr>
    </w:tbl>
    <w:p w14:paraId="0379DC14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89" w:name="heading_46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br w:type="page"/>
      </w:r>
      <w:bookmarkStart w:id="90" w:name="_Toc14538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t>第5章 项目融资需求</w:t>
      </w:r>
      <w:bookmarkEnd w:id="90"/>
    </w:p>
    <w:p w14:paraId="0BE66EE4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91" w:name="_Toc7643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5.1 融资需求测算</w:t>
      </w:r>
      <w:bookmarkEnd w:id="91"/>
    </w:p>
    <w:p w14:paraId="7518D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结合项目短期商业化落地与中期市场拓展目标，综合考虑研发迭代、产能建设、市场推广、运营储备等核心环节资金需求，经精准测算，本项目拟融资500万元，融资期限3年。资金需求明细如下表所示：</w:t>
      </w:r>
    </w:p>
    <w:p w14:paraId="1D65C737">
      <w:pPr>
        <w:pStyle w:val="2"/>
        <w:jc w:val="center"/>
        <w:rPr>
          <w:rFonts w:hint="default" w:eastAsia="黑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资金需求明细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1587"/>
        <w:gridCol w:w="1127"/>
        <w:gridCol w:w="3715"/>
      </w:tblGrid>
      <w:tr w14:paraId="3012AA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CD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资金用途</w:t>
            </w:r>
          </w:p>
        </w:tc>
        <w:tc>
          <w:tcPr>
            <w:tcW w:w="1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C61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金额（万元）</w:t>
            </w: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C6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占比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A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具体说明</w:t>
            </w:r>
          </w:p>
        </w:tc>
      </w:tr>
      <w:tr w14:paraId="5DD310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03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研发迭代资金</w:t>
            </w:r>
          </w:p>
        </w:tc>
        <w:tc>
          <w:tcPr>
            <w:tcW w:w="1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61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</w:t>
            </w: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BEE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24%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83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用于产品功能升级（远程数据传输、多链路监测等）、核心算法优化、可靠性测试及技术文档完善，保障产品技术领先性</w:t>
            </w:r>
          </w:p>
        </w:tc>
      </w:tr>
      <w:tr w14:paraId="2E2101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99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产能建设资金</w:t>
            </w:r>
          </w:p>
        </w:tc>
        <w:tc>
          <w:tcPr>
            <w:tcW w:w="1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8F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</w:t>
            </w: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76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D9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用于标准化生产线搭建、生产设备采购、核心元器件批量储备（3-6个月安全库存）及生产流程优化，支撑月产能提升至200套</w:t>
            </w:r>
          </w:p>
        </w:tc>
      </w:tr>
      <w:tr w14:paraId="006AE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55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市场推广资金</w:t>
            </w:r>
          </w:p>
        </w:tc>
        <w:tc>
          <w:tcPr>
            <w:tcW w:w="1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EF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130</w:t>
            </w: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78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26%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64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涵盖行业展会参展、校企合作推广、线上平台运营、销售团队组建与培训、案例营销物料制作等，快速扩大市场覆盖</w:t>
            </w:r>
          </w:p>
        </w:tc>
      </w:tr>
      <w:tr w14:paraId="7CB5E4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68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运营储备资金</w:t>
            </w:r>
          </w:p>
        </w:tc>
        <w:tc>
          <w:tcPr>
            <w:tcW w:w="1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4B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EB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20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用于日常运营管理、供应链应急保障、客户服务体系搭建及不可预见风险应对，保障项目持续稳定推进</w:t>
            </w:r>
          </w:p>
        </w:tc>
      </w:tr>
      <w:tr w14:paraId="69AFDE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0A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合计</w:t>
            </w:r>
          </w:p>
        </w:tc>
        <w:tc>
          <w:tcPr>
            <w:tcW w:w="158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61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11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9E5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37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3B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7CF3BB4E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92" w:name="_Toc30271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5.2 融资方案设计</w:t>
      </w:r>
      <w:bookmarkEnd w:id="92"/>
    </w:p>
    <w:p w14:paraId="119B7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本次融资采用“股权融资+债权融资”的组合模式，兼顾资金稳定性与融资成本控制，具体方案如下：</w:t>
      </w:r>
    </w:p>
    <w:p w14:paraId="07802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股权融资：拟出让10%股权，融资300万元。优先引入航空行业产业链资本、科技创业投资机构及高校产学研合作基金，不仅获取资金支持，同时借助投资方的行业资源、技术资源与渠道资源，助力产品推广与技术升级。股权融资后，项目估值可达3000万元，对应第一年度预计净利润30万元，市盈率100倍，符合科技型初创企业估值逻辑。</w:t>
      </w:r>
    </w:p>
    <w:p w14:paraId="7C110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债权融资：拟通过银行科技型企业信用贷款融资200万元，期限3年，年利率参考同期LPR加点50个基点（预计4.5%-5%）。还款计划采用“等额本息”方式，从第二年度开始还款，利用项目盈利资金逐步偿还，降低初期资金压力。同时，依托高校科研项目背书与核心技术知识产权，提升债权融资获批概率。</w:t>
      </w:r>
    </w:p>
    <w:p w14:paraId="480D9CE9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93" w:name="_Toc23232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5.3 投资回报与退出机制</w:t>
      </w:r>
      <w:bookmarkEnd w:id="93"/>
    </w:p>
    <w:p w14:paraId="0DD0B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为保障投资方利益，结合项目盈利预测与行业发展规律，设计多元化投资回报与退出路径，具体如下：</w:t>
      </w:r>
    </w:p>
    <w:p w14:paraId="5D3CF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94" w:name="_Toc5861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5.3.1 投资回报测算</w:t>
      </w:r>
      <w:bookmarkEnd w:id="94"/>
    </w:p>
    <w:p w14:paraId="5EC30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分红回报：从第二年度开始，在保证项目持续发展资金需求的前提下，按净利润的30%-50%进行分红。预计第二年度分红24-40万元，第三年度分红54-90万元，股权投资方对应可获得2.4-4万元、5.4-9万元分红回报。</w:t>
      </w:r>
    </w:p>
    <w:p w14:paraId="45F02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估值增值：随着项目市场份额提升与盈利能力增强，预计第三年度末项目估值可达1.5亿元（对应净利润180万元，市盈率83倍），股权投资方所持10%股权估值可达1500万元，较初始投资300万元实现5倍增值。</w:t>
      </w:r>
    </w:p>
    <w:p w14:paraId="592AE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95" w:name="_Toc19819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 xml:space="preserve">5.3.2 </w:t>
      </w:r>
      <w:r>
        <w:rPr>
          <w:rFonts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退出机制设计</w:t>
      </w:r>
      <w:bookmarkEnd w:id="95"/>
    </w:p>
    <w:p w14:paraId="34B00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股权转让退出：第三年度末，待项目实现规模化盈利与估值提升后，股权投资方可通过向行业龙头企业、大型投资机构转让股权实现退出，预计退出收益率不低于400%。</w:t>
      </w:r>
    </w:p>
    <w:p w14:paraId="362B3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公司回购退出：若第三年度末项目未达到预期估值，约定由项目公司按“初始投资+同期LPR×1.5×投资年限”的价格回购股权，保障投资方本金与合理收益。</w:t>
      </w:r>
    </w:p>
    <w:p w14:paraId="72AFB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IPO/挂牌退出：长期来看，若项目实现行业领先地位，将启动创业板或北交所IPO筹备工作，投资方可通过资本市场公开交易实现退出，获取更高估值回报。</w:t>
      </w:r>
    </w:p>
    <w:p w14:paraId="120FE08A">
      <w:pP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br w:type="page"/>
      </w:r>
    </w:p>
    <w:p w14:paraId="5936649D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96" w:name="_Toc12588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t>第6章 团队介绍</w:t>
      </w:r>
      <w:bookmarkEnd w:id="89"/>
      <w:bookmarkEnd w:id="96"/>
    </w:p>
    <w:p w14:paraId="597F9CEC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97" w:name="_Toc22368"/>
      <w:bookmarkStart w:id="98" w:name="heading_47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6.1 核心成员</w:t>
      </w:r>
      <w:bookmarkEnd w:id="97"/>
      <w:bookmarkEnd w:id="98"/>
    </w:p>
    <w:p w14:paraId="4413B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9" w:name="heading_48"/>
      <w:r>
        <w:rPr>
          <w:rFonts w:hint="eastAsia" w:ascii="宋体" w:hAnsi="宋体" w:eastAsia="宋体" w:cs="宋体"/>
          <w:sz w:val="24"/>
          <w:szCs w:val="24"/>
        </w:rPr>
        <w:t>核心团队由4名专业成员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与1名非专业成员</w:t>
      </w:r>
      <w:r>
        <w:rPr>
          <w:rFonts w:hint="eastAsia" w:ascii="宋体" w:hAnsi="宋体" w:eastAsia="宋体" w:cs="宋体"/>
          <w:sz w:val="24"/>
          <w:szCs w:val="24"/>
        </w:rPr>
        <w:t>组成，分工明确、优势互补，覆盖软件开发、硬件设计、调试测试、文献调研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运营预测</w:t>
      </w:r>
      <w:r>
        <w:rPr>
          <w:rFonts w:hint="eastAsia" w:ascii="宋体" w:hAnsi="宋体" w:eastAsia="宋体" w:cs="宋体"/>
          <w:sz w:val="24"/>
          <w:szCs w:val="24"/>
        </w:rPr>
        <w:t>全流程，具备扎实的技术能力与项目执行能力：</w:t>
      </w:r>
    </w:p>
    <w:p w14:paraId="7F084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胡伟畅（软件负责人）：核心职责包括STM32底层驱动开发、DSP库调用程序开发、系统集成与串口屏控制程序编写；具备丰富的嵌入式编程经验，熟练掌握C语言、嵌入式系统开发工具，主导软件模块的全流程开发与优化。</w:t>
      </w:r>
    </w:p>
    <w:p w14:paraId="2240D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郝成城（硬件负责人）：核心职责涵盖系统原理图设计、PCB版图绘制、MATLAB信号处理程序开发与硬件调试；精通硬件电路设计原理与信号处理技术，熟练使用Altium Designer、MATLAB等工具，保障硬件系统的稳定性与兼容性。</w:t>
      </w:r>
    </w:p>
    <w:p w14:paraId="26327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丰国庆（调试负责人）：核心职责为利用Multisim平台验证原理图可行性、搭建洞洞板验证环境、开展硬件模块调试；擅长电路测试与问题排查，具备敏锐的故障识别能力，为硬件系统优化提供数据支撑。</w:t>
      </w:r>
    </w:p>
    <w:p w14:paraId="42AC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刘相炜（文献与辅助负责人）：核心职责包括检索行业技术文献、协助硬件调试与数据记录、撰写项目报告与文档整理；具备扎实的文献调研能力与文字功底，保障项目技术路线的先进性与文档的完整性。</w:t>
      </w:r>
    </w:p>
    <w:p w14:paraId="04856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李竺韵（商业计划书负责人）：核心职责为撰写商业计划书，进行产品收入预测与风险分析，给出应对措施，保障项目的可实现性。</w:t>
      </w:r>
    </w:p>
    <w:p w14:paraId="0C1756E8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100" w:name="_Toc31246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6.2 指导团队</w:t>
      </w:r>
      <w:bookmarkEnd w:id="99"/>
      <w:bookmarkEnd w:id="100"/>
    </w:p>
    <w:p w14:paraId="5C58F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由中国民航大学刘丹、黄建宇等老师组成指导团队，提供航空通信领域的技术指导与行业资源支持，保障项目技术路线的可行性与先进性。</w:t>
      </w:r>
    </w:p>
    <w:p w14:paraId="0C070454">
      <w:pP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101" w:name="heading_49"/>
      <w:bookmarkStart w:id="102" w:name="heading_59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br w:type="page"/>
      </w:r>
    </w:p>
    <w:p w14:paraId="1309097F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103" w:name="_Toc29967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t>第7章 风险分析与应对措施</w:t>
      </w:r>
      <w:bookmarkEnd w:id="101"/>
      <w:bookmarkEnd w:id="103"/>
    </w:p>
    <w:p w14:paraId="1B3191C2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104" w:name="heading_50"/>
      <w:bookmarkStart w:id="105" w:name="_Toc12824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7..1 技术风险</w:t>
      </w:r>
      <w:bookmarkEnd w:id="104"/>
      <w:bookmarkEnd w:id="105"/>
    </w:p>
    <w:p w14:paraId="38A0B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技术风险主要源于核心元器件供应波动、技术迭代冲击及模块兼容性问题，具体风险与应对措施如下：</w:t>
      </w:r>
    </w:p>
    <w:p w14:paraId="51BFA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06" w:name="_Toc11082"/>
      <w:bookmarkStart w:id="107" w:name="heading_51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7.1.1 核心风险描述</w:t>
      </w:r>
      <w:bookmarkEnd w:id="106"/>
      <w:bookmarkEnd w:id="107"/>
    </w:p>
    <w:p w14:paraId="635D1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供应链风险：核心元器件（如STM32芯片）受市场供需影响，可能出现价格波动、供应短缺，影响生产进度与成本控制；</w:t>
      </w:r>
    </w:p>
    <w:p w14:paraId="0A2C4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技术迭代风险：航空通信技术快速发展，若行业出现新型监测技术或替代产品，可能导致本产品竞争力下降；</w:t>
      </w:r>
    </w:p>
    <w:p w14:paraId="5630D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兼容性风险：硬件调试过程中，不同模块间可能出现兼容性问题，影响系统整体性能。</w:t>
      </w:r>
    </w:p>
    <w:p w14:paraId="6213A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08" w:name="heading_52"/>
      <w:bookmarkStart w:id="109" w:name="_Toc16256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7.1.2 针对性应对措施</w:t>
      </w:r>
      <w:bookmarkEnd w:id="108"/>
      <w:bookmarkEnd w:id="109"/>
    </w:p>
    <w:p w14:paraId="0CBBA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供应链保障：与核心元器件供应商签订长期合作协议，锁定价格与供应份额；建立备用供应商名录，避免单一依赖；预留3-6个月的核心元器件安全库存，应对短期供应短缺；</w:t>
      </w:r>
    </w:p>
    <w:p w14:paraId="3432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技术迭代应对：建立技术研发跟踪机制，定期关注行业技术动态；预留研发资金，持续优化算法与硬件设计，保持产品技术先进性；加强产学研合作，借助高校科研资源推动技术创新；</w:t>
      </w:r>
    </w:p>
    <w:p w14:paraId="615E6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兼容性管控：在研发初期开展模块兼容性仿真测试，提前规避风险；分阶段进行模块集成测试，及时发现并解决兼容性问题；建立模块标准化设计规范，提升兼容性。</w:t>
      </w:r>
    </w:p>
    <w:p w14:paraId="26334495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110" w:name="heading_53"/>
      <w:bookmarkStart w:id="111" w:name="_Toc4462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7.2 市场风险</w:t>
      </w:r>
      <w:bookmarkEnd w:id="110"/>
      <w:bookmarkEnd w:id="111"/>
    </w:p>
    <w:p w14:paraId="5197C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市场风险主要集中在价格竞争与市场认可度不足，具体风险与应对措施如下：</w:t>
      </w:r>
    </w:p>
    <w:p w14:paraId="74C517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12" w:name="_Toc1572"/>
      <w:bookmarkStart w:id="113" w:name="heading_54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7.2.1 核心风险描述</w:t>
      </w:r>
      <w:bookmarkEnd w:id="112"/>
      <w:bookmarkEnd w:id="113"/>
    </w:p>
    <w:p w14:paraId="31F43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价格竞争风险：行业巨头可能凭借规模优势进入低端市场，采取低价策略挤压市场空间，影响本项目产品的价格竞争力；</w:t>
      </w:r>
    </w:p>
    <w:p w14:paraId="0C8FD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市场认可风险：客户对新产品存在信任顾虑，可能导致市场推广进度不及预期，销量难以达到目标。</w:t>
      </w:r>
    </w:p>
    <w:p w14:paraId="74F8C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14" w:name="heading_55"/>
      <w:bookmarkStart w:id="115" w:name="_Toc26095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7.2.2 针对性应对措施</w:t>
      </w:r>
      <w:bookmarkEnd w:id="114"/>
      <w:bookmarkEnd w:id="115"/>
    </w:p>
    <w:p w14:paraId="0AB70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强化成本优势：进一步优化供应链管理，提升规模化生产效率，降低单位成本，保持价格竞争力；聚焦细分市场，打造差异化产品功能，避免与巨头直接价格竞争；</w:t>
      </w:r>
    </w:p>
    <w:p w14:paraId="1D5C6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升市场认可度：加大产品演示与试用推广力度，通过实际效果打动客户；收集早期客户案例，开展案例营销，增强产品说服力；与行业协会、院校建立合作，借助其公信力提升品牌信任度；建立快速反馈机制，根据客户需求优化产品，提升用户体验。</w:t>
      </w:r>
    </w:p>
    <w:p w14:paraId="0246557E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116" w:name="heading_56"/>
      <w:bookmarkStart w:id="117" w:name="_Toc21620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7.3 运营风险</w:t>
      </w:r>
      <w:bookmarkEnd w:id="116"/>
      <w:bookmarkEnd w:id="117"/>
    </w:p>
    <w:p w14:paraId="45B37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运营风险主要涉及生产交付与销售转化，具体风险与应对措施如下：</w:t>
      </w:r>
    </w:p>
    <w:p w14:paraId="47D02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18" w:name="heading_57"/>
      <w:bookmarkStart w:id="119" w:name="_Toc18469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7.3.1 核心风险描述</w:t>
      </w:r>
      <w:bookmarkEnd w:id="118"/>
      <w:bookmarkEnd w:id="119"/>
    </w:p>
    <w:p w14:paraId="5F28A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生产交付风险：PCB打样、元器件采购等环节可能出现延期，或生产过程中出现质量问题，影响产品交付进度；</w:t>
      </w:r>
    </w:p>
    <w:p w14:paraId="1D072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销售转化风险：销售团队经验不足，对行业需求与产品优势把握不精准，导致订单转化效率低。</w:t>
      </w:r>
    </w:p>
    <w:p w14:paraId="0E7A0B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9" w:lineRule="auto"/>
        <w:jc w:val="left"/>
        <w:textAlignment w:val="auto"/>
        <w:outlineLvl w:val="2"/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</w:pPr>
      <w:bookmarkStart w:id="120" w:name="heading_58"/>
      <w:bookmarkStart w:id="121" w:name="_Toc13443"/>
      <w:r>
        <w:rPr>
          <w:rFonts w:hint="eastAsia" w:ascii="Times New Roman" w:hAnsi="Times New Roman" w:eastAsia="黑体"/>
          <w:kern w:val="2"/>
          <w:sz w:val="24"/>
          <w:szCs w:val="22"/>
          <w:lang w:val="en-US" w:eastAsia="zh-CN" w:bidi="ar-SA"/>
          <w14:ligatures w14:val="standardContextual"/>
        </w:rPr>
        <w:t>7.3.2 针对性应对措施</w:t>
      </w:r>
      <w:bookmarkEnd w:id="120"/>
      <w:bookmarkEnd w:id="121"/>
    </w:p>
    <w:p w14:paraId="27701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障生产交付：选择口碑良好、产能稳定的外协厂商，提前3-4周提交生产需求，预留缓冲时间；建立严格的质量检测流程，加强生产过程管控，及时发现并解决质量问题；建立生产进度跟踪机制，定期排查潜在延期风险；</w:t>
      </w:r>
    </w:p>
    <w:p w14:paraId="77EB9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升销售转化：对销售团队开展系统培训，涵盖产品知识、行业需求、沟通技巧等内容；制定销售激励机制，提升团队积极性；建立销售话术手册与案例库，辅助销售团队精准推介产品；建立客户反馈机制，及时解决销售过程中的疑问与问题。</w:t>
      </w:r>
    </w:p>
    <w:p w14:paraId="4367CEDA">
      <w:pP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br w:type="page"/>
      </w:r>
    </w:p>
    <w:p w14:paraId="20805E9F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122" w:name="_Toc18821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t>第8章 发展规划</w:t>
      </w:r>
      <w:bookmarkEnd w:id="102"/>
      <w:bookmarkEnd w:id="122"/>
    </w:p>
    <w:p w14:paraId="438D84EC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123" w:name="heading_23"/>
      <w:bookmarkStart w:id="124" w:name="_Toc10972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8.1 短期规划（1-2年）</w:t>
      </w:r>
      <w:bookmarkEnd w:id="123"/>
      <w:bookmarkEnd w:id="124"/>
    </w:p>
    <w:p w14:paraId="3A902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聚焦产品定型、市场导入与基础能力建设，目标为1-2年内完成商业化落地，具体任务如下：</w:t>
      </w:r>
    </w:p>
    <w:p w14:paraId="64667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完成产品定型与规模化生产，建立稳定的供应链与销售渠道。</w:t>
      </w:r>
    </w:p>
    <w:p w14:paraId="6F7A0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实现年销量800套以上，覆盖国内10个以上省份的客户，建立初步品牌认知。</w:t>
      </w:r>
    </w:p>
    <w:p w14:paraId="5F87C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持续优化产品性能，拓展产品功能，如增加远程数据传输、多链路同时监测等功能。</w:t>
      </w:r>
    </w:p>
    <w:p w14:paraId="597319C2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125" w:name="_Toc22961"/>
      <w:bookmarkStart w:id="126" w:name="heading_24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8.2 中期规划（3-5年）</w:t>
      </w:r>
      <w:bookmarkEnd w:id="125"/>
      <w:bookmarkEnd w:id="126"/>
    </w:p>
    <w:p w14:paraId="2A00B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聚焦市场份额提升与品牌建设，目标为3-5年内成为细分领域领先品牌，具体任务如下：</w:t>
      </w:r>
    </w:p>
    <w:p w14:paraId="1AC9A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扩大市场份额，成为中小型航空企业与科研院校通信质量监测设备的首选品牌。</w:t>
      </w:r>
    </w:p>
    <w:p w14:paraId="6B207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拓展国际市场，针对东南亚、南美等通用航空发展较快的地区进行市场布局。</w:t>
      </w:r>
    </w:p>
    <w:p w14:paraId="28827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推出系列化产品，涵盖高、中、低端市场，满足不同客户的个性化需求。</w:t>
      </w:r>
    </w:p>
    <w:p w14:paraId="448390F0">
      <w:pPr>
        <w:pStyle w:val="12"/>
        <w:jc w:val="left"/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</w:pPr>
      <w:bookmarkStart w:id="127" w:name="_Toc30929"/>
      <w:r>
        <w:rPr>
          <w:rFonts w:hint="eastAsia" w:ascii="Times New Roman" w:hAnsi="Times New Roman"/>
          <w:kern w:val="2"/>
          <w:lang w:val="en-US" w:eastAsia="zh-CN" w:bidi="ar-SA"/>
          <w14:ligatures w14:val="standardContextual"/>
        </w:rPr>
        <w:t>8.3 长期规划（5年以上）</w:t>
      </w:r>
      <w:bookmarkEnd w:id="127"/>
    </w:p>
    <w:p w14:paraId="6E4C1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聚焦行业引领与业务拓展，目标为5年以上成为航空通信监测领域的领军企业，具体任务如下：</w:t>
      </w:r>
    </w:p>
    <w:p w14:paraId="5860B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成为航空通信监测领域的领先企业，具备核心技术自主研发与持续创新能力。</w:t>
      </w:r>
    </w:p>
    <w:p w14:paraId="3E24C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拓展业务边界，进入航空通信系统整体解决方案领域，提供监测、维护、优化一体化服务。</w:t>
      </w:r>
    </w:p>
    <w:p w14:paraId="739F4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加强产学研合作，推动技术成果转化，引领行业技术发展方向。</w:t>
      </w:r>
    </w:p>
    <w:p w14:paraId="4F6ACA57">
      <w:pP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128" w:name="heading_60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br w:type="page"/>
      </w:r>
    </w:p>
    <w:p w14:paraId="365B9B17">
      <w:pPr>
        <w:spacing w:before="360" w:after="600" w:line="400" w:lineRule="exact"/>
        <w:jc w:val="center"/>
        <w:outlineLvl w:val="0"/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</w:pPr>
      <w:bookmarkStart w:id="129" w:name="_Toc27655"/>
      <w:r>
        <w:rPr>
          <w:rFonts w:hint="eastAsia" w:ascii="Times New Roman" w:hAnsi="Times New Roman" w:eastAsia="黑体"/>
          <w:kern w:val="2"/>
          <w:sz w:val="32"/>
          <w:szCs w:val="32"/>
          <w:lang w:val="en-US" w:eastAsia="zh-CN" w:bidi="ar-SA"/>
          <w14:ligatures w14:val="standardContextual"/>
        </w:rPr>
        <w:t>第9章 结论</w:t>
      </w:r>
      <w:bookmarkEnd w:id="128"/>
      <w:bookmarkEnd w:id="129"/>
    </w:p>
    <w:p w14:paraId="1B7F5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本项目精准锚定航空通信监测领域中低端市场的刚性需求，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具体表现如下：</w:t>
      </w:r>
    </w:p>
    <w:p w14:paraId="34737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产品价值：通过低成本、高可靠、合规性强的产品设计，填补了中小型航空企业与科研院校的市场空白，为航空通信安全提供了普惠化解决方案，行业价值显著；</w:t>
      </w:r>
    </w:p>
    <w:p w14:paraId="6A56C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团队能力：核心团队分工明确、技术扎实，搭配专业的高校指导团队，具备产品研发与项目执行的核心能力；</w:t>
      </w:r>
    </w:p>
    <w:p w14:paraId="6D87E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商业可行性：运营计划涵盖研发、生产、销售全流程，逻辑严谨、措施具体；财务预测基于合理的销量与定价假设，盈利前景良好；风险识别全面，应对措施针对性强，风险可控；</w:t>
      </w:r>
    </w:p>
    <w:p w14:paraId="7204E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发展潜力：通过短期定型落地、中期市场拓展、长期生态构建的分阶段规划，项目有望逐步实现规模化盈利，最终成长为航空通信监测领域的领先企业，为航空安全与行业发展贡献核心力量。</w:t>
      </w:r>
    </w:p>
    <w:p w14:paraId="3DB4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综上所述，本产品</w:t>
      </w:r>
      <w:r>
        <w:rPr>
          <w:rFonts w:hint="eastAsia" w:ascii="宋体" w:hAnsi="宋体" w:eastAsia="宋体" w:cs="宋体"/>
          <w:sz w:val="24"/>
          <w:szCs w:val="24"/>
        </w:rPr>
        <w:t>凭借低成本、高可靠性、合规性强的核心优势，具备广阔的市场前景与商业价值。项目团队技术实力扎实，研发流程规范，运营计划可行，风险可控。通过精准的市场定位、有效的推广策略与持续的技术迭代，项目有望在短期内实现盈利，长期发展为行业领先的航空通信监测解决方案提供商，为航空安全与行业发展贡献力量。</w:t>
      </w:r>
    </w:p>
    <w:sectPr>
      <w:footerReference r:id="rId5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楷体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E2392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CACB8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03B7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3587B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3587B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6C1E59"/>
    <w:multiLevelType w:val="singleLevel"/>
    <w:tmpl w:val="CE6C1E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641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24427"/>
    <w:rsid w:val="2AA82138"/>
    <w:rsid w:val="2F01691D"/>
    <w:rsid w:val="393F5C55"/>
    <w:rsid w:val="4C7F4893"/>
    <w:rsid w:val="52EE50E8"/>
    <w:rsid w:val="5F0E7AB9"/>
    <w:rsid w:val="5F914410"/>
    <w:rsid w:val="654B3E73"/>
    <w:rsid w:val="7D8025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customStyle="1" w:styleId="12">
    <w:name w:val="2"/>
    <w:basedOn w:val="1"/>
    <w:qFormat/>
    <w:uiPriority w:val="0"/>
    <w:pPr>
      <w:spacing w:before="156" w:beforeLines="50" w:after="156" w:afterLines="50" w:line="400" w:lineRule="exact"/>
      <w:outlineLvl w:val="1"/>
    </w:pPr>
    <w:rPr>
      <w:rFonts w:ascii="黑体" w:hAnsi="黑体" w:eastAsia="黑体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oleObject" Target="embeddings/oleObject1.bin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11070</Words>
  <Characters>12086</Characters>
  <TotalTime>11</TotalTime>
  <ScaleCrop>false</ScaleCrop>
  <LinksUpToDate>false</LinksUpToDate>
  <CharactersWithSpaces>12417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2026-01-05T14:20:00Z</dcterms:created>
  <dc:creator>Apache POI</dc:creator>
  <cp:lastModifiedBy>一</cp:lastModifiedBy>
  <dcterms:modified xsi:type="dcterms:W3CDTF">2026-01-06T12:28:08Z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eyJoZGlkIjoiYmI2MjQ1NDYxNTRhYTE2NWNjZDkyYTQ5ODY2M2I3NjUiLCJ1c2VySWQiOiIzNDQ2OTU1NTgifQ==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9E7EFE6EFA1A4D908E07C79F07F8ED71_13</vt:lpwstr>
  </property>
</Properties>
</file>