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18.svg" ContentType="image/svg+xml"/>
  <Override PartName="/word/media/image20.svg" ContentType="image/svg+xml"/>
  <Override PartName="/word/media/image22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F96B0">
      <w:pPr>
        <w:jc w:val="center"/>
      </w:pPr>
      <w:r>
        <w:rPr>
          <w:rFonts w:hint="eastAsia" w:ascii="黑体" w:eastAsia="黑体"/>
          <w:b/>
          <w:sz w:val="44"/>
          <w:szCs w:val="44"/>
        </w:rPr>
        <w:t>电路设计报告</w:t>
      </w:r>
    </w:p>
    <w:tbl>
      <w:tblPr>
        <w:tblStyle w:val="5"/>
        <w:tblW w:w="14898" w:type="dxa"/>
        <w:tblInd w:w="-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30"/>
        <w:gridCol w:w="2376"/>
        <w:gridCol w:w="976"/>
        <w:gridCol w:w="1545"/>
        <w:gridCol w:w="7868"/>
      </w:tblGrid>
      <w:tr w14:paraId="42990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2133" w:type="dxa"/>
            <w:gridSpan w:val="2"/>
            <w:shd w:val="clear" w:color="auto" w:fill="auto"/>
            <w:vAlign w:val="center"/>
          </w:tcPr>
          <w:p w14:paraId="1BA531C5">
            <w:pPr>
              <w:spacing w:line="400" w:lineRule="exact"/>
              <w:ind w:left="-78" w:leftChars="-37" w:right="-162" w:rightChars="-77"/>
              <w:jc w:val="left"/>
              <w:rPr>
                <w:rFonts w:ascii="宋体" w:hAnsi="宋体"/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D0D0D"/>
                <w:sz w:val="28"/>
                <w:szCs w:val="28"/>
              </w:rPr>
              <w:t>团队编号：</w:t>
            </w:r>
          </w:p>
        </w:tc>
        <w:tc>
          <w:tcPr>
            <w:tcW w:w="3352" w:type="dxa"/>
            <w:gridSpan w:val="2"/>
            <w:shd w:val="clear" w:color="auto" w:fill="auto"/>
            <w:vAlign w:val="center"/>
          </w:tcPr>
          <w:p w14:paraId="14D1BC86">
            <w:pPr>
              <w:spacing w:line="400" w:lineRule="exact"/>
              <w:jc w:val="left"/>
              <w:rPr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2025-13-23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802586B">
            <w:pPr>
              <w:spacing w:line="400" w:lineRule="exact"/>
              <w:ind w:left="-6" w:leftChars="-3" w:right="-80" w:rightChars="-38"/>
              <w:jc w:val="left"/>
              <w:rPr>
                <w:rFonts w:ascii="宋体" w:hAnsi="宋体"/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D0D0D"/>
                <w:sz w:val="28"/>
                <w:szCs w:val="28"/>
              </w:rPr>
              <w:t>项目名称：</w:t>
            </w:r>
          </w:p>
        </w:tc>
        <w:tc>
          <w:tcPr>
            <w:tcW w:w="7868" w:type="dxa"/>
            <w:shd w:val="clear" w:color="auto" w:fill="auto"/>
            <w:vAlign w:val="center"/>
          </w:tcPr>
          <w:p w14:paraId="3FE72DDE">
            <w:pPr>
              <w:spacing w:line="400" w:lineRule="exact"/>
              <w:jc w:val="left"/>
              <w:rPr>
                <w:b/>
                <w:color w:val="0D0D0D"/>
                <w:sz w:val="28"/>
                <w:szCs w:val="28"/>
              </w:rPr>
            </w:pPr>
            <w:r>
              <w:rPr>
                <w:b/>
                <w:color w:val="0D0D0D"/>
                <w:sz w:val="28"/>
                <w:szCs w:val="28"/>
              </w:rPr>
              <w:t>航空语音通信质量监测与报警系统</w:t>
            </w:r>
          </w:p>
        </w:tc>
      </w:tr>
      <w:tr w14:paraId="4F23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8" w:type="dxa"/>
            <w:gridSpan w:val="6"/>
            <w:shd w:val="clear" w:color="auto" w:fill="auto"/>
          </w:tcPr>
          <w:p w14:paraId="414B35C9">
            <w:pPr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1、设计概述</w:t>
            </w:r>
          </w:p>
          <w:p w14:paraId="275D0593">
            <w:pPr>
              <w:snapToGrid/>
              <w:spacing w:line="240" w:lineRule="auto"/>
            </w:pPr>
            <w:r>
              <w:rPr>
                <w:b/>
                <w:i w:val="0"/>
                <w:strike w:val="0"/>
                <w:spacing w:val="0"/>
                <w:sz w:val="28"/>
                <w:u w:val="none"/>
              </w:rPr>
              <w:t>一、设计目标</w:t>
            </w:r>
          </w:p>
          <w:p w14:paraId="656A0610">
            <w:pPr>
              <w:pBdr>
                <w:bottom w:val="none" w:color="auto" w:sz="0" w:space="0"/>
              </w:pBdr>
              <w:spacing w:line="400" w:lineRule="exact"/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 xml:space="preserve">   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本系统旨在构建一个航空语音通信质量监测与报警系统，用于实时采集、传输、分析语音信号，评估其信噪比（SNR）、失真度（THD）等关键指标，并在检测到异常时触发声光报警。系统采用模拟通信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电路，stm32信号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处理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，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PC端分析的混合架构，兼顾实时性与分析精度。</w:t>
            </w:r>
          </w:p>
          <w:p w14:paraId="1D773D49">
            <w:pPr>
              <w:snapToGrid/>
              <w:spacing w:before="0" w:after="0" w:line="360" w:lineRule="auto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 xml:space="preserve">系统总体分为三个部分： </w:t>
            </w:r>
          </w:p>
          <w:p w14:paraId="475C0428">
            <w:pPr>
              <w:snapToGrid w:val="0"/>
              <w:spacing w:before="0" w:after="0" w:line="400" w:lineRule="exact"/>
              <w:ind w:left="0" w:right="0"/>
              <w:jc w:val="both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z w:val="28"/>
                <w:u w:val="none"/>
              </w:rPr>
              <w:t>一、航空语音模拟通信系统</w:t>
            </w:r>
          </w:p>
          <w:p w14:paraId="70EC5942">
            <w:pPr>
              <w:spacing w:line="400" w:lineRule="exact"/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 xml:space="preserve">   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模拟真实航空语音通信的收发过程，采用调幅方式在中波频段进行低功率无线传输。</w:t>
            </w:r>
          </w:p>
          <w:p w14:paraId="373DAD53">
            <w:pPr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发射机电路：</w:t>
            </w:r>
          </w:p>
          <w:p w14:paraId="25357300">
            <w:pPr>
              <w:pBdr>
                <w:bottom w:val="none" w:color="auto" w:sz="0" w:space="0"/>
              </w:pBdr>
              <w:spacing w:line="400" w:lineRule="exact"/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 xml:space="preserve">   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完成声音信号到电信号的转变，无线发射电信号。由音频采集模块和调制发射模块组成。声电转换的核心是音频采集模块，可以采用驻极体麦克风，与前置放大电路和低通滤波器，将采集到的微弱模拟信号放大，滤除高频信号。处理后的信号接入调制发射模块，将信号调制成高频信号后经天线发射，实现主要功能。</w:t>
            </w:r>
          </w:p>
          <w:p w14:paraId="35C8D938">
            <w:pPr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接收机电路：</w:t>
            </w:r>
          </w:p>
          <w:p w14:paraId="63C46772">
            <w:pPr>
              <w:pBdr>
                <w:bottom w:val="none" w:color="auto" w:sz="0" w:space="0"/>
              </w:pBdr>
              <w:spacing w:line="400" w:lineRule="exact"/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 xml:space="preserve">   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接收无线电信号并解调恢复至原信号。核心模块是接收与解调模块，搭载天线负责捕获空中微弱的射频信号，经过放大器，混频器，解调器等一系列电路，还原出原始音频信号。再通过放大级和电平偏移电路，目的是将解调输出的信号放大到STM32的ADC输入电压范围（0至3.3V）的中心点附近，从而确保信号能被完整且不失真地采样。</w:t>
            </w:r>
          </w:p>
          <w:p w14:paraId="034110F4">
            <w:pPr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STM32检测信号：</w:t>
            </w:r>
          </w:p>
          <w:p w14:paraId="13F74B8B">
            <w:pPr>
              <w:pBdr>
                <w:bottom w:val="none" w:color="auto" w:sz="0" w:space="0"/>
              </w:pBdr>
              <w:spacing w:line="400" w:lineRule="exact"/>
              <w:ind w:firstLine="560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方案中，STM32通过TIM2触发 ADC，DMA双缓冲循环搬运采集到的接收机电路中的模拟信号，直接调用其内置的ARM CMSIS-DSP库函数，在嵌入式端实时进行FFT计算，独立完成失真度和信噪比的估算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。</w:t>
            </w:r>
          </w:p>
          <w:p w14:paraId="30CECE67">
            <w:pPr>
              <w:pBdr>
                <w:bottom w:val="none" w:color="auto" w:sz="0" w:space="0"/>
              </w:pBdr>
              <w:spacing w:line="400" w:lineRule="exact"/>
              <w:ind w:firstLine="560"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</w:pPr>
          </w:p>
        </w:tc>
      </w:tr>
      <w:tr w14:paraId="3D82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8" w:type="dxa"/>
            <w:gridSpan w:val="6"/>
            <w:shd w:val="clear" w:color="auto" w:fill="auto"/>
          </w:tcPr>
          <w:p w14:paraId="585F1D32">
            <w:pPr>
              <w:pBdr>
                <w:bottom w:val="none" w:color="auto" w:sz="0" w:space="0"/>
              </w:pBd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2、电路设计方案（包括软件设计）</w:t>
            </w:r>
          </w:p>
          <w:p w14:paraId="7F396DB5">
            <w:pPr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一、发射机原理图：</w:t>
            </w:r>
          </w:p>
          <w:p w14:paraId="428D6D95">
            <w:pPr>
              <w:snapToGrid w:val="0"/>
              <w:spacing w:line="240" w:lineRule="auto"/>
              <w:ind w:left="0"/>
              <w:jc w:val="center"/>
            </w:pPr>
            <w:r>
              <w:drawing>
                <wp:inline distT="0" distB="0" distL="0" distR="0">
                  <wp:extent cx="6471285" cy="3529330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285" cy="352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7B24C">
            <w:pPr>
              <w:snapToGrid w:val="0"/>
              <w:spacing w:line="240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图2.1.1  发射机原理图</w:t>
            </w:r>
          </w:p>
          <w:p w14:paraId="4B3DEA56">
            <w:pPr>
              <w:pBdr>
                <w:bottom w:val="none" w:color="auto" w:sz="0" w:space="0"/>
              </w:pBdr>
              <w:spacing w:line="400" w:lineRule="exact"/>
              <w:ind w:firstLine="480"/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该发射机原理图电路由电源电路，信号输入电路、信号耦合与滤波电路、偏置调谐电路、高频振荡电路、频率调制电路、功率放大电路与天线组成。电源电路中，V2与实际电路中的DC端子共同为该发射机电路提供6v电源，并通过C6与C7电容分别滤除低频与高频的杂波；信号输入电路中，音频信号与噪声信号通过C1耦合接入后续电路；偏置调谐电路由滑动变阻器W1和R3、R4组成，调节W1可以调节调制信号的调幅指数，可以防止信号出现过量调幅或顶峰失真，而R3、R4电阻共同稳定三极管Q3的静态工作点在放大区内；C4、C8、U1的线圈共同组成高频振荡电路，通过可变电容C4、C8可以调节发射载波频率；Q1、Q2三极管共同组成功率放大电路，防止震荡电路因为过阻尼停震，为其提供能量，并将声音信号加载到高频信号上；最后通过变压器的次级线圈接入天线，将调制信号发射出去。</w:t>
            </w:r>
          </w:p>
          <w:p w14:paraId="58D7E90A">
            <w:pPr>
              <w:pBdr>
                <w:bottom w:val="none" w:color="auto" w:sz="0" w:space="0"/>
              </w:pBdr>
              <w:spacing w:line="400" w:lineRule="exact"/>
              <w:ind w:firstLine="480"/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</w:pPr>
          </w:p>
          <w:p w14:paraId="6A6A0E2D">
            <w:pPr>
              <w:pBdr>
                <w:bottom w:val="none" w:color="auto" w:sz="0" w:space="0"/>
              </w:pBdr>
              <w:spacing w:line="400" w:lineRule="exact"/>
              <w:ind w:firstLine="480"/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</w:pPr>
          </w:p>
          <w:p w14:paraId="2ED607DD">
            <w:pPr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二、接收机原理图：</w:t>
            </w:r>
          </w:p>
          <w:p w14:paraId="325E1314">
            <w:pPr>
              <w:spacing w:line="240" w:lineRule="auto"/>
            </w:pPr>
            <w:r>
              <w:drawing>
                <wp:inline distT="0" distB="0" distL="0" distR="0">
                  <wp:extent cx="9224010" cy="3697605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4010" cy="369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BAEB6">
            <w:pPr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                         图2.1.2   接收机原理图</w:t>
            </w:r>
          </w:p>
          <w:p w14:paraId="6677551B">
            <w:pPr>
              <w:snapToGrid/>
              <w:spacing w:line="240" w:lineRule="auto"/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该接收机电路由电源电路，中频放大及检波电路，自动增益控制电路，音频功率放大电路与天线组成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。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U1与C1组成LC调谐回路用于选择所要接受的频率，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即天线捕获的高频调幅信号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fs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8"/>
                <w:u w:val="none"/>
              </w:rPr>
              <w:t>，经过U1变压器耦合至后续电路；L1，L2为同一变压器，与电容C12，C13组成本振信号，用于与接收的高频调幅信号做差得到固定频率的中频信号，传入后续电路；U2与C14构成LC选频回路，将前级得到的各种频率选出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465kHz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的信号，并由U2变压器耦合至后级电路；Q2三极管、U3与C15构成的选频放大器，及周边电路构成了中频放大电路，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将中频信号进行放大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有足够的中放增益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；Q3、R3、C4共同组成了检波电路与自动增益控制电路，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中频信号经VT2中频放大器充分放大后由T4耦合到检波管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，由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三极管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组成的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检波电路，既起放大作用，又起检波作用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，将中频信号还原为低频声音信号，C4、C5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起滤去残余的中频成分的作用。检波滤波后的音频信号由电位器R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12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送到前置低放管，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低放管由Q4组成，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经过低放可将音频信号电压放大几百倍，但是音频信号经过放大后带负载能力还很差，不能直接推动扬声器工作，还需进行功率放大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，需要接入一个功率放大器。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功率放大器的任务是能够输出较大的电流，可以消除输出变压器引起的失真和损耗，频率特性好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。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VT5、VT6组成同类型晶体管的推挽电路，R7、R8和R9、R10分别是VT5、VT6的偏量电阻。变压器T5做倒相耦合，C9是隔直电容，也是耦合电容。为了减少低频失真，电容C9选得越大越好。无输出变压器的功率放大器的输出阻抗低，可以直接推动扬声器工作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，或者由TRS座子接出，后续连入PC端或STM32端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 xml:space="preserve">。 </w:t>
            </w:r>
          </w:p>
          <w:p w14:paraId="1914AEE8">
            <w:pPr>
              <w:snapToGrid/>
              <w:spacing w:line="240" w:lineRule="auto"/>
            </w:pPr>
          </w:p>
          <w:p w14:paraId="6BB85843">
            <w:pPr>
              <w:snapToGrid/>
              <w:spacing w:line="240" w:lineRule="auto"/>
            </w:pPr>
          </w:p>
          <w:p w14:paraId="3F9EA6EE">
            <w:pPr>
              <w:snapToGrid/>
              <w:spacing w:line="240" w:lineRule="auto"/>
            </w:pPr>
          </w:p>
          <w:p w14:paraId="16076220">
            <w:pPr>
              <w:snapToGrid/>
              <w:spacing w:line="240" w:lineRule="auto"/>
            </w:pPr>
          </w:p>
          <w:p w14:paraId="240F1386">
            <w:pPr>
              <w:snapToGrid/>
              <w:spacing w:line="240" w:lineRule="auto"/>
            </w:pPr>
          </w:p>
          <w:p w14:paraId="08E07704">
            <w:pPr>
              <w:snapToGrid/>
              <w:spacing w:line="240" w:lineRule="auto"/>
            </w:pPr>
          </w:p>
          <w:p w14:paraId="68F7A5D4">
            <w:pPr>
              <w:snapToGrid/>
              <w:spacing w:line="240" w:lineRule="auto"/>
            </w:pPr>
          </w:p>
          <w:p w14:paraId="1FCDA856">
            <w:pPr>
              <w:snapToGrid/>
              <w:spacing w:line="240" w:lineRule="auto"/>
            </w:pPr>
          </w:p>
          <w:p w14:paraId="52A17C40">
            <w:pPr>
              <w:snapToGrid/>
              <w:spacing w:line="240" w:lineRule="auto"/>
            </w:pPr>
          </w:p>
          <w:p w14:paraId="3E5AA954">
            <w:pPr>
              <w:snapToGrid/>
              <w:spacing w:line="240" w:lineRule="auto"/>
            </w:pPr>
          </w:p>
          <w:p w14:paraId="1122DAC4">
            <w:pPr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三、信号处理原理图：</w:t>
            </w:r>
          </w:p>
          <w:p w14:paraId="02F4BFC5">
            <w:pPr>
              <w:tabs>
                <w:tab w:val="left" w:pos="1620"/>
              </w:tabs>
              <w:spacing w:line="240" w:lineRule="auto"/>
              <w:jc w:val="center"/>
              <w:rPr>
                <w:rFonts w:ascii="宋体" w:hAnsi="宋体"/>
                <w:b/>
                <w:color w:val="FF0000"/>
                <w:sz w:val="24"/>
                <w:szCs w:val="28"/>
              </w:rPr>
            </w:pPr>
            <w:r>
              <w:rPr>
                <w:rFonts w:ascii="宋体" w:hAnsi="宋体"/>
                <w:b/>
                <w:color w:val="FF0000"/>
                <w:sz w:val="24"/>
                <w:szCs w:val="28"/>
              </w:rPr>
              <w:drawing>
                <wp:inline distT="0" distB="0" distL="0" distR="0">
                  <wp:extent cx="7058660" cy="5043805"/>
                  <wp:effectExtent l="0" t="0" r="2540" b="10795"/>
                  <wp:docPr id="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descrip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8660" cy="504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58238">
            <w:pPr>
              <w:tabs>
                <w:tab w:val="left" w:pos="1620"/>
              </w:tabs>
              <w:spacing w:line="240" w:lineRule="auto"/>
              <w:rPr>
                <w:rFonts w:hint="default" w:ascii="宋体" w:hAnsi="宋体" w:eastAsia="宋体"/>
                <w:b/>
                <w:color w:val="FF0000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FF0000"/>
                <w:sz w:val="24"/>
                <w:szCs w:val="28"/>
                <w:lang w:val="en-US" w:eastAsia="zh-CN"/>
              </w:rPr>
              <w:t xml:space="preserve">                                                 </w:t>
            </w:r>
            <w:r>
              <w:rPr>
                <w:rFonts w:hint="eastAsia" w:ascii="宋体" w:hAnsi="宋体"/>
                <w:b/>
                <w:color w:val="auto"/>
                <w:sz w:val="24"/>
                <w:szCs w:val="2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图2.1.3  信号处理原理图</w:t>
            </w:r>
          </w:p>
          <w:p w14:paraId="535D8474">
            <w:pPr>
              <w:snapToGrid/>
              <w:spacing w:line="240" w:lineRule="auto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/>
                <w:b/>
                <w:color w:val="FF0000"/>
                <w:sz w:val="24"/>
                <w:szCs w:val="28"/>
              </w:rPr>
              <w:t xml:space="preserve">     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信号处理电路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主要由stm32f407zgt6及其外围电路组成。stm32最小系统原理图由复位电路，外部高速晶振电路，模数地隔离电路，滤波电路，参考电压电路及程序下载电路组成。复位电路主要是用来使电路恢复到起始状态，当复位按钮按下后，复位引脚呈现低电平，单片机复位。外部高速晶振电路给芯片程序运行提供时钟，本电路选择8MHz晶振作为外部晶振，并陪两个22pF的负载电容。模拟电路对干扰的影响更敏感，容易受到数字电路的干扰，用两个0R电阻将数字地与模拟地，以及数字电源与模拟电源做隔离，减少互相之间的干扰，得到的数据更稳定。下载电路用来烧录程序，本项目采用SWD方式下载，可以直接用st-link进行程序下载。为方便调试以及节约空间，本项目省略启动方式选择电路，直接将boot0接地选择主flash作为启动方式。</w:t>
            </w:r>
          </w:p>
          <w:p w14:paraId="55A6FE28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 xml:space="preserve">    外围电路有蜂鸣器电路，由io口控制三极管驱动，D1续流二极管防止三极管烧坏，R1限流电阻保护io口提高可靠性，C22为蜂鸣器滤波。RGB彩灯采用手册推荐原理图，不需要加额外滤波电容。另外预留串口屏通信接口与串口调试接口。</w:t>
            </w:r>
          </w:p>
          <w:p w14:paraId="7235FC86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5B2B103D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0F6F01A5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35188722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7C274E19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03B9DD66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224D898C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5340B849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5DAEAA85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234E1171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643034F3">
            <w:pPr>
              <w:pBdr>
                <w:bottom w:val="none" w:color="auto" w:sz="0" w:space="0"/>
              </w:pBdr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四、电源原理图：</w:t>
            </w:r>
          </w:p>
          <w:p w14:paraId="4A2D9F53">
            <w:pPr>
              <w:snapToGrid/>
              <w:spacing w:line="240" w:lineRule="auto"/>
              <w:jc w:val="center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7299960" cy="3849370"/>
                  <wp:effectExtent l="0" t="0" r="0" b="0"/>
                  <wp:docPr id="1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descript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9960" cy="3849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B5433">
            <w:pPr>
              <w:snapToGrid/>
              <w:spacing w:line="240" w:lineRule="auto"/>
              <w:jc w:val="center"/>
              <w:rPr>
                <w:rFonts w:hint="default" w:ascii="宋体" w:hAnsi="宋体" w:eastAsia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图2.1.4   电源原理图</w:t>
            </w:r>
          </w:p>
          <w:p w14:paraId="066A431B">
            <w:pPr>
              <w:snapToGrid/>
              <w:spacing w:line="240" w:lineRule="auto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/>
                <w:b/>
                <w:color w:val="FF0000"/>
                <w:sz w:val="28"/>
                <w:szCs w:val="28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电源管理思路是由DC端子或type-C提供5V电源，由单刀双掷开关控制，2A/60V保险丝做隔离处理。得到的5v电源可为外围电路如蜂鸣器，RGB灯珠供电。因为芯片和接收机电路需要稳定的电源质量，分别用AMS1117线性稳压器将5V电源降压至3.3v与3v为后续电路供电。</w:t>
            </w:r>
          </w:p>
          <w:p w14:paraId="3E16401C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5BE1565E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11DFFEDB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</w:tc>
      </w:tr>
      <w:tr w14:paraId="5B7C9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8" w:type="dxa"/>
            <w:gridSpan w:val="6"/>
            <w:shd w:val="clear" w:color="auto" w:fill="auto"/>
          </w:tcPr>
          <w:p w14:paraId="545E280C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3、电路设计计算</w:t>
            </w:r>
          </w:p>
          <w:p w14:paraId="690E9637">
            <w:pPr>
              <w:numPr>
                <w:ilvl w:val="0"/>
                <w:numId w:val="1"/>
              </w:numPr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发射机电路计算</w:t>
            </w:r>
          </w:p>
          <w:p w14:paraId="2F4175CC">
            <w:pPr>
              <w:spacing w:line="400" w:lineRule="exact"/>
              <w:ind w:left="462"/>
              <w:rPr>
                <w:rFonts w:hint="eastAsia" w:ascii="宋体" w:hAnsi="宋体"/>
                <w:b/>
                <w:sz w:val="28"/>
                <w:szCs w:val="28"/>
              </w:rPr>
            </w:pPr>
          </w:p>
          <w:p w14:paraId="3D64AEBB">
            <w:pPr>
              <w:snapToGrid w:val="0"/>
              <w:spacing w:line="240" w:lineRule="auto"/>
              <w:ind w:firstLine="440" w:firstLineChars="200"/>
              <w:jc w:val="center"/>
              <w:rPr>
                <w:rFonts w:hint="eastAsia" w:ascii="宋体" w:hAnsi="宋体" w:eastAsia="宋体"/>
                <w:sz w:val="22"/>
                <w:lang w:eastAsia="zh-CN"/>
              </w:rPr>
            </w:pPr>
            <w:r>
              <w:rPr>
                <w:rFonts w:hint="eastAsia" w:ascii="宋体" w:hAnsi="宋体" w:eastAsia="宋体"/>
                <w:sz w:val="22"/>
                <w:lang w:eastAsia="zh-CN"/>
              </w:rPr>
              <w:drawing>
                <wp:inline distT="0" distB="0" distL="114300" distR="114300">
                  <wp:extent cx="7616190" cy="3557905"/>
                  <wp:effectExtent l="0" t="0" r="3810" b="10795"/>
                  <wp:docPr id="6" name="图片 6" descr="Screenshot 2025-09-28 210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 2025-09-28 21083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6190" cy="355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03DB6B5">
            <w:pPr>
              <w:snapToGrid w:val="0"/>
              <w:spacing w:line="240" w:lineRule="auto"/>
              <w:ind w:firstLine="440" w:firstLineChars="200"/>
              <w:rPr>
                <w:rFonts w:hint="default" w:ascii="宋体" w:hAnsi="宋体" w:eastAsia="宋体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sz w:val="22"/>
                <w:lang w:val="en-US" w:eastAsia="zh-CN"/>
              </w:rPr>
              <w:t xml:space="preserve">                                                图3.1.1    静态工作点分析</w:t>
            </w:r>
          </w:p>
          <w:p w14:paraId="7DB968AD">
            <w:pPr>
              <w:snapToGrid w:val="0"/>
              <w:spacing w:line="240" w:lineRule="auto"/>
              <w:ind w:firstLine="440" w:firstLineChars="200"/>
              <w:rPr>
                <w:rFonts w:hint="eastAsia" w:ascii="宋体" w:hAnsi="宋体"/>
                <w:sz w:val="22"/>
              </w:rPr>
            </w:pPr>
          </w:p>
          <w:p w14:paraId="0D15D63C">
            <w:pPr>
              <w:snapToGrid/>
              <w:spacing w:line="240" w:lineRule="auto"/>
              <w:ind w:firstLine="56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将音频信号断开，该电路没有交流分量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，此时的三极管静态电路如图，电路的各指标如图。通过R3和R4的分压关系可知</w:t>
            </w:r>
          </w:p>
          <w:p w14:paraId="11690171">
            <w:pPr>
              <w:snapToGrid/>
              <w:spacing w:line="240" w:lineRule="auto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1228725" cy="381000"/>
                  <wp:effectExtent l="0" t="0" r="3175" b="0"/>
                  <wp:docPr id="1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descript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D3A43">
            <w:pPr>
              <w:snapToGrid/>
              <w:spacing w:line="240" w:lineRule="auto"/>
              <w:ind w:firstLine="56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代入可得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1066800" cy="161925"/>
                  <wp:effectExtent l="0" t="0" r="0" b="0"/>
                  <wp:docPr id="2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descript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，根据三极管导通压降，可知，即R6两端的分压，可求的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790575" cy="133350"/>
                  <wp:effectExtent l="0" t="0" r="0" b="0"/>
                  <wp:docPr id="2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descript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，根据三极管放大倍数，即可求得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1743075" cy="161925"/>
                  <wp:effectExtent l="0" t="0" r="0" b="0"/>
                  <wp:docPr id="2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descript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，由于集电极负载较复杂不便分析，可根据仿真结果如图可得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1143000" cy="161925"/>
                  <wp:effectExtent l="0" t="0" r="0" b="0"/>
                  <wp:docPr id="2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descript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，大于导通压降，说明这个取值可以使三极管工作在放大区。</w:t>
            </w:r>
          </w:p>
          <w:p w14:paraId="3AE4C054">
            <w:pPr>
              <w:snapToGrid/>
              <w:spacing w:line="240" w:lineRule="auto"/>
              <w:ind w:firstLine="56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</w:pPr>
          </w:p>
          <w:p w14:paraId="5526F78D">
            <w:pPr>
              <w:snapToGrid/>
              <w:spacing w:line="240" w:lineRule="auto"/>
              <w:ind w:firstLine="560"/>
              <w:rPr>
                <w:rFonts w:hint="eastAsia" w:ascii="宋体" w:hAnsi="宋体"/>
                <w:b/>
                <w:sz w:val="22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5133975</wp:posOffset>
                      </wp:positionH>
                      <wp:positionV relativeFrom="paragraph">
                        <wp:posOffset>932815</wp:posOffset>
                      </wp:positionV>
                      <wp:extent cx="3482340" cy="2308225"/>
                      <wp:effectExtent l="13970" t="13970" r="21590" b="14605"/>
                      <wp:wrapNone/>
                      <wp:docPr id="1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82340" cy="23082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04.25pt;margin-top:73.45pt;height:181.75pt;width:274.2pt;z-index:251660288;v-text-anchor:middle;mso-width-relative:page;mso-height-relative:page;" filled="f" stroked="t" coordsize="21600,21600" o:gfxdata="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UArJbZAAAADAEAAA8AAAAAAAAAAQAgAAAAIgAAAGRycy9kb3ducmV2Lnht&#10;bFBLAQIUABQAAAAIAIdO4kDXB0OoagIAAM4EAAAOAAAAAAAAAAEAIAAAACgBAABkcnMvZTJvRG9j&#10;LnhtbFBLBQYAAAAABgAGAFkBAAAEBgAAAAA=&#10;">
                      <v:fill on="f" focussize="0,0"/>
                      <v:stroke weight="2.25pt" color="#C0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  <w:drawing>
                <wp:inline distT="0" distB="0" distL="114300" distR="114300">
                  <wp:extent cx="9316720" cy="4342765"/>
                  <wp:effectExtent l="0" t="0" r="5080" b="635"/>
                  <wp:docPr id="12" name="图片 12" descr="Screenshot 2025-09-28 213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Screenshot 2025-09-28 21320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6720" cy="434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873CE">
            <w:pPr>
              <w:snapToGrid w:val="0"/>
              <w:spacing w:line="240" w:lineRule="auto"/>
              <w:ind w:firstLine="442" w:firstLineChars="200"/>
              <w:rPr>
                <w:rFonts w:hint="default" w:ascii="宋体" w:hAnsi="宋体" w:eastAsia="宋体"/>
                <w:b/>
                <w:sz w:val="22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2"/>
                <w:szCs w:val="28"/>
                <w:lang w:val="en-US" w:eastAsia="zh-CN"/>
              </w:rPr>
              <w:t xml:space="preserve">                                                     </w:t>
            </w:r>
            <w:r>
              <w:rPr>
                <w:rFonts w:hint="eastAsia" w:ascii="宋体" w:hAnsi="宋体"/>
                <w:b w:val="0"/>
                <w:bCs/>
                <w:sz w:val="22"/>
                <w:szCs w:val="28"/>
                <w:lang w:val="en-US" w:eastAsia="zh-CN"/>
              </w:rPr>
              <w:t>图3.1.2 功率放大电路分析</w:t>
            </w:r>
          </w:p>
          <w:p w14:paraId="5528C0FA">
            <w:pPr>
              <w:snapToGrid/>
              <w:spacing w:line="240" w:lineRule="auto"/>
              <w:rPr>
                <w:rFonts w:hint="eastAsia" w:ascii="宋体" w:hAnsi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 xml:space="preserve">    三极管Q2与Q1共同组成功率放大电路。如图同理可得，该三极管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1057275" cy="161925"/>
                  <wp:effectExtent l="0" t="0" r="0" b="0"/>
                  <wp:docPr id="3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descript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838200" cy="161925"/>
                  <wp:effectExtent l="0" t="0" r="0" b="0"/>
                  <wp:docPr id="3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descript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,因为</w:t>
            </w:r>
            <w:r>
              <w:drawing>
                <wp:inline distT="0" distB="0" distL="0" distR="0">
                  <wp:extent cx="1009650" cy="161925"/>
                  <wp:effectExtent l="0" t="0" r="0" b="0"/>
                  <wp:docPr id="4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descript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，因此三极管Q2也工作在放大区。</w:t>
            </w:r>
          </w:p>
          <w:p w14:paraId="5F2D9461">
            <w:pPr>
              <w:snapToGrid w:val="0"/>
              <w:spacing w:line="400" w:lineRule="exact"/>
              <w:ind w:firstLineChars="0"/>
              <w:rPr>
                <w:rFonts w:hint="eastAsia" w:ascii="宋体" w:hAnsi="宋体"/>
                <w:b/>
                <w:sz w:val="22"/>
                <w:szCs w:val="28"/>
              </w:rPr>
            </w:pPr>
          </w:p>
          <w:p w14:paraId="7FAD420C">
            <w:pPr>
              <w:snapToGrid w:val="0"/>
              <w:spacing w:line="240" w:lineRule="auto"/>
              <w:ind w:firstLineChars="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1430655</wp:posOffset>
                      </wp:positionH>
                      <wp:positionV relativeFrom="paragraph">
                        <wp:posOffset>2045970</wp:posOffset>
                      </wp:positionV>
                      <wp:extent cx="1504950" cy="1157605"/>
                      <wp:effectExtent l="13970" t="13970" r="17780" b="22225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974975" y="3672205"/>
                                <a:ext cx="1504950" cy="11576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2.65pt;margin-top:161.1pt;height:91.15pt;width:118.5pt;z-index:251659264;v-text-anchor:middle;mso-width-relative:page;mso-height-relative:page;" filled="f" stroked="t" coordsize="21600,21600" o:gfxdata="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/IAbydkAAAALAQAADwAAAAAAAAABACAAAAAiAAAA&#10;ZHJzL2Rvd25yZXYueG1sUEsBAhQAFAAAAAgAh07iQF+N7w94AgAA2gQAAA4AAAAAAAAAAQAgAAAA&#10;KAEAAGRycy9lMm9Eb2MueG1sUEsFBgAAAAAGAAYAWQEAABIGAAAAAA==&#10;">
                      <v:fill on="f" focussize="0,0"/>
                      <v:stroke weight="2.25pt" color="#C0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  <w:drawing>
                <wp:inline distT="0" distB="0" distL="114300" distR="114300">
                  <wp:extent cx="7528560" cy="3578225"/>
                  <wp:effectExtent l="0" t="0" r="2540" b="3175"/>
                  <wp:docPr id="9" name="图片 9" descr="Screenshot 2025-09-25 202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 2025-09-25 20245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8560" cy="357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3DB04">
            <w:pPr>
              <w:snapToGrid w:val="0"/>
              <w:spacing w:line="240" w:lineRule="auto"/>
              <w:ind w:firstLineChars="0"/>
              <w:rPr>
                <w:rFonts w:hint="default" w:ascii="宋体" w:hAnsi="宋体" w:eastAsia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 w:hAnsi="宋体"/>
                <w:b w:val="0"/>
                <w:bCs/>
                <w:sz w:val="22"/>
                <w:szCs w:val="28"/>
                <w:lang w:val="en-US" w:eastAsia="zh-CN"/>
              </w:rPr>
              <w:t>图3.1.3   信号输入分析</w:t>
            </w:r>
          </w:p>
          <w:p w14:paraId="68BC88D5">
            <w:pPr>
              <w:snapToGrid/>
              <w:spacing w:line="240" w:lineRule="auto"/>
              <w:ind w:firstLine="560"/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这一部分是音频信号输入电路。C1、C2为耦合电容，用于通交阻直。耦合电容的容值一般与输入信号的频率有关，一般来说频率越大，所需要的容值越小。在音频电路中，一般取值在1uF-20uF之间，此电路选取中间值。W1滑动变阻器用于调节调制幅度，占比越大调制幅度越大，但会导致三极管出现饱和失真。</w:t>
            </w:r>
          </w:p>
          <w:p w14:paraId="27FA4E0B">
            <w:pPr>
              <w:snapToGrid/>
              <w:spacing w:line="240" w:lineRule="auto"/>
              <w:ind w:firstLine="560"/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</w:p>
          <w:p w14:paraId="50CE4A6A">
            <w:pPr>
              <w:snapToGrid/>
              <w:spacing w:line="240" w:lineRule="auto"/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</w:p>
          <w:p w14:paraId="79612B0C">
            <w:pPr>
              <w:snapToGrid/>
              <w:spacing w:line="240" w:lineRule="auto"/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</w:p>
          <w:p w14:paraId="67BC79D3">
            <w:pPr>
              <w:numPr>
                <w:ilvl w:val="0"/>
                <w:numId w:val="1"/>
              </w:numPr>
              <w:pBdr>
                <w:bottom w:val="none" w:color="auto" w:sz="0" w:space="0"/>
              </w:pBdr>
              <w:snapToGrid w:val="0"/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接收机电路计算</w:t>
            </w:r>
          </w:p>
          <w:p w14:paraId="4763970F">
            <w:pPr>
              <w:snapToGrid/>
              <w:spacing w:line="240" w:lineRule="auto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1452880</wp:posOffset>
                      </wp:positionV>
                      <wp:extent cx="3386455" cy="2369185"/>
                      <wp:effectExtent l="13970" t="13970" r="15875" b="17145"/>
                      <wp:wrapNone/>
                      <wp:docPr id="16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86455" cy="23691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0.4pt;margin-top:114.4pt;height:186.55pt;width:266.65pt;z-index:251661312;v-text-anchor:middle;mso-width-relative:page;mso-height-relative:page;" filled="f" stroked="t" coordsize="21600,21600" o:gfxdata="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JonxuNcAAAAJAQAADwAAAAAAAAABACAAAAAiAAAAZHJzL2Rvd25yZXYueG1s&#10;UEsBAhQAFAAAAAgAh07iQIyoVyRrAgAAzgQAAA4AAAAAAAAAAQAgAAAAJgEAAGRycy9lMm9Eb2Mu&#10;eG1sUEsFBgAAAAAGAAYAWQEAAAMGAAAAAA==&#10;">
                      <v:fill on="f" focussize="0,0"/>
                      <v:stroke weight="2.25pt" color="#C0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 xml:space="preserve">   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  <w:drawing>
                <wp:inline distT="0" distB="0" distL="114300" distR="114300">
                  <wp:extent cx="9323705" cy="3350895"/>
                  <wp:effectExtent l="0" t="0" r="10795" b="1905"/>
                  <wp:docPr id="14" name="图片 14" descr="Screenshot 2025-09-25 162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Screenshot 2025-09-25 16215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3705" cy="335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812A3">
            <w:pPr>
              <w:snapToGrid/>
              <w:spacing w:line="240" w:lineRule="auto"/>
              <w:ind w:firstLine="560"/>
              <w:rPr>
                <w:rFonts w:hint="default" w:ascii="宋体" w:hAnsi="宋体" w:eastAsia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="宋体" w:hAnsi="宋体"/>
                <w:b w:val="0"/>
                <w:bCs/>
                <w:sz w:val="22"/>
                <w:szCs w:val="28"/>
                <w:lang w:val="en-US" w:eastAsia="zh-CN"/>
              </w:rPr>
              <w:t>图3.2.1信号输入分析</w:t>
            </w:r>
          </w:p>
          <w:p w14:paraId="4B092A89">
            <w:pPr>
              <w:snapToGrid/>
              <w:spacing w:line="240" w:lineRule="auto"/>
              <w:ind w:firstLine="56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 xml:space="preserve">接收机电路的核心功能是从空间中筛选、放大特定频率的射频信号，电路左侧的调LC谐回路由可变电容和电感 均为 430μH构成，利用串联谐振原理工作。谐振频率公式为 </w:t>
            </w:r>
          </w:p>
          <w:p w14:paraId="66E61118">
            <w:pPr>
              <w:snapToGrid/>
              <w:spacing w:line="240" w:lineRule="auto"/>
              <w:rPr>
                <w:rFonts w:hint="default" w:ascii="宋体" w:hAnsi="宋体" w:eastAsia="宋体" w:cs="宋体"/>
                <w:i w:val="0"/>
                <w:strike w:val="0"/>
                <w:spacing w:val="0"/>
                <w:sz w:val="28"/>
                <w:u w:val="none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cs="宋体"/>
                    <w:strike w:val="0"/>
                    <w:spacing w:val="0"/>
                    <w:kern w:val="2"/>
                    <w:sz w:val="28"/>
                    <w:szCs w:val="24"/>
                    <w:u w:val="none"/>
                    <w:lang w:val="en-US" w:eastAsia="zh-CN" w:bidi="ar-SA"/>
                  </w:rPr>
                  <m:t>f</m:t>
                </m:r>
                <m:r>
                  <m:rPr>
                    <m:sty m:val="p"/>
                  </m:rPr>
                  <w:rPr>
                    <w:rFonts w:hint="default" w:ascii="Cambria Math" w:hAnsi="Cambria Math" w:cs="宋体"/>
                    <w:strike w:val="0"/>
                    <w:spacing w:val="0"/>
                    <w:kern w:val="2"/>
                    <w:sz w:val="28"/>
                    <w:szCs w:val="24"/>
                    <w:u w:val="none"/>
                    <w:lang w:val="en-US" w:eastAsia="zh-CN" w:bidi="ar-SA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宋体"/>
                        <w:i w:val="0"/>
                        <w:strike w:val="0"/>
                        <w:spacing w:val="0"/>
                        <w:kern w:val="2"/>
                        <w:sz w:val="28"/>
                        <w:szCs w:val="24"/>
                        <w:u w:val="none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trike w:val="0"/>
                        <w:spacing w:val="0"/>
                        <w:kern w:val="2"/>
                        <w:sz w:val="28"/>
                        <w:szCs w:val="24"/>
                        <w:u w:val="none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宋体"/>
                        <w:i w:val="0"/>
                        <w:strike w:val="0"/>
                        <w:spacing w:val="0"/>
                        <w:kern w:val="2"/>
                        <w:sz w:val="28"/>
                        <w:szCs w:val="24"/>
                        <w:u w:val="none"/>
                        <w:lang w:val="en-US" w:eastAsia="zh-CN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trike w:val="0"/>
                        <w:spacing w:val="0"/>
                        <w:kern w:val="2"/>
                        <w:sz w:val="28"/>
                        <w:szCs w:val="24"/>
                        <w:u w:val="none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trike w:val="0"/>
                        <w:spacing w:val="0"/>
                        <w:kern w:val="2"/>
                        <w:sz w:val="28"/>
                        <w:szCs w:val="24"/>
                        <w:u w:val="none"/>
                        <w:lang w:val="en-US" w:bidi="ar-SA"/>
                      </w:rPr>
                      <m:t>π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宋体"/>
                            <w:strike w:val="0"/>
                            <w:spacing w:val="0"/>
                            <w:kern w:val="2"/>
                            <w:sz w:val="28"/>
                            <w:szCs w:val="24"/>
                            <w:u w:val="none"/>
                            <w:lang w:val="en-US" w:bidi="ar-SA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宋体"/>
                            <w:strike w:val="0"/>
                            <w:spacing w:val="0"/>
                            <w:kern w:val="2"/>
                            <w:sz w:val="28"/>
                            <w:szCs w:val="24"/>
                            <w:u w:val="none"/>
                            <w:lang w:val="en-US" w:bidi="ar-SA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宋体"/>
                            <w:strike w:val="0"/>
                            <w:spacing w:val="0"/>
                            <w:kern w:val="2"/>
                            <w:sz w:val="28"/>
                            <w:szCs w:val="24"/>
                            <w:u w:val="none"/>
                            <w:lang w:val="en-US" w:eastAsia="zh-CN" w:bidi="ar-SA"/>
                          </w:rPr>
                          <m:t>LC</m:t>
                        </m:r>
                        <m:ctrlPr>
                          <w:rPr>
                            <w:rFonts w:ascii="Cambria Math" w:hAnsi="Cambria Math" w:cs="宋体"/>
                            <w:strike w:val="0"/>
                            <w:spacing w:val="0"/>
                            <w:kern w:val="2"/>
                            <w:sz w:val="28"/>
                            <w:szCs w:val="24"/>
                            <w:u w:val="none"/>
                            <w:lang w:val="en-US" w:bidi="ar-SA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宋体"/>
                        <w:i w:val="0"/>
                        <w:strike w:val="0"/>
                        <w:spacing w:val="0"/>
                        <w:kern w:val="2"/>
                        <w:sz w:val="28"/>
                        <w:szCs w:val="24"/>
                        <w:u w:val="none"/>
                        <w:lang w:val="en-US" w:eastAsia="zh-CN" w:bidi="ar-SA"/>
                      </w:rPr>
                    </m:ctrlPr>
                  </m:den>
                </m:f>
              </m:oMath>
            </m:oMathPara>
          </w:p>
          <w:p w14:paraId="4CB7803F">
            <w:pPr>
              <w:snapToGrid/>
              <w:spacing w:line="240" w:lineRule="auto"/>
              <w:ind w:firstLine="56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若调节可变电容使总容量为30pF，代入 L=430μH、C=30</w:t>
            </w: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F，计算得 f≈447kHz，这表明调谐回路可针对约 447kHz 的射频信号发生谐振这表明调谐回路可针对约 447kHz 的射频信号发生谐振，实现 “选台”—— 让目标频率信号以最大幅度通过，同时抑制其他频率的干扰信号。</w:t>
            </w:r>
          </w:p>
          <w:p w14:paraId="3DB59C2C">
            <w:pPr>
              <w:snapToGrid/>
              <w:spacing w:line="240" w:lineRule="auto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4138930</wp:posOffset>
                      </wp:positionH>
                      <wp:positionV relativeFrom="paragraph">
                        <wp:posOffset>379730</wp:posOffset>
                      </wp:positionV>
                      <wp:extent cx="3919855" cy="3371215"/>
                      <wp:effectExtent l="13970" t="13970" r="15875" b="18415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19855" cy="33712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5.9pt;margin-top:29.9pt;height:265.45pt;width:308.65pt;z-index:251662336;v-text-anchor:middle;mso-width-relative:page;mso-height-relative:page;" filled="f" stroked="t" coordsize="21600,21600" o:gfxdata="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GSjjS2QAAAAsBAAAPAAAAAAAAAAEAIAAAACIAAABkcnMvZG93bnJldi54&#10;bWxQSwECFAAUAAAACACHTuJArbtDKWsCAADOBAAADgAAAAAAAAABACAAAAAoAQAAZHJzL2Uyb0Rv&#10;Yy54bWxQSwUGAAAAAAYABgBZAQAABQYAAAAA&#10;">
                      <v:fill on="f" focussize="0,0"/>
                      <v:stroke weight="2.25pt" color="#C0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79962FC3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  <w:drawing>
                <wp:inline distT="0" distB="0" distL="114300" distR="114300">
                  <wp:extent cx="9323705" cy="3350895"/>
                  <wp:effectExtent l="0" t="0" r="10795" b="1905"/>
                  <wp:docPr id="18" name="图片 18" descr="Screenshot 2025-09-25 162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Screenshot 2025-09-25 16215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3705" cy="335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06EFE">
            <w:pPr>
              <w:pBdr>
                <w:bottom w:val="none" w:color="auto" w:sz="0" w:space="0"/>
              </w:pBdr>
              <w:snapToGrid/>
              <w:spacing w:line="240" w:lineRule="auto"/>
              <w:ind w:firstLine="560"/>
              <w:rPr>
                <w:rFonts w:hint="default" w:ascii="宋体" w:hAnsi="宋体" w:eastAsia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 xml:space="preserve">                                         </w:t>
            </w:r>
            <w:r>
              <w:rPr>
                <w:rFonts w:hint="eastAsia" w:ascii="宋体" w:hAnsi="宋体"/>
                <w:b w:val="0"/>
                <w:bCs/>
                <w:sz w:val="22"/>
                <w:szCs w:val="28"/>
                <w:lang w:val="en-US" w:eastAsia="zh-CN"/>
              </w:rPr>
              <w:t>图3.2.2   放大电路分析</w:t>
            </w:r>
          </w:p>
          <w:p w14:paraId="45F597E2">
            <w:pPr>
              <w:pBdr>
                <w:bottom w:val="none" w:color="auto" w:sz="0" w:space="0"/>
              </w:pBdr>
              <w:snapToGrid/>
              <w:spacing w:line="240" w:lineRule="auto"/>
              <w:ind w:firstLine="560"/>
              <w:rPr>
                <w:rFonts w:hint="default" w:ascii="宋体" w:hAnsi="宋体" w:eastAsia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调谐后的微弱射频信号进入多级放大电路。第一级放大由三极管 Q</w:t>
            </w: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完成，</w:t>
            </w: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该三极管为中频放大电路，接收前一级LC选频回路选出的中频信号进行放大，放大后的信号进入Q3三极管进行检波，后经过R3，C4组成的滤波器初次滤除高频信号。</w:t>
            </w:r>
          </w:p>
          <w:p w14:paraId="6C282F16">
            <w:pPr>
              <w:pBdr>
                <w:bottom w:val="none" w:color="auto" w:sz="0" w:space="0"/>
              </w:pBdr>
              <w:snapToGrid/>
              <w:spacing w:line="240" w:lineRule="auto"/>
              <w:ind w:firstLine="56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滤除杂音后的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 xml:space="preserve">信号通过 C6、C7 等 1μF 耦合电容传输至变压器 T1匝数比 10:5:5，T1承担 “阻抗匹配” 任务。假设前级放大电路的输出阻抗为Z前,后级电路的输入阻抗为Z后，根据变压器阻抗变换公式 </w:t>
            </w:r>
            <m:oMath>
              <m:r>
                <m:rPr>
                  <m:sty m:val="p"/>
                </m:rPr>
                <w:rPr>
                  <w:rFonts w:hint="eastAsia" w:ascii="Cambria Math" w:hAnsi="宋体" w:cs="宋体"/>
                  <w:strike w:val="0"/>
                  <w:spacing w:val="0"/>
                  <w:sz w:val="28"/>
                  <w:u w:val="none"/>
                  <w:lang w:val="en-US" w:eastAsia="zh-CN"/>
                </w:rPr>
                <m:t>Z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trike w:val="0"/>
                  <w:spacing w:val="0"/>
                  <w:kern w:val="2"/>
                  <w:sz w:val="28"/>
                  <w:szCs w:val="24"/>
                  <w:u w:val="none"/>
                  <w:lang w:val="en-US" w:eastAsia="zh-CN" w:bidi="ar-SA"/>
                </w:rPr>
                <m:t>=</m:t>
              </m:r>
              <m:sSup>
                <m:sSupPr>
                  <m:ctrlPr>
                    <w:rPr>
                      <w:rFonts w:hint="default" w:ascii="Cambria Math" w:hAnsi="Cambria Math" w:cs="宋体"/>
                      <w:i w:val="0"/>
                      <w:strike w:val="0"/>
                      <w:spacing w:val="0"/>
                      <w:kern w:val="2"/>
                      <w:sz w:val="28"/>
                      <w:szCs w:val="24"/>
                      <w:u w:val="none"/>
                      <w:lang w:val="en-US" w:eastAsia="zh-CN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宋体"/>
                          <w:i w:val="0"/>
                          <w:strike w:val="0"/>
                          <w:spacing w:val="0"/>
                          <w:kern w:val="2"/>
                          <w:sz w:val="28"/>
                          <w:szCs w:val="24"/>
                          <w:u w:val="none"/>
                          <w:lang w:val="en-US" w:eastAsia="zh-CN" w:bidi="ar-S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宋体"/>
                              <w:i w:val="0"/>
                              <w:strike w:val="0"/>
                              <w:spacing w:val="0"/>
                              <w:kern w:val="2"/>
                              <w:sz w:val="28"/>
                              <w:szCs w:val="24"/>
                              <w:u w:val="none"/>
                              <w:lang w:val="en-US" w:eastAsia="zh-CN" w:bidi="ar-SA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Cambria Math" w:hAnsi="Cambria Math" w:cs="宋体"/>
                                  <w:i w:val="0"/>
                                  <w:strike w:val="0"/>
                                  <w:spacing w:val="0"/>
                                  <w:kern w:val="2"/>
                                  <w:sz w:val="28"/>
                                  <w:szCs w:val="24"/>
                                  <w:u w:val="none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cs="宋体"/>
                                  <w:strike w:val="0"/>
                                  <w:spacing w:val="0"/>
                                  <w:kern w:val="2"/>
                                  <w:sz w:val="28"/>
                                  <w:szCs w:val="24"/>
                                  <w:u w:val="none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 w:val="0"/>
                                  <w:strike w:val="0"/>
                                  <w:spacing w:val="0"/>
                                  <w:kern w:val="2"/>
                                  <w:sz w:val="28"/>
                                  <w:szCs w:val="24"/>
                                  <w:u w:val="none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宋体"/>
                                  <w:strike w:val="0"/>
                                  <w:spacing w:val="0"/>
                                  <w:kern w:val="2"/>
                                  <w:sz w:val="28"/>
                                  <w:szCs w:val="24"/>
                                  <w:u w:val="none"/>
                                  <w:lang w:val="en-US" w:eastAsia="zh-CN" w:bidi="ar-SA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 w:val="0"/>
                                  <w:strike w:val="0"/>
                                  <w:spacing w:val="0"/>
                                  <w:kern w:val="2"/>
                                  <w:sz w:val="28"/>
                                  <w:szCs w:val="24"/>
                                  <w:u w:val="none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宋体"/>
                              <w:i w:val="0"/>
                              <w:strike w:val="0"/>
                              <w:spacing w:val="0"/>
                              <w:kern w:val="2"/>
                              <w:sz w:val="28"/>
                              <w:szCs w:val="24"/>
                              <w:u w:val="none"/>
                              <w:lang w:val="en-US" w:eastAsia="zh-CN" w:bidi="ar-SA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 w:cs="宋体"/>
                                  <w:i w:val="0"/>
                                  <w:strike w:val="0"/>
                                  <w:spacing w:val="0"/>
                                  <w:kern w:val="2"/>
                                  <w:sz w:val="28"/>
                                  <w:szCs w:val="24"/>
                                  <w:u w:val="none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cs="宋体"/>
                                  <w:strike w:val="0"/>
                                  <w:spacing w:val="0"/>
                                  <w:kern w:val="2"/>
                                  <w:sz w:val="28"/>
                                  <w:szCs w:val="24"/>
                                  <w:u w:val="none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 w:val="0"/>
                                  <w:strike w:val="0"/>
                                  <w:spacing w:val="0"/>
                                  <w:kern w:val="2"/>
                                  <w:sz w:val="28"/>
                                  <w:szCs w:val="24"/>
                                  <w:u w:val="none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eqArr>
                                <m:eqArrPr>
                                  <m:ctrlPr>
                                    <w:rPr>
                                      <w:rFonts w:hint="default" w:ascii="Cambria Math" w:hAnsi="Cambria Math" w:cs="宋体"/>
                                      <w:i w:val="0"/>
                                      <w:strike w:val="0"/>
                                      <w:spacing w:val="0"/>
                                      <w:kern w:val="2"/>
                                      <w:sz w:val="28"/>
                                      <w:szCs w:val="24"/>
                                      <w:u w:val="none"/>
                                      <w:lang w:val="en-US" w:eastAsia="zh-CN" w:bidi="ar-SA"/>
                                    </w:rPr>
                                  </m:ctrlPr>
                                </m:eqArr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宋体"/>
                                      <w:strike w:val="0"/>
                                      <w:spacing w:val="0"/>
                                      <w:kern w:val="2"/>
                                      <w:sz w:val="28"/>
                                      <w:szCs w:val="24"/>
                                      <w:u w:val="none"/>
                                      <w:lang w:val="en-US" w:eastAsia="zh-CN" w:bidi="ar-S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default" w:ascii="Cambria Math" w:hAnsi="Cambria Math" w:cs="宋体"/>
                                      <w:i w:val="0"/>
                                      <w:strike w:val="0"/>
                                      <w:spacing w:val="0"/>
                                      <w:kern w:val="2"/>
                                      <w:sz w:val="28"/>
                                      <w:szCs w:val="24"/>
                                      <w:u w:val="none"/>
                                      <w:lang w:val="en-US" w:eastAsia="zh-CN" w:bidi="ar-SA"/>
                                    </w:rPr>
                                  </m:ctrlPr>
                                </m:e>
                                <m:e>
                                  <m:ctrlPr>
                                    <w:rPr>
                                      <w:rFonts w:hint="default" w:ascii="Cambria Math" w:hAnsi="Cambria Math" w:cs="宋体"/>
                                      <w:i w:val="0"/>
                                      <w:strike w:val="0"/>
                                      <w:spacing w:val="0"/>
                                      <w:kern w:val="2"/>
                                      <w:sz w:val="28"/>
                                      <w:szCs w:val="24"/>
                                      <w:u w:val="none"/>
                                      <w:lang w:val="en-US" w:eastAsia="zh-CN" w:bidi="ar-SA"/>
                                    </w:rPr>
                                  </m:ctrlPr>
                                </m:e>
                              </m:eqArr>
                              <m:ctrlPr>
                                <w:rPr>
                                  <w:rFonts w:hint="default" w:ascii="Cambria Math" w:hAnsi="Cambria Math" w:cs="宋体"/>
                                  <w:i w:val="0"/>
                                  <w:strike w:val="0"/>
                                  <w:spacing w:val="0"/>
                                  <w:kern w:val="2"/>
                                  <w:sz w:val="28"/>
                                  <w:szCs w:val="24"/>
                                  <w:u w:val="none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宋体"/>
                              <w:i w:val="0"/>
                              <w:strike w:val="0"/>
                              <w:spacing w:val="0"/>
                              <w:kern w:val="2"/>
                              <w:sz w:val="28"/>
                              <w:szCs w:val="24"/>
                              <w:u w:val="none"/>
                              <w:lang w:val="en-US" w:eastAsia="zh-CN" w:bidi="ar-SA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宋体"/>
                          <w:i w:val="0"/>
                          <w:strike w:val="0"/>
                          <w:spacing w:val="0"/>
                          <w:kern w:val="2"/>
                          <w:sz w:val="28"/>
                          <w:szCs w:val="24"/>
                          <w:u w:val="none"/>
                          <w:lang w:val="en-US" w:eastAsia="zh-CN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宋体"/>
                      <w:i w:val="0"/>
                      <w:strike w:val="0"/>
                      <w:spacing w:val="0"/>
                      <w:kern w:val="2"/>
                      <w:sz w:val="28"/>
                      <w:szCs w:val="24"/>
                      <w:u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trike w:val="0"/>
                      <w:spacing w:val="0"/>
                      <w:kern w:val="2"/>
                      <w:sz w:val="28"/>
                      <w:szCs w:val="24"/>
                      <w:u w:val="none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i w:val="0"/>
                      <w:strike w:val="0"/>
                      <w:spacing w:val="0"/>
                      <w:kern w:val="2"/>
                      <w:sz w:val="28"/>
                      <w:szCs w:val="24"/>
                      <w:u w:val="none"/>
                      <w:lang w:val="en-US" w:eastAsia="zh-CN" w:bidi="ar-SA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 xml:space="preserve"> ，可将后级阻抗匹配至前级，使信号以最小损耗、最高效率从放大级传输到后续功率驱动级，避免信号因阻抗不匹配出现反射或衰减。信号随后进入功率驱动电路，由 Q4、Q5、Q6构成：Q4 为后续推挽结构提供合适的驱动信号；Q5 与 Q6 组成推挽结构，分别导通，提升电路的输出功率和带负载能力，周围的电阻为三极管提供偏置，保障推挽工作的对称性）。</w:t>
            </w:r>
          </w:p>
          <w:p w14:paraId="23739D19">
            <w:pPr>
              <w:pBdr>
                <w:bottom w:val="none" w:color="auto" w:sz="0" w:space="0"/>
              </w:pBdr>
              <w:snapToGrid/>
              <w:spacing w:line="240" w:lineRule="auto"/>
              <w:ind w:firstLine="56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8020050</wp:posOffset>
                      </wp:positionH>
                      <wp:positionV relativeFrom="paragraph">
                        <wp:posOffset>77470</wp:posOffset>
                      </wp:positionV>
                      <wp:extent cx="1159510" cy="3161030"/>
                      <wp:effectExtent l="13970" t="13970" r="20320" b="25400"/>
                      <wp:wrapNone/>
                      <wp:docPr id="25" name="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9510" cy="31610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31.5pt;margin-top:6.1pt;height:248.9pt;width:91.3pt;z-index:251663360;v-text-anchor:middle;mso-width-relative:page;mso-height-relative:page;" filled="f" stroked="t" coordsize="21600,21600" o:gfxdata="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z0fa12QAAAAwBAAAPAAAAAAAAAAEAIAAAACIAAABkcnMvZG93bnJldi54&#10;bWxQSwECFAAUAAAACACHTuJAduXEjWsCAADOBAAADgAAAAAAAAABACAAAAAoAQAAZHJzL2Uyb0Rv&#10;Yy54bWxQSwUGAAAAAAYABgBZAQAABQYAAAAA&#10;">
                      <v:fill on="f" focussize="0,0"/>
                      <v:stroke weight="2.25pt" color="#C0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  <w:drawing>
                <wp:inline distT="0" distB="0" distL="114300" distR="114300">
                  <wp:extent cx="8859520" cy="3343275"/>
                  <wp:effectExtent l="0" t="0" r="5080" b="9525"/>
                  <wp:docPr id="22" name="图片 22" descr="Screenshot 2025-09-25 162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Screenshot 2025-09-25 16215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52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61A68">
            <w:pPr>
              <w:pBdr>
                <w:bottom w:val="none" w:color="auto" w:sz="0" w:space="0"/>
              </w:pBdr>
              <w:snapToGrid/>
              <w:spacing w:line="240" w:lineRule="auto"/>
              <w:ind w:firstLine="560"/>
              <w:rPr>
                <w:rFonts w:hint="default" w:ascii="宋体" w:hAnsi="宋体"/>
                <w:b w:val="0"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 xml:space="preserve">                                  </w:t>
            </w:r>
            <w:r>
              <w:rPr>
                <w:rFonts w:hint="eastAsia" w:ascii="宋体" w:hAnsi="宋体"/>
                <w:b w:val="0"/>
                <w:bCs/>
                <w:sz w:val="22"/>
                <w:szCs w:val="28"/>
                <w:lang w:val="en-US" w:eastAsia="zh-CN"/>
              </w:rPr>
              <w:t>图3.2.3  电源电路分析</w:t>
            </w:r>
          </w:p>
          <w:p w14:paraId="4045A0AF">
            <w:pPr>
              <w:pBdr>
                <w:bottom w:val="none" w:color="auto" w:sz="0" w:space="0"/>
              </w:pBdr>
              <w:snapToGrid/>
              <w:spacing w:line="240" w:lineRule="auto"/>
              <w:ind w:firstLine="56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最后一部分为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电源与指示部分，直流电源 V1（3V）为整个电路供电；电源指示电路由 R11（1kΩ）与 LED1 组成，当开关 S1 闭合时，LED1 的导通电压约 1.8V，因此其工作电流</w:t>
            </w: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根据公式：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 xml:space="preserve"> </w:t>
            </w:r>
          </w:p>
          <w:p w14:paraId="79F61E55">
            <w:pPr>
              <w:pBdr>
                <w:bottom w:val="none" w:color="auto" w:sz="0" w:space="0"/>
              </w:pBdr>
              <w:snapToGrid/>
              <w:spacing w:line="240" w:lineRule="auto"/>
              <w:ind w:firstLine="3819" w:firstLineChars="1364"/>
              <w:rPr>
                <w:rFonts w:hint="default" w:hAnsi="Cambria Math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LED</m:t>
                    </m:r>
                    <m:ctrlPr>
                      <w:rPr>
                        <w:rFonts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strike w:val="0"/>
                    <w:spacing w:val="0"/>
                    <w:sz w:val="28"/>
                    <w:u w:val="none"/>
                    <w:lang w:val="en-US" w:eastAsia="zh-CN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宋体"/>
                            <w:i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宋体"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宋体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宋体"/>
                            <w:i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宋体"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  <m:t>LED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cs="宋体"/>
                    <w:strike w:val="0"/>
                    <w:spacing w:val="0"/>
                    <w:sz w:val="28"/>
                    <w:u w:val="none"/>
                    <w:lang w:val="en-US" w:eastAsia="zh-CN"/>
                  </w:rPr>
                  <m:t>/</m:t>
                </m:r>
                <m:sSub>
                  <m:sSubPr>
                    <m:ctrlPr>
                      <w:rPr>
                        <w:rFonts w:hint="default"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11</m:t>
                    </m:r>
                    <m:ctrlPr>
                      <w:rPr>
                        <w:rFonts w:hint="default"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sub>
                </m:sSub>
              </m:oMath>
            </m:oMathPara>
          </w:p>
          <w:p w14:paraId="397DDA62">
            <w:pPr>
              <w:pBdr>
                <w:bottom w:val="none" w:color="auto" w:sz="0" w:space="0"/>
              </w:pBdr>
              <w:snapToGrid/>
              <w:spacing w:line="240" w:lineRule="auto"/>
              <w:ind w:firstLine="560" w:firstLineChars="200"/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得出流经LED灯的电流约为1.2mA，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处于 LED 正常发光电流范围，直观显示接收机已通电；同时，C8、C7 等电容作为，滤除电源中的高频纹波，保证各级放大电路的直流工作点稳定，避免电源噪声干扰信号放大过程</w:t>
            </w: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  <w:t>。</w:t>
            </w:r>
          </w:p>
          <w:p w14:paraId="5ED73F61">
            <w:pPr>
              <w:pBdr>
                <w:bottom w:val="none" w:color="auto" w:sz="0" w:space="0"/>
              </w:pBdr>
              <w:snapToGrid/>
              <w:spacing w:line="240" w:lineRule="auto"/>
              <w:ind w:firstLine="560" w:firstLineChars="200"/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eastAsia="zh-CN"/>
              </w:rPr>
            </w:pPr>
          </w:p>
          <w:p w14:paraId="39189839">
            <w:pPr>
              <w:numPr>
                <w:ilvl w:val="0"/>
                <w:numId w:val="1"/>
              </w:numPr>
              <w:snapToGrid w:val="0"/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电源电路计算</w:t>
            </w:r>
          </w:p>
          <w:p w14:paraId="26969ECF">
            <w:pPr>
              <w:pBdr>
                <w:bottom w:val="none" w:color="auto" w:sz="0" w:space="0"/>
              </w:pBdr>
              <w:snapToGrid w:val="0"/>
              <w:spacing w:line="240" w:lineRule="auto"/>
              <w:ind w:left="462"/>
              <w:jc w:val="center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drawing>
                <wp:inline distT="0" distB="0" distL="0" distR="0">
                  <wp:extent cx="4987290" cy="2946400"/>
                  <wp:effectExtent l="0" t="0" r="3810" b="0"/>
                  <wp:docPr id="5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descript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7290" cy="29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523F2">
            <w:pPr>
              <w:pBdr>
                <w:bottom w:val="none" w:color="auto" w:sz="0" w:space="0"/>
              </w:pBdr>
              <w:snapToGrid w:val="0"/>
              <w:spacing w:line="240" w:lineRule="auto"/>
              <w:ind w:left="462"/>
              <w:jc w:val="center"/>
              <w:rPr>
                <w:rFonts w:hint="default" w:ascii="宋体" w:hAnsi="宋体" w:eastAsia="宋体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sz w:val="22"/>
                <w:lang w:val="en-US" w:eastAsia="zh-CN"/>
              </w:rPr>
              <w:t>图3.3.1  电源电路原理图</w:t>
            </w:r>
          </w:p>
          <w:p w14:paraId="2B9530B3">
            <w:pPr>
              <w:snapToGrid w:val="0"/>
              <w:spacing w:line="240" w:lineRule="auto"/>
              <w:ind w:firstLine="440" w:firstLineChars="200"/>
              <w:rPr>
                <w:rFonts w:ascii="宋体" w:hAnsi="宋体"/>
                <w:sz w:val="22"/>
              </w:rPr>
            </w:pPr>
          </w:p>
          <w:p w14:paraId="43C8A9F4">
            <w:pPr>
              <w:snapToGrid/>
              <w:spacing w:line="240" w:lineRule="auto"/>
              <w:ind w:firstLine="56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3v为非典型输出电压，需要根据芯片数据手册的公式重新计算R1与R2的值来得到稳定准确的输出电压。</w:t>
            </w:r>
          </w:p>
          <w:p w14:paraId="7F94056E">
            <w:pPr>
              <w:snapToGrid/>
              <w:spacing w:line="240" w:lineRule="auto"/>
              <w:ind w:firstLine="560"/>
              <w:rPr>
                <w:rFonts w:hint="default" w:ascii="宋体" w:hAnsi="宋体" w:eastAsia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V</m:t>
                    </m:r>
                    <m:ctrlPr>
                      <w:rPr>
                        <w:rFonts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out</m:t>
                    </m:r>
                    <m:ctrlPr>
                      <w:rPr>
                        <w:rFonts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strike w:val="0"/>
                    <w:spacing w:val="0"/>
                    <w:sz w:val="28"/>
                    <w:u w:val="none"/>
                    <w:lang w:val="en-US" w:eastAsia="zh-CN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V</m:t>
                    </m:r>
                    <m:ctrlPr>
                      <w:rPr>
                        <w:rFonts w:hint="default"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REF</m:t>
                    </m:r>
                    <m:ctrlPr>
                      <w:rPr>
                        <w:rFonts w:hint="default" w:ascii="Cambria Math" w:hAnsi="Cambria Math" w:cs="宋体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Cambria Math"/>
                    <w:strike w:val="0"/>
                    <w:spacing w:val="0"/>
                    <w:sz w:val="28"/>
                    <w:u w:val="none"/>
                    <w:lang w:val="en-US" w:eastAsia="zh-CN"/>
                  </w:rPr>
                  <m:t>×</m:t>
                </m:r>
                <m:d>
                  <m:dPr>
                    <m:ctrlPr>
                      <w:rPr>
                        <w:rFonts w:hint="default" w:ascii="Cambria Math" w:hAnsi="Cambria Math" w:cs="Cambria Math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cs="Cambria Math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1+</m:t>
                    </m:r>
                    <m:f>
                      <m:fPr>
                        <m:ctrlPr>
                          <w:rPr>
                            <w:rFonts w:hint="default" w:ascii="Cambria Math" w:hAnsi="Cambria Math" w:cs="Cambria Math"/>
                            <w:i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Cambria Math"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Cambria Math"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Cambria Math"/>
                            <w:i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Cambria Math"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Cambria Math"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 w:cs="Cambria Math"/>
                                <w:i/>
                                <w:strike w:val="0"/>
                                <w:spacing w:val="0"/>
                                <w:sz w:val="28"/>
                                <w:u w:val="none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Cambria Math"/>
                            <w:i/>
                            <w:strike w:val="0"/>
                            <w:spacing w:val="0"/>
                            <w:sz w:val="28"/>
                            <w:u w:val="none"/>
                            <w:lang w:val="en-US" w:eastAsia="zh-CN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Cambria Math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cs="Cambria Math"/>
                    <w:strike w:val="0"/>
                    <w:spacing w:val="0"/>
                    <w:sz w:val="28"/>
                    <w:u w:val="none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 w:cs="Cambria Math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ADJ</m:t>
                    </m:r>
                    <m:ctrlPr>
                      <w:rPr>
                        <w:rFonts w:hint="default" w:ascii="Cambria Math" w:hAnsi="Cambria Math" w:cs="Cambria Math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Cambria Math"/>
                    <w:strike w:val="0"/>
                    <w:spacing w:val="0"/>
                    <w:sz w:val="28"/>
                    <w:u w:val="none"/>
                    <w:lang w:val="en-US" w:eastAsia="zh-CN"/>
                  </w:rPr>
                  <m:t>×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R</m:t>
                    </m:r>
                    <m:ctrlPr>
                      <w:rPr>
                        <w:rFonts w:hint="default" w:ascii="Cambria Math" w:hAnsi="Cambria Math" w:cs="Cambria Math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 w:cs="Cambria Math"/>
                        <w:i/>
                        <w:strike w:val="0"/>
                        <w:spacing w:val="0"/>
                        <w:sz w:val="28"/>
                        <w:u w:val="none"/>
                        <w:lang w:val="en-US" w:eastAsia="zh-CN"/>
                      </w:rPr>
                    </m:ctrlPr>
                  </m:sub>
                </m:sSub>
              </m:oMath>
            </m:oMathPara>
          </w:p>
          <w:p w14:paraId="194D9BA4">
            <w:pPr>
              <w:snapToGrid/>
              <w:spacing w:line="240" w:lineRule="auto"/>
              <w:ind w:firstLine="56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其中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1047750" cy="142875"/>
                  <wp:effectExtent l="0" t="0" r="0" b="0"/>
                  <wp:docPr id="5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 descr="descript"/>
                          <pic:cNvPicPr/>
                        </pic:nvPicPr>
                        <pic:blipFill>
                          <a:blip r:embed="rId29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981075" cy="142875"/>
                  <wp:effectExtent l="0" t="0" r="0" b="0"/>
                  <wp:docPr id="6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 descr="descript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，代入可得电阻比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drawing>
                <wp:inline distT="0" distB="0" distL="0" distR="0">
                  <wp:extent cx="933450" cy="171450"/>
                  <wp:effectExtent l="0" t="0" r="0" b="0"/>
                  <wp:docPr id="6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 descr="descript"/>
                          <pic:cNvPicPr/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,根据手册提供的标准值R1取249Ω，计算可得R2为348Ω。</w:t>
            </w:r>
            <w:r>
              <w:rPr>
                <w:rFonts w:hint="eastAsia" w:ascii="宋体" w:hAnsi="宋体" w:cs="宋体"/>
                <w:i w:val="0"/>
                <w:strike w:val="0"/>
                <w:spacing w:val="0"/>
                <w:sz w:val="28"/>
                <w:u w:val="none"/>
                <w:lang w:val="en-US" w:eastAsia="zh-CN"/>
              </w:rPr>
              <w:t>依据原理图接入R1、R2电阻即可得到稳定的3V电源。</w:t>
            </w:r>
          </w:p>
          <w:p w14:paraId="2EC44CEC">
            <w:pPr>
              <w:pBdr>
                <w:bottom w:val="none" w:color="auto" w:sz="0" w:space="0"/>
              </w:pBdr>
              <w:snapToGrid/>
              <w:spacing w:line="240" w:lineRule="auto"/>
              <w:jc w:val="center"/>
              <w:rPr>
                <w:rFonts w:ascii="宋体" w:hAnsi="宋体"/>
                <w:sz w:val="24"/>
              </w:rPr>
            </w:pPr>
            <w:r>
              <w:drawing>
                <wp:inline distT="0" distB="0" distL="0" distR="0">
                  <wp:extent cx="3692525" cy="1873250"/>
                  <wp:effectExtent l="0" t="0" r="3175" b="6350"/>
                  <wp:docPr id="5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descript"/>
                          <pic:cNvPicPr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D40AB">
            <w:pPr>
              <w:snapToGrid w:val="0"/>
              <w:spacing w:line="400" w:lineRule="exact"/>
              <w:ind w:firstLine="480" w:firstLineChars="200"/>
              <w:rPr>
                <w:rFonts w:hint="default" w:ascii="宋体" w:hAnsi="宋体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                              </w:t>
            </w:r>
            <w:r>
              <w:rPr>
                <w:rFonts w:hint="eastAsia" w:ascii="宋体" w:hAnsi="宋体"/>
                <w:sz w:val="22"/>
                <w:lang w:val="en-US" w:eastAsia="zh-CN"/>
              </w:rPr>
              <w:t>图3.3.2   数据手册推荐原理图</w:t>
            </w:r>
          </w:p>
          <w:p w14:paraId="269B5723">
            <w:pPr>
              <w:snapToGrid w:val="0"/>
              <w:spacing w:line="400" w:lineRule="exact"/>
              <w:ind w:firstLine="480" w:firstLineChars="200"/>
              <w:rPr>
                <w:rFonts w:ascii="宋体" w:hAnsi="宋体"/>
                <w:sz w:val="24"/>
              </w:rPr>
            </w:pPr>
          </w:p>
        </w:tc>
      </w:tr>
      <w:tr w14:paraId="50613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8" w:type="dxa"/>
            <w:gridSpan w:val="6"/>
            <w:shd w:val="clear" w:color="auto" w:fill="auto"/>
          </w:tcPr>
          <w:p w14:paraId="6CE08B4E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4、总结和体会</w:t>
            </w:r>
          </w:p>
          <w:p w14:paraId="268F3C28">
            <w:pPr>
              <w:snapToGrid/>
              <w:spacing w:line="240" w:lineRule="auto"/>
              <w:ind w:left="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1.不同模块的电源电压不同，且类型不同，需要分类别分别管理，否则会造成互相之间干扰。</w:t>
            </w:r>
          </w:p>
          <w:p w14:paraId="7857DA61">
            <w:pPr>
              <w:snapToGrid/>
              <w:spacing w:line="240" w:lineRule="auto"/>
              <w:ind w:left="0"/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2.在高频放大电路中，使用通用运放LM358时发现其带宽有限，难以满足多级放大的增益需求。通过反复调整级间补偿电路和级数分配，最终实现了约80dB的稳定增益，认识到高频电路中对器件带宽和相位裕度的严格要求。</w:t>
            </w:r>
          </w:p>
          <w:p w14:paraId="20629589">
            <w:pPr>
              <w:pBdr>
                <w:bottom w:val="none" w:color="auto" w:sz="0" w:space="0"/>
              </w:pBdr>
              <w:snapToGrid/>
              <w:spacing w:line="240" w:lineRule="auto"/>
              <w:ind w:left="0"/>
              <w:rPr>
                <w:rFonts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8"/>
                <w:u w:val="none"/>
              </w:rPr>
              <w:t>3.初期使用硅二极管检波时，由于正向压降较大且负载时间常数不匹配，导致语音信号失真、发闷。后续更换为锗二极管并精细调整RC参数，才显著改善了语音还原质量，意识到检波器件选型与负载匹配对信号保真度的重要性。</w:t>
            </w:r>
          </w:p>
        </w:tc>
      </w:tr>
      <w:tr w14:paraId="7E838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8" w:type="dxa"/>
            <w:gridSpan w:val="6"/>
            <w:tcBorders>
              <w:bottom w:val="nil"/>
            </w:tcBorders>
            <w:shd w:val="clear" w:color="auto" w:fill="auto"/>
          </w:tcPr>
          <w:p w14:paraId="14C349B2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附录：</w:t>
            </w:r>
          </w:p>
          <w:p w14:paraId="55B89BA5">
            <w:pPr>
              <w:snapToGrid w:val="0"/>
              <w:spacing w:line="400" w:lineRule="exact"/>
              <w:ind w:firstLine="723" w:firstLineChars="300"/>
              <w:rPr>
                <w:rFonts w:hint="eastAsia" w:ascii="宋体" w:hAnsi="宋体" w:eastAsia="宋体"/>
                <w:b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szCs w:val="28"/>
                <w:lang w:val="en-US" w:eastAsia="zh-CN"/>
              </w:rPr>
              <w:t>无</w:t>
            </w:r>
          </w:p>
          <w:p w14:paraId="342EB5C7">
            <w:pPr>
              <w:snapToGrid w:val="0"/>
              <w:spacing w:line="400" w:lineRule="exact"/>
              <w:ind w:firstLine="723" w:firstLineChars="300"/>
              <w:rPr>
                <w:rFonts w:ascii="宋体" w:hAnsi="宋体"/>
                <w:b/>
                <w:sz w:val="24"/>
                <w:szCs w:val="28"/>
              </w:rPr>
            </w:pPr>
          </w:p>
          <w:p w14:paraId="2812E4EB">
            <w:pPr>
              <w:snapToGrid w:val="0"/>
              <w:spacing w:line="400" w:lineRule="exact"/>
              <w:ind w:firstLine="723" w:firstLineChars="300"/>
              <w:rPr>
                <w:rFonts w:ascii="宋体" w:hAnsi="宋体"/>
                <w:b/>
                <w:sz w:val="24"/>
                <w:szCs w:val="28"/>
              </w:rPr>
            </w:pPr>
          </w:p>
          <w:p w14:paraId="64D38729">
            <w:pPr>
              <w:snapToGrid w:val="0"/>
              <w:spacing w:line="400" w:lineRule="exact"/>
              <w:ind w:firstLine="723" w:firstLineChars="300"/>
              <w:rPr>
                <w:rFonts w:ascii="宋体" w:hAnsi="宋体"/>
                <w:b/>
                <w:sz w:val="24"/>
                <w:szCs w:val="28"/>
              </w:rPr>
            </w:pPr>
          </w:p>
          <w:p w14:paraId="778FB91F">
            <w:pPr>
              <w:snapToGrid w:val="0"/>
              <w:spacing w:line="400" w:lineRule="exact"/>
              <w:ind w:firstLineChars="0"/>
              <w:rPr>
                <w:rFonts w:ascii="宋体" w:hAnsi="宋体"/>
                <w:b/>
                <w:sz w:val="24"/>
                <w:szCs w:val="28"/>
              </w:rPr>
            </w:pPr>
          </w:p>
          <w:p w14:paraId="2512055F">
            <w:pPr>
              <w:snapToGrid w:val="0"/>
              <w:spacing w:line="400" w:lineRule="exact"/>
              <w:ind w:firstLine="843" w:firstLineChars="300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28AFC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90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3BCCE3B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文档完成日期：</w:t>
            </w:r>
          </w:p>
        </w:tc>
        <w:tc>
          <w:tcPr>
            <w:tcW w:w="2606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9841FAD">
            <w:pPr>
              <w:jc w:val="right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2025</w:t>
            </w:r>
            <w:r>
              <w:rPr>
                <w:rFonts w:hint="eastAsia" w:ascii="宋体" w:hAnsi="宋体"/>
                <w:b/>
              </w:rPr>
              <w:t xml:space="preserve">年 </w:t>
            </w:r>
            <w:r>
              <w:rPr>
                <w:rFonts w:ascii="宋体" w:hAnsi="宋体"/>
                <w:b/>
              </w:rPr>
              <w:t xml:space="preserve">  </w:t>
            </w:r>
            <w:r>
              <w:rPr>
                <w:rFonts w:hint="eastAsia" w:ascii="宋体" w:hAnsi="宋体"/>
                <w:b/>
                <w:lang w:val="en-US" w:eastAsia="zh-CN"/>
              </w:rPr>
              <w:t>9</w:t>
            </w:r>
            <w:r>
              <w:rPr>
                <w:rFonts w:hint="eastAsia" w:ascii="宋体" w:hAnsi="宋体"/>
                <w:b/>
              </w:rPr>
              <w:t xml:space="preserve">月 </w:t>
            </w:r>
            <w:r>
              <w:rPr>
                <w:rFonts w:ascii="宋体" w:hAnsi="宋体"/>
                <w:b/>
              </w:rPr>
              <w:t xml:space="preserve"> </w:t>
            </w:r>
            <w:r>
              <w:rPr>
                <w:rFonts w:hint="eastAsia" w:ascii="宋体" w:hAnsi="宋体"/>
                <w:b/>
              </w:rPr>
              <w:t xml:space="preserve"> </w:t>
            </w:r>
            <w:r>
              <w:rPr>
                <w:rFonts w:hint="eastAsia" w:ascii="宋体" w:hAnsi="宋体"/>
                <w:b/>
                <w:lang w:val="en-US" w:eastAsia="zh-CN"/>
              </w:rPr>
              <w:t>28</w:t>
            </w:r>
            <w:r>
              <w:rPr>
                <w:rFonts w:hint="eastAsia" w:ascii="宋体" w:hAnsi="宋体"/>
                <w:b/>
              </w:rPr>
              <w:t>日</w:t>
            </w:r>
          </w:p>
        </w:tc>
        <w:tc>
          <w:tcPr>
            <w:tcW w:w="10389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EC3D561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指导老师审查意见</w:t>
            </w:r>
          </w:p>
        </w:tc>
      </w:tr>
      <w:tr w14:paraId="60B9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3" w:hRule="atLeast"/>
        </w:trPr>
        <w:tc>
          <w:tcPr>
            <w:tcW w:w="190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670AF8A">
            <w:pPr>
              <w:snapToGrid w:val="0"/>
              <w:spacing w:line="4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Cs w:val="21"/>
              </w:rPr>
              <w:t>项目组成员：</w:t>
            </w:r>
          </w:p>
        </w:tc>
        <w:tc>
          <w:tcPr>
            <w:tcW w:w="2606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3168B3F">
            <w:pPr>
              <w:snapToGrid w:val="0"/>
              <w:spacing w:line="40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胡伟畅、郝成城、</w:t>
            </w:r>
          </w:p>
          <w:p w14:paraId="690D85AC">
            <w:pPr>
              <w:snapToGrid w:val="0"/>
              <w:spacing w:line="4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丰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国庆、刘相炜</w:t>
            </w:r>
          </w:p>
        </w:tc>
        <w:tc>
          <w:tcPr>
            <w:tcW w:w="10389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9DE4EBC"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366395" cy="282575"/>
                  <wp:effectExtent l="0" t="0" r="1905" b="9525"/>
                  <wp:docPr id="1" name="图片 1" descr="微信图片_20250917105927_52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0917105927_52_75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l="33726" t="27111" r="39297" b="35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" cy="28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723900" cy="289560"/>
                  <wp:effectExtent l="0" t="0" r="0" b="2540"/>
                  <wp:docPr id="3" name="图片 3" descr="微信图片_20250917101212_51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50917101212_51_75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249D8"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</w:p>
        </w:tc>
      </w:tr>
    </w:tbl>
    <w:p w14:paraId="78972273"/>
    <w:sectPr>
      <w:headerReference r:id="rId3" w:type="default"/>
      <w:footerReference r:id="rId4" w:type="default"/>
      <w:pgSz w:w="16838" w:h="11906" w:orient="landscape"/>
      <w:pgMar w:top="851" w:right="851" w:bottom="851" w:left="1418" w:header="851" w:footer="7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B7EFA">
    <w:pPr>
      <w:pStyle w:val="3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fldChar w:fldCharType="end"/>
    </w:r>
    <w:r>
      <w:rPr>
        <w:rFonts w:hint="eastAsia"/>
      </w:rPr>
      <w:t xml:space="preserve"> 页 共 </w:t>
    </w:r>
    <w:r>
      <w:fldChar w:fldCharType="begin"/>
    </w:r>
    <w:r>
      <w:instrText xml:space="preserve"> NUMPAGES  \* Arabic </w:instrText>
    </w:r>
    <w:r>
      <w:fldChar w:fldCharType="separate"/>
    </w:r>
    <w:r>
      <w:t>3</w:t>
    </w:r>
    <w:r>
      <w:fldChar w:fldCharType="end"/>
    </w:r>
    <w:r>
      <w:rPr>
        <w:rFonts w:hint="eastAsia"/>
      </w:rPr>
      <w:t xml:space="preserve"> 页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DD9E9">
    <w:pPr>
      <w:jc w:val="distribute"/>
    </w:pPr>
    <w:r>
      <w:rPr>
        <w:rFonts w:hint="eastAsia"/>
      </w:rPr>
      <w:t>中国民航大学</w:t>
    </w:r>
    <w:r>
      <w:t>—</w:t>
    </w:r>
    <w:r>
      <w:rPr>
        <w:rFonts w:hint="eastAsia"/>
      </w:rPr>
      <w:t xml:space="preserve">初级项目             </w:t>
    </w:r>
    <w:r>
      <w:t xml:space="preserve">                                                                            </w:t>
    </w:r>
    <w:r>
      <w:rPr>
        <w:rFonts w:hint="eastAsia"/>
      </w:rPr>
      <w:t>文档编号：</w:t>
    </w:r>
    <w:r>
      <w:t>2023</w:t>
    </w:r>
    <w:r>
      <w:rPr>
        <w:rFonts w:hint="eastAsia"/>
      </w:rPr>
      <w:t>-2-2-3</w:t>
    </w:r>
    <w:r>
      <w:t>/R3.1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EC3"/>
    <w:rsid w:val="00062842"/>
    <w:rsid w:val="00070D7F"/>
    <w:rsid w:val="000847D2"/>
    <w:rsid w:val="000D1AAC"/>
    <w:rsid w:val="0011290C"/>
    <w:rsid w:val="00133F85"/>
    <w:rsid w:val="00167062"/>
    <w:rsid w:val="001A2FF2"/>
    <w:rsid w:val="001A6E44"/>
    <w:rsid w:val="001E7EE7"/>
    <w:rsid w:val="00253E7A"/>
    <w:rsid w:val="002A31C3"/>
    <w:rsid w:val="002F0A43"/>
    <w:rsid w:val="00310D65"/>
    <w:rsid w:val="00334AC7"/>
    <w:rsid w:val="003572BE"/>
    <w:rsid w:val="00367971"/>
    <w:rsid w:val="003E2871"/>
    <w:rsid w:val="00403D80"/>
    <w:rsid w:val="004041A4"/>
    <w:rsid w:val="004062A0"/>
    <w:rsid w:val="00467F87"/>
    <w:rsid w:val="004C75A0"/>
    <w:rsid w:val="004D1DCF"/>
    <w:rsid w:val="00512108"/>
    <w:rsid w:val="005816EF"/>
    <w:rsid w:val="005853DD"/>
    <w:rsid w:val="0060168F"/>
    <w:rsid w:val="00613244"/>
    <w:rsid w:val="00613253"/>
    <w:rsid w:val="006B1EC3"/>
    <w:rsid w:val="00747C18"/>
    <w:rsid w:val="0078768F"/>
    <w:rsid w:val="0079070F"/>
    <w:rsid w:val="007D3175"/>
    <w:rsid w:val="00835C95"/>
    <w:rsid w:val="008C440D"/>
    <w:rsid w:val="008C5A19"/>
    <w:rsid w:val="008D2972"/>
    <w:rsid w:val="008F5173"/>
    <w:rsid w:val="009161B1"/>
    <w:rsid w:val="00916677"/>
    <w:rsid w:val="009A59F8"/>
    <w:rsid w:val="009C1F37"/>
    <w:rsid w:val="009F0321"/>
    <w:rsid w:val="00A50478"/>
    <w:rsid w:val="00A523DB"/>
    <w:rsid w:val="00A81B77"/>
    <w:rsid w:val="00AB3C76"/>
    <w:rsid w:val="00AB42D5"/>
    <w:rsid w:val="00C07959"/>
    <w:rsid w:val="00C12E71"/>
    <w:rsid w:val="00C7178E"/>
    <w:rsid w:val="00C95D9D"/>
    <w:rsid w:val="00CA3455"/>
    <w:rsid w:val="00D32C69"/>
    <w:rsid w:val="00D60564"/>
    <w:rsid w:val="00D74118"/>
    <w:rsid w:val="00D87D3A"/>
    <w:rsid w:val="00D87F74"/>
    <w:rsid w:val="00DE27C1"/>
    <w:rsid w:val="00E9568D"/>
    <w:rsid w:val="00F60228"/>
    <w:rsid w:val="05E42DE2"/>
    <w:rsid w:val="2CB27900"/>
    <w:rsid w:val="2E923919"/>
    <w:rsid w:val="331A77C2"/>
    <w:rsid w:val="3D834567"/>
    <w:rsid w:val="583757CC"/>
    <w:rsid w:val="7E2D12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9"/>
    <w:rPr>
      <w:sz w:val="20"/>
      <w:szCs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2.png"/><Relationship Id="rId36" Type="http://schemas.openxmlformats.org/officeDocument/2006/relationships/image" Target="media/image31.jpeg"/><Relationship Id="rId35" Type="http://schemas.openxmlformats.org/officeDocument/2006/relationships/image" Target="media/image30.png"/><Relationship Id="rId34" Type="http://schemas.openxmlformats.org/officeDocument/2006/relationships/image" Target="media/image29.svg"/><Relationship Id="rId33" Type="http://schemas.openxmlformats.org/officeDocument/2006/relationships/image" Target="media/image28.png"/><Relationship Id="rId32" Type="http://schemas.openxmlformats.org/officeDocument/2006/relationships/image" Target="media/image27.svg"/><Relationship Id="rId31" Type="http://schemas.openxmlformats.org/officeDocument/2006/relationships/image" Target="media/image26.png"/><Relationship Id="rId30" Type="http://schemas.openxmlformats.org/officeDocument/2006/relationships/image" Target="media/image25.sv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svg"/><Relationship Id="rId26" Type="http://schemas.openxmlformats.org/officeDocument/2006/relationships/image" Target="media/image21.png"/><Relationship Id="rId25" Type="http://schemas.openxmlformats.org/officeDocument/2006/relationships/image" Target="media/image20.svg"/><Relationship Id="rId24" Type="http://schemas.openxmlformats.org/officeDocument/2006/relationships/image" Target="media/image19.png"/><Relationship Id="rId23" Type="http://schemas.openxmlformats.org/officeDocument/2006/relationships/image" Target="media/image18.sv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sv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svg"/><Relationship Id="rId17" Type="http://schemas.openxmlformats.org/officeDocument/2006/relationships/image" Target="media/image12.png"/><Relationship Id="rId16" Type="http://schemas.openxmlformats.org/officeDocument/2006/relationships/image" Target="media/image11.svg"/><Relationship Id="rId15" Type="http://schemas.openxmlformats.org/officeDocument/2006/relationships/image" Target="media/image10.png"/><Relationship Id="rId14" Type="http://schemas.openxmlformats.org/officeDocument/2006/relationships/image" Target="media/image9.svg"/><Relationship Id="rId13" Type="http://schemas.openxmlformats.org/officeDocument/2006/relationships/image" Target="media/image8.png"/><Relationship Id="rId12" Type="http://schemas.openxmlformats.org/officeDocument/2006/relationships/image" Target="media/image7.sv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3729</Words>
  <Characters>4127</Characters>
  <TotalTime>0</TotalTime>
  <ScaleCrop>false</ScaleCrop>
  <LinksUpToDate>false</LinksUpToDate>
  <CharactersWithSpaces>4694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2025-09-28T18:00:00Z</dcterms:created>
  <dc:creator>HP</dc:creator>
  <cp:lastModifiedBy>一</cp:lastModifiedBy>
  <dcterms:modified xsi:type="dcterms:W3CDTF">2025-09-29T01:03:46Z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eyJoZGlkIjoiYmI2MjQ1NDYxNTRhYTE2NWNjZDkyYTQ5ODY2M2I3NjUiLCJ1c2VySWQiOiIzNDQ2OTU1NTgifQ==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ABCE50B44D424CB8995DA0F1448D9FFA_12</vt:lpwstr>
  </property>
</Properties>
</file>