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06571">
      <w:pPr>
        <w:jc w:val="center"/>
        <w:rPr>
          <w:rFonts w:ascii="黑体" w:hAnsi="Times New Roman" w:eastAsia="黑体" w:cs="Times New Roman"/>
          <w:b/>
          <w:sz w:val="44"/>
          <w:szCs w:val="44"/>
        </w:rPr>
      </w:pPr>
      <w:r>
        <w:rPr>
          <w:rFonts w:hint="eastAsia" w:ascii="黑体" w:hAnsi="Times New Roman" w:eastAsia="黑体" w:cs="Times New Roman"/>
          <w:b/>
          <w:sz w:val="44"/>
          <w:szCs w:val="44"/>
        </w:rPr>
        <w:t>验收实验设计报告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537"/>
        <w:gridCol w:w="3376"/>
        <w:gridCol w:w="1698"/>
        <w:gridCol w:w="7487"/>
      </w:tblGrid>
      <w:tr w14:paraId="50EBD3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  <w:gridSpan w:val="2"/>
          </w:tcPr>
          <w:p w14:paraId="147DB40A">
            <w:pPr>
              <w:jc w:val="right"/>
              <w:rPr>
                <w:rFonts w:asciiTheme="minorEastAsia" w:hAnsiTheme="minorEastAsia"/>
                <w:b/>
                <w:sz w:val="28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4"/>
              </w:rPr>
              <w:t>项目编号：</w:t>
            </w:r>
          </w:p>
        </w:tc>
        <w:tc>
          <w:tcPr>
            <w:tcW w:w="3376" w:type="dxa"/>
            <w:vAlign w:val="center"/>
          </w:tcPr>
          <w:p w14:paraId="745BE9E7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2025-13-23</w:t>
            </w:r>
          </w:p>
        </w:tc>
        <w:tc>
          <w:tcPr>
            <w:tcW w:w="1698" w:type="dxa"/>
          </w:tcPr>
          <w:p w14:paraId="0CE392EA">
            <w:pPr>
              <w:jc w:val="right"/>
              <w:rPr>
                <w:rFonts w:asciiTheme="minorEastAsia" w:hAnsiTheme="minorEastAsia"/>
                <w:b/>
                <w:sz w:val="28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4"/>
              </w:rPr>
              <w:t>项目名称：</w:t>
            </w:r>
          </w:p>
        </w:tc>
        <w:tc>
          <w:tcPr>
            <w:tcW w:w="7487" w:type="dxa"/>
            <w:vAlign w:val="center"/>
          </w:tcPr>
          <w:p w14:paraId="2952C513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b/>
                <w:color w:val="0D0D0D"/>
                <w:sz w:val="28"/>
                <w:szCs w:val="28"/>
              </w:rPr>
              <w:t>航空语音通信质量监测与报警系统</w:t>
            </w:r>
          </w:p>
        </w:tc>
      </w:tr>
      <w:tr w14:paraId="3A0977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  <w:gridSpan w:val="2"/>
          </w:tcPr>
          <w:p w14:paraId="4D70F932">
            <w:pPr>
              <w:jc w:val="right"/>
              <w:rPr>
                <w:rFonts w:asciiTheme="minorEastAsia" w:hAnsiTheme="minorEastAsia"/>
                <w:b/>
                <w:sz w:val="28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4"/>
              </w:rPr>
              <w:t>指导教师：</w:t>
            </w:r>
          </w:p>
        </w:tc>
        <w:tc>
          <w:tcPr>
            <w:tcW w:w="3376" w:type="dxa"/>
            <w:vAlign w:val="center"/>
          </w:tcPr>
          <w:p w14:paraId="6AD7C849">
            <w:pPr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刘丹、黄建宇</w:t>
            </w:r>
          </w:p>
        </w:tc>
        <w:tc>
          <w:tcPr>
            <w:tcW w:w="1698" w:type="dxa"/>
          </w:tcPr>
          <w:p w14:paraId="7B3A7AEF">
            <w:pPr>
              <w:jc w:val="right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4"/>
              </w:rPr>
              <w:t>团队成员：</w:t>
            </w:r>
          </w:p>
        </w:tc>
        <w:tc>
          <w:tcPr>
            <w:tcW w:w="7487" w:type="dxa"/>
            <w:vAlign w:val="center"/>
          </w:tcPr>
          <w:p w14:paraId="72808B4B">
            <w:pPr>
              <w:jc w:val="center"/>
              <w:rPr>
                <w:rFonts w:hint="default" w:asciiTheme="minorEastAsia" w:hAnsiTheme="minor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胡伟畅、郝成城、丰国庆、刘相炜</w:t>
            </w:r>
          </w:p>
        </w:tc>
      </w:tr>
      <w:tr w14:paraId="41CD46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</w:trPr>
        <w:tc>
          <w:tcPr>
            <w:tcW w:w="2035" w:type="dxa"/>
            <w:gridSpan w:val="2"/>
            <w:vAlign w:val="center"/>
          </w:tcPr>
          <w:p w14:paraId="7D186F82">
            <w:pPr>
              <w:jc w:val="center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任务书指标要求</w:t>
            </w:r>
          </w:p>
        </w:tc>
        <w:tc>
          <w:tcPr>
            <w:tcW w:w="12561" w:type="dxa"/>
            <w:gridSpan w:val="3"/>
            <w:vAlign w:val="center"/>
          </w:tcPr>
          <w:p w14:paraId="19AD4D78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1、中波AM标准调制；</w:t>
            </w:r>
          </w:p>
          <w:p w14:paraId="22E64EC6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2、接收机包络检波解调；</w:t>
            </w:r>
          </w:p>
          <w:p w14:paraId="76200310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3、STM32TIM定时ADC12位采样；</w:t>
            </w:r>
          </w:p>
          <w:p w14:paraId="18EF609B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4、256点加汉宁窗FFT变换；</w:t>
            </w:r>
          </w:p>
          <w:p w14:paraId="3846ECB5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5、计算失真度与信噪比；</w:t>
            </w:r>
          </w:p>
          <w:p w14:paraId="45B40137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6、串口屏实时显示音频质量指标与频谱图；</w:t>
            </w:r>
          </w:p>
          <w:p w14:paraId="5647F1F3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7、状态机控制不同显示模式；</w:t>
            </w:r>
          </w:p>
          <w:p w14:paraId="392580B5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8、声光实时报警模块；</w:t>
            </w:r>
          </w:p>
          <w:p w14:paraId="21D7191F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9、3D建模及打印，集成便携式检测器；</w:t>
            </w:r>
          </w:p>
          <w:p w14:paraId="58155A30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10、配套MATALB-PC端软件检测及音频处理；</w:t>
            </w:r>
          </w:p>
        </w:tc>
      </w:tr>
      <w:tr w14:paraId="0D1D1A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6" w:hRule="atLeast"/>
        </w:trPr>
        <w:tc>
          <w:tcPr>
            <w:tcW w:w="2035" w:type="dxa"/>
            <w:gridSpan w:val="2"/>
            <w:vAlign w:val="center"/>
          </w:tcPr>
          <w:p w14:paraId="44C165EC">
            <w:pPr>
              <w:jc w:val="center"/>
              <w:rPr>
                <w:rFonts w:asciiTheme="minorEastAsia" w:hAnsiTheme="minorEastAsia"/>
                <w:b/>
                <w:sz w:val="28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4"/>
              </w:rPr>
              <w:t>重点参数及影响分析</w:t>
            </w:r>
          </w:p>
        </w:tc>
        <w:tc>
          <w:tcPr>
            <w:tcW w:w="12561" w:type="dxa"/>
            <w:gridSpan w:val="3"/>
            <w:vAlign w:val="center"/>
          </w:tcPr>
          <w:p w14:paraId="3E73719D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检测带宽：150~4.5kHz</w:t>
            </w:r>
          </w:p>
          <w:p w14:paraId="44A32F99">
            <w:pPr>
              <w:jc w:val="left"/>
              <w:rPr>
                <w:rFonts w:hint="default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频带分辨率：35Hz</w:t>
            </w:r>
          </w:p>
          <w:p w14:paraId="48781C67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 xml:space="preserve">设定高品质音频质量参数：信噪比&gt;=20dB 失真度&lt;=10% </w:t>
            </w:r>
          </w:p>
          <w:p w14:paraId="74863811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检测分辨率：信噪比0.01dB    失真度0.01%</w:t>
            </w:r>
          </w:p>
          <w:p w14:paraId="2B10CA97">
            <w:pPr>
              <w:jc w:val="left"/>
              <w:rPr>
                <w:rFonts w:hint="default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报警响应时间：&lt;1s</w:t>
            </w:r>
          </w:p>
          <w:p w14:paraId="54C65713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信噪比：决定信号的清晰程度，数值越高，信号中有效信息占比越大，背景噪声对信号的干扰就越小</w:t>
            </w:r>
          </w:p>
          <w:p w14:paraId="14534991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失真度：衡量信号经处理或传输后与原始信号的差异程度，失真度越低，信号的还原度越高</w:t>
            </w:r>
          </w:p>
        </w:tc>
      </w:tr>
      <w:tr w14:paraId="4C1EF3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2035" w:type="dxa"/>
            <w:gridSpan w:val="2"/>
            <w:tcBorders>
              <w:top w:val="single" w:color="auto" w:sz="4" w:space="0"/>
            </w:tcBorders>
            <w:vAlign w:val="center"/>
          </w:tcPr>
          <w:p w14:paraId="2C833C28">
            <w:pPr>
              <w:jc w:val="center"/>
              <w:rPr>
                <w:rFonts w:asciiTheme="minorEastAsia" w:hAnsiTheme="minorEastAsia"/>
                <w:b/>
                <w:sz w:val="28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4"/>
              </w:rPr>
              <w:t>所需测试 设备</w:t>
            </w:r>
          </w:p>
        </w:tc>
        <w:tc>
          <w:tcPr>
            <w:tcW w:w="12561" w:type="dxa"/>
            <w:gridSpan w:val="3"/>
            <w:vAlign w:val="center"/>
          </w:tcPr>
          <w:p w14:paraId="3ECD2642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万用表 信号发生器 示波器 PC端电脑 单片机</w:t>
            </w:r>
          </w:p>
        </w:tc>
      </w:tr>
      <w:tr w14:paraId="744C5C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8" w:hRule="atLeast"/>
        </w:trPr>
        <w:tc>
          <w:tcPr>
            <w:tcW w:w="498" w:type="dxa"/>
            <w:vMerge w:val="restart"/>
            <w:tcBorders>
              <w:right w:val="single" w:color="auto" w:sz="4" w:space="0"/>
            </w:tcBorders>
            <w:vAlign w:val="center"/>
          </w:tcPr>
          <w:p w14:paraId="7018AA2D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4"/>
              </w:rPr>
              <w:t>实验设计</w:t>
            </w:r>
          </w:p>
        </w:tc>
        <w:tc>
          <w:tcPr>
            <w:tcW w:w="1537" w:type="dxa"/>
            <w:tcBorders>
              <w:left w:val="single" w:color="auto" w:sz="4" w:space="0"/>
            </w:tcBorders>
            <w:vAlign w:val="center"/>
          </w:tcPr>
          <w:p w14:paraId="0E2E92D6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测试方法</w:t>
            </w:r>
          </w:p>
        </w:tc>
        <w:tc>
          <w:tcPr>
            <w:tcW w:w="12561" w:type="dxa"/>
            <w:gridSpan w:val="3"/>
            <w:vAlign w:val="center"/>
          </w:tcPr>
          <w:p w14:paraId="0F3D463B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 xml:space="preserve">    连接信号发生器和发射机，由信号发生器产生的1kHZ，1Vpp的正弦信号，在接收机上可以听到持续的正弦蜂鸣。此时将信号发生器换成麦克风，对麦克风讲话在接收机可以听到清晰的人声，接收机的信号同时引出到PC端或单片机进行检测:在PC端实时显示信噪比和失真度的数值同时可以滤波处理；在单片机上如果满足以下一项指标：（信噪比&gt;=20dB或者失真度&lt;=10%）单片机亮黄灯；若同时满足两项指标说明性能良好亮绿灯；若两项均不满足则亮红灯同时蜂鸣器报警。</w:t>
            </w:r>
          </w:p>
        </w:tc>
      </w:tr>
      <w:tr w14:paraId="5B72D0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2" w:hRule="atLeast"/>
        </w:trPr>
        <w:tc>
          <w:tcPr>
            <w:tcW w:w="498" w:type="dxa"/>
            <w:vMerge w:val="continue"/>
            <w:tcBorders>
              <w:right w:val="single" w:color="auto" w:sz="4" w:space="0"/>
            </w:tcBorders>
            <w:vAlign w:val="center"/>
          </w:tcPr>
          <w:p w14:paraId="5A405F6E">
            <w:pPr>
              <w:rPr>
                <w:rFonts w:asciiTheme="minorEastAsia" w:hAnsiTheme="minorEastAsia"/>
                <w:b/>
                <w:sz w:val="28"/>
                <w:szCs w:val="24"/>
              </w:rPr>
            </w:pPr>
          </w:p>
        </w:tc>
        <w:tc>
          <w:tcPr>
            <w:tcW w:w="1537" w:type="dxa"/>
            <w:tcBorders>
              <w:left w:val="single" w:color="auto" w:sz="4" w:space="0"/>
            </w:tcBorders>
            <w:vAlign w:val="center"/>
          </w:tcPr>
          <w:p w14:paraId="47DA37D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测试程序</w:t>
            </w:r>
          </w:p>
        </w:tc>
        <w:tc>
          <w:tcPr>
            <w:tcW w:w="12561" w:type="dxa"/>
            <w:gridSpan w:val="3"/>
            <w:vAlign w:val="center"/>
          </w:tcPr>
          <w:p w14:paraId="5273A6BE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  <w:p w14:paraId="706F5018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1、按实验设备连接图搭好测试系统：</w:t>
            </w:r>
          </w:p>
          <w:p w14:paraId="594A8E64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 xml:space="preserve">    检查一遍所有电源线、信号线，都插紧，没有接触不良的情况。</w:t>
            </w:r>
          </w:p>
          <w:p w14:paraId="5A4B2044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先把信号发生器或者麦克风的输出端，跟发射机的音频输入接口接牢 接收机的音频输出端，一边连电脑，另一边连单片机模块；</w:t>
            </w:r>
          </w:p>
          <w:p w14:paraId="43D9E2B8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2、通电预热：</w:t>
            </w:r>
          </w:p>
          <w:p w14:paraId="7AEB66F5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按顺序打开信号发生器、发射机、接收机、电脑和单片机的电源；让所有设备都预热5分钟，等它们工作稳定了再往下做，避免刚开机的数据不准。</w:t>
            </w:r>
          </w:p>
          <w:p w14:paraId="1C932BEA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3、基准校准：</w:t>
            </w:r>
          </w:p>
          <w:p w14:paraId="4D10018B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校准信号发生器：让它输出1kHz的正弦信号，用示波器核对一下信号的幅度和频率对不对；</w:t>
            </w:r>
          </w:p>
          <w:p w14:paraId="2D7ECEA1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校准接收机：没接信号的时候，听听有没有奇怪的干扰声，确认底噪稳定。</w:t>
            </w:r>
          </w:p>
          <w:p w14:paraId="291E279B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4、上电测试：</w:t>
            </w:r>
          </w:p>
          <w:p w14:paraId="78871E65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让信号发生器输出1kHz正弦信号到发射机，打开整套系统；听接收机有没有持续的蜂鸣音，有没有断音、杂音；看看电脑上能不能实时显示信噪比和失真度，数据是不是每秒刷新一次；观察单片机的灯亮不亮，基本的逻辑有没有问题；换成麦克风输入，对着麦克风说话，确认接收机里能听清人声，电脑上的数据会跟着声音变化；</w:t>
            </w:r>
          </w:p>
          <w:p w14:paraId="0E1AF12F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5、开始正式测试：</w:t>
            </w:r>
          </w:p>
          <w:p w14:paraId="4C395DE1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清空电脑上之前的测试数据，打开数据记录功能，设置每秒记录一次。</w:t>
            </w:r>
          </w:p>
          <w:p w14:paraId="2CB12682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6、正弦信号测试记录数据：</w:t>
            </w:r>
          </w:p>
          <w:p w14:paraId="10C88AB2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保持信号发生器输出1kHz、1Vpp的正弦信号；稳定输出5分钟后，记下电脑上显示的信噪比平均值和失真度平均值；记下单片机亮的是黄灯、绿灯还是红灯，蜂鸣器有没有响；同时听接收机的蜂鸣音，有没有异常的噪声或者失真，也记下来。</w:t>
            </w:r>
          </w:p>
          <w:p w14:paraId="410D36D0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7、人声信号测试，记录数据：</w:t>
            </w:r>
          </w:p>
          <w:p w14:paraId="57C16104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拔掉信号发生器，接上麦克风，保持发射机、接收机正常工作；测试的人用正常音量，对着麦克风匀速读一段标准文本（记下电脑上信噪比的波动范围和失真度的波动范围，记下单片机的灯的状态和蜂鸣器是否报警；听接收机里的人声清不清晰，有没有音色改变、断音或者杂音。</w:t>
            </w:r>
          </w:p>
          <w:p w14:paraId="34705DB7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8、结束：</w:t>
            </w:r>
          </w:p>
          <w:p w14:paraId="11B73E0B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按顺序关掉所有设备的电源，先关信号发生器、发射机、接收机，再关单片机和电脑；把所有测试数据整理好，写进测试报告里，要包含每个测试点的数值、灯的状态。拔掉所有线路，把实验设备整理好放回原位。</w:t>
            </w:r>
          </w:p>
          <w:p w14:paraId="0846F257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1B7E8C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8" w:hRule="atLeast"/>
        </w:trPr>
        <w:tc>
          <w:tcPr>
            <w:tcW w:w="498" w:type="dxa"/>
            <w:vMerge w:val="continue"/>
            <w:tcBorders>
              <w:right w:val="single" w:color="auto" w:sz="4" w:space="0"/>
            </w:tcBorders>
            <w:vAlign w:val="center"/>
          </w:tcPr>
          <w:p w14:paraId="793214FE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left w:val="single" w:color="auto" w:sz="4" w:space="0"/>
            </w:tcBorders>
            <w:vAlign w:val="center"/>
          </w:tcPr>
          <w:p w14:paraId="0FBA280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安全保障措施</w:t>
            </w:r>
          </w:p>
        </w:tc>
        <w:tc>
          <w:tcPr>
            <w:tcW w:w="12561" w:type="dxa"/>
            <w:gridSpan w:val="3"/>
            <w:vAlign w:val="center"/>
          </w:tcPr>
          <w:p w14:paraId="4E80DDD2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(1)如若出现短路故障，可及时通过开关来切断电源，来避免因功率过大而导致的起火；在音频检测器的PCB设计中，在主电源电路包含了60V自恢复保险丝，来提供安全保障。</w:t>
            </w:r>
          </w:p>
          <w:p w14:paraId="51721277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(2)所有装置设计包装外壳，防止外界干扰，同时防止人员被内部器件划伤。</w:t>
            </w:r>
          </w:p>
          <w:p w14:paraId="6CD46855">
            <w:pPr>
              <w:rPr>
                <w:rFonts w:hint="eastAsia" w:asciiTheme="minorEastAsia" w:hAnsiTheme="minorEastAsia"/>
                <w:color w:val="FF0000"/>
                <w:sz w:val="24"/>
                <w:szCs w:val="24"/>
              </w:rPr>
            </w:pPr>
          </w:p>
        </w:tc>
      </w:tr>
      <w:tr w14:paraId="1A49A4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atLeast"/>
        </w:trPr>
        <w:tc>
          <w:tcPr>
            <w:tcW w:w="498" w:type="dxa"/>
            <w:vMerge w:val="restart"/>
            <w:tcBorders>
              <w:right w:val="single" w:color="auto" w:sz="4" w:space="0"/>
            </w:tcBorders>
            <w:vAlign w:val="center"/>
          </w:tcPr>
          <w:p w14:paraId="241D97DB">
            <w:pPr>
              <w:rPr>
                <w:b/>
              </w:rPr>
            </w:pPr>
            <w:r>
              <w:rPr>
                <w:rFonts w:hint="eastAsia"/>
                <w:b/>
              </w:rPr>
              <w:t>数据分析</w:t>
            </w:r>
          </w:p>
        </w:tc>
        <w:tc>
          <w:tcPr>
            <w:tcW w:w="1537" w:type="dxa"/>
            <w:tcBorders>
              <w:left w:val="single" w:color="auto" w:sz="4" w:space="0"/>
            </w:tcBorders>
            <w:vAlign w:val="center"/>
          </w:tcPr>
          <w:p w14:paraId="6E06CF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实验数据</w:t>
            </w:r>
          </w:p>
          <w:p w14:paraId="6C63D60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分析原理</w:t>
            </w:r>
          </w:p>
        </w:tc>
        <w:tc>
          <w:tcPr>
            <w:tcW w:w="12561" w:type="dxa"/>
            <w:gridSpan w:val="3"/>
            <w:vAlign w:val="center"/>
          </w:tcPr>
          <w:p w14:paraId="6ED4F1F9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1. 信噪比（SNR）分析原理</w:t>
            </w:r>
          </w:p>
          <w:p w14:paraId="072457FA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信噪比（SNR）是衡量信号中有效信息占比的重要指标。其定义为信号功率与噪声功率之比，通常以分贝（dB）为单位表示。</w:t>
            </w: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计算公式如下：</w:t>
            </w:r>
          </w:p>
          <w:p w14:paraId="1E0E06E3">
            <w:pPr>
              <w:numPr>
                <w:ilvl w:val="0"/>
                <w:numId w:val="0"/>
              </w:numPr>
              <w:spacing w:line="360" w:lineRule="auto"/>
              <w:ind w:firstLine="56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8"/>
                    <w:u w:val="none"/>
                  </w:rPr>
                  <m:t>SNR=10⋅</m:t>
                </m:r>
                <m:func>
                  <m:funcPr>
                    <m:ctrlPr>
                      <w:rPr>
                        <w:rFonts w:hint="default" w:ascii="Cambria Math" w:hAnsi="Cambria Math" w:eastAsia="宋体"/>
                        <w:sz w:val="28"/>
                        <w:u w:val="none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  <m:t>log</m:t>
                        </m:r>
                        <m:ctrlPr>
                          <w:rPr>
                            <w:rFonts w:ascii="Cambria Math" w:hAnsi="Cambria Math" w:eastAsia="宋体"/>
                            <w:sz w:val="28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  <m:t>10</m:t>
                        </m:r>
                        <m:ctrlPr>
                          <w:rPr>
                            <w:rFonts w:ascii="Cambria Math" w:hAnsi="Cambria Math" w:eastAsia="宋体"/>
                            <w:sz w:val="28"/>
                            <w:u w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8"/>
                        <w:u w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hint="default" w:ascii="Cambria Math" w:hAnsi="Cambria Math" w:eastAsia="宋体"/>
                            <w:i/>
                            <w:sz w:val="28"/>
                            <w:u w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宋体"/>
                                <w:i/>
                                <w:sz w:val="28"/>
                                <w:u w:val="none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hint="default" w:ascii="Cambria Math" w:hAnsi="Cambria Math" w:eastAsia="宋体"/>
                                    <w:i/>
                                    <w:sz w:val="28"/>
                                    <w:u w:val="none"/>
                                  </w:rPr>
                                </m:ctrlPr>
                              </m:naryPr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f∈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eastAsia="宋体"/>
                                        <w:sz w:val="28"/>
                                        <w:u w:val="none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8"/>
                                        <w:u w:val="none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宋体"/>
                                        <w:sz w:val="28"/>
                                        <w:u w:val="none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8"/>
                                        <w:u w:val="none"/>
                                      </w:rPr>
                                      <m:t>signal</m:t>
                                    </m:r>
                                    <m:ctrlPr>
                                      <w:rPr>
                                        <w:rFonts w:ascii="Cambria Math" w:hAnsi="Cambria Math" w:eastAsia="宋体"/>
                                        <w:sz w:val="28"/>
                                        <w:u w:val="none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up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|</m:t>
                                </m: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e>
                            </m:nary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X[f]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|</m:t>
                                </m: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num>
                          <m:den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hint="default" w:ascii="Cambria Math" w:hAnsi="Cambria Math" w:eastAsia="宋体"/>
                                    <w:i/>
                                    <w:sz w:val="28"/>
                                    <w:u w:val="none"/>
                                  </w:rPr>
                                </m:ctrlPr>
                              </m:naryPr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f∈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eastAsia="宋体"/>
                                        <w:sz w:val="28"/>
                                        <w:u w:val="none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8"/>
                                        <w:u w:val="none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宋体"/>
                                        <w:sz w:val="28"/>
                                        <w:u w:val="none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8"/>
                                        <w:u w:val="none"/>
                                      </w:rPr>
                                      <m:t>noise</m:t>
                                    </m:r>
                                    <m:ctrlPr>
                                      <w:rPr>
                                        <w:rFonts w:ascii="Cambria Math" w:hAnsi="Cambria Math" w:eastAsia="宋体"/>
                                        <w:sz w:val="28"/>
                                        <w:u w:val="none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up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|</m:t>
                                </m: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e>
                            </m:nary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X[f]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|</m:t>
                                </m: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 w:eastAsia="宋体"/>
                                    <w:sz w:val="28"/>
                                    <w:u w:val="none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宋体"/>
                            <w:i/>
                            <w:sz w:val="28"/>
                            <w:u w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宋体"/>
                        <w:i/>
                        <w:sz w:val="28"/>
                        <w:u w:val="none"/>
                      </w:rPr>
                    </m:ctrlPr>
                  </m:e>
                </m:func>
              </m:oMath>
            </m:oMathPara>
          </w:p>
          <w:p w14:paraId="0CC82CAC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  <w:p w14:paraId="138931CB">
            <w:pPr>
              <w:ind w:left="479" w:leftChars="228" w:firstLine="0" w:firstLineChars="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其中，Fsignal表示信号频率成分集合，Fnoise表示噪声频率成分集合，X[f] 为频谱中频率 f 处的幅值。</w:t>
            </w:r>
          </w:p>
          <w:p w14:paraId="77FC529C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在本实验中，通过FFT变换获取频谱后，提取基波及其谐波成分作为信号能量，其余部分视为噪声能量，从而计算SNR。</w:t>
            </w:r>
          </w:p>
          <w:p w14:paraId="374EA81E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2. 失真度（THD）分析原理</w:t>
            </w:r>
          </w:p>
          <w:p w14:paraId="29C28E79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总谐波失真（THD）用于衡量信号中谐波成分相对于基波的比例，反映信号失真程度。</w:t>
            </w: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计算公式如下：</w:t>
            </w:r>
          </w:p>
          <w:p w14:paraId="6F740CD5">
            <w:pPr>
              <w:numPr>
                <w:ilvl w:val="0"/>
                <w:numId w:val="0"/>
              </w:numPr>
              <w:spacing w:line="360" w:lineRule="auto"/>
              <w:ind w:firstLine="56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8"/>
                    <w:u w:val="none"/>
                  </w:rPr>
                  <m:t>THD=</m:t>
                </m:r>
                <m:f>
                  <m:fPr>
                    <m:ctrlPr>
                      <w:rPr>
                        <w:rFonts w:hint="default" w:ascii="Cambria Math" w:hAnsi="Cambria Math" w:eastAsia="宋体"/>
                        <w:i/>
                        <w:sz w:val="28"/>
                        <w:u w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eastAsia="宋体"/>
                            <w:i/>
                            <w:sz w:val="28"/>
                            <w:u w:val="none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宋体"/>
                            <w:sz w:val="28"/>
                            <w:u w:val="none"/>
                          </w:rPr>
                        </m:ctrlPr>
                      </m:deg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default" w:ascii="Cambria Math" w:hAnsi="Cambria Math" w:eastAsia="宋体"/>
                                <w:i/>
                                <w:sz w:val="28"/>
                                <w:u w:val="none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k=2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|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  <m:t>X[k⋅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  <m:t>]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|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8"/>
                                <w:u w:val="none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宋体"/>
                                <w:sz w:val="28"/>
                                <w:u w:val="none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eastAsia="宋体"/>
                        <w:i/>
                        <w:sz w:val="28"/>
                        <w:u w:val="none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/>
                        <w:sz w:val="28"/>
                        <w:u w:val="none"/>
                      </w:rPr>
                      <m:t>|X[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="宋体"/>
                            <w:sz w:val="28"/>
                            <w:u w:val="none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8"/>
                        <w:u w:val="none"/>
                      </w:rPr>
                      <m:t>]|</m:t>
                    </m:r>
                    <m:ctrlPr>
                      <w:rPr>
                        <w:rFonts w:hint="default" w:ascii="Cambria Math" w:hAnsi="Cambria Math" w:eastAsia="宋体"/>
                        <w:sz w:val="28"/>
                        <w:u w:val="none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8"/>
                    <w:u w:val="none"/>
                  </w:rPr>
                  <m:t>×</m:t>
                </m:r>
                <m:r>
                  <m:rPr/>
                  <w:rPr>
                    <w:rFonts w:hint="default" w:ascii="Cambria Math" w:hAnsi="Cambria Math" w:eastAsia="宋体"/>
                    <w:sz w:val="28"/>
                    <w:u w:val="none"/>
                  </w:rPr>
                  <m:t>100%</m:t>
                </m:r>
              </m:oMath>
            </m:oMathPara>
          </w:p>
          <w:p w14:paraId="7A244508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  <w:p w14:paraId="49CAF61A">
            <w:pPr>
              <w:ind w:left="479" w:leftChars="228" w:firstLine="0" w:firstLineChars="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其中，f0为基波频率，k⋅f0为第 k 次谐波频率，X[]为对应频率点的幅值。</w:t>
            </w: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实验中，通过FFT频谱分析提取基波及其整数倍谐波成分，计算谐波总能量与基波能量之比，得出THD值。</w:t>
            </w:r>
          </w:p>
          <w:p w14:paraId="34693583">
            <w:p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3. 数据处理流程</w:t>
            </w:r>
          </w:p>
          <w:p w14:paraId="0DF22337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采样与量化： 使用STM32的12位ADC对音频信号进行采样，采样率为定时器TIM控制，确保数据精度。</w:t>
            </w:r>
          </w:p>
          <w:p w14:paraId="4EE3FD25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FFT变换： 每256点数据进行一次FFT变换，并加汉宁窗以减少频谱泄露。</w:t>
            </w:r>
          </w:p>
          <w:p w14:paraId="6C8D0FBA">
            <w:p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频谱分析： 提取基波及其谐波成分，分别计算信号能量与噪声能量，进而求得SNR与THD。</w:t>
            </w:r>
          </w:p>
          <w:p w14:paraId="7636C1C3">
            <w:pPr>
              <w:ind w:firstLine="480" w:firstLineChars="200"/>
              <w:jc w:val="left"/>
              <w:rPr>
                <w:rFonts w:hint="eastAsia"/>
                <w:color w:val="FF0000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状态判断： 根据设定的阈值（SNR ≥ 20dB，THD ≤ 10%），判断音频质量等级，并控制指示灯与蜂鸣器状态。</w:t>
            </w:r>
          </w:p>
          <w:p w14:paraId="62BB7FDB">
            <w:pPr>
              <w:rPr>
                <w:rFonts w:hint="eastAsia"/>
                <w:color w:val="FF0000"/>
              </w:rPr>
            </w:pPr>
          </w:p>
          <w:p w14:paraId="1F5A3654">
            <w:pPr>
              <w:rPr>
                <w:rFonts w:hint="eastAsia"/>
                <w:color w:val="FF0000"/>
              </w:rPr>
            </w:pPr>
          </w:p>
        </w:tc>
      </w:tr>
      <w:tr w14:paraId="0BFAD8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atLeast"/>
        </w:trPr>
        <w:tc>
          <w:tcPr>
            <w:tcW w:w="498" w:type="dxa"/>
            <w:vMerge w:val="continue"/>
            <w:tcBorders>
              <w:right w:val="single" w:color="auto" w:sz="4" w:space="0"/>
            </w:tcBorders>
            <w:vAlign w:val="center"/>
          </w:tcPr>
          <w:p w14:paraId="0A280A4D">
            <w:pPr>
              <w:rPr>
                <w:b/>
              </w:rPr>
            </w:pPr>
          </w:p>
        </w:tc>
        <w:tc>
          <w:tcPr>
            <w:tcW w:w="1537" w:type="dxa"/>
            <w:tcBorders>
              <w:left w:val="single" w:color="auto" w:sz="4" w:space="0"/>
            </w:tcBorders>
            <w:vAlign w:val="center"/>
          </w:tcPr>
          <w:p w14:paraId="5D7C0A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数据分析</w:t>
            </w:r>
          </w:p>
          <w:p w14:paraId="01C848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方法程序</w:t>
            </w:r>
          </w:p>
        </w:tc>
        <w:tc>
          <w:tcPr>
            <w:tcW w:w="12561" w:type="dxa"/>
            <w:gridSpan w:val="3"/>
            <w:vAlign w:val="center"/>
          </w:tcPr>
          <w:p w14:paraId="6E70E29D">
            <w:pPr>
              <w:numPr>
                <w:ilvl w:val="0"/>
                <w:numId w:val="1"/>
              </w:num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单片机端数据分析：</w:t>
            </w:r>
          </w:p>
          <w:p w14:paraId="2B68E067"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2822575" cy="3427730"/>
                  <wp:effectExtent l="0" t="0" r="9525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575" cy="342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26381">
            <w:pPr>
              <w:pStyle w:val="3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单片机数据处理流程</w:t>
            </w:r>
          </w:p>
          <w:p w14:paraId="4423970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 xml:space="preserve">   先对输入的音频信号进行12位ADC采样、量化、编码。每256点音频数据进行一次FFT变换分析音频段的频率特性。对音频信号FFT变换后，得到128位数据的频谱。为了防止频谱泄露，先对这128位频谱数据加汉宁窗。先遍历一遍频谱，找到幅值最大的频率点，算上该频率点附近1~2频率点的幅值，作为基波幅值。记下基波频率点数，找到该频率点整数倍频率点处的幅值，为谐波频率。</w:t>
            </w:r>
          </w:p>
          <w:p w14:paraId="04FD0C1F">
            <w:pPr>
              <w:numPr>
                <w:ilvl w:val="0"/>
                <w:numId w:val="0"/>
              </w:num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在计算信噪比当中，谐波频率幅值也被算作信号能量。信号能量为基波功率加上谐波功率。总功率减去信号功率，得到噪声功率，就能算出噪声功率；计算谐波功率与基波功率的比值，就能算出失真度。</w:t>
            </w:r>
          </w:p>
          <w:p w14:paraId="3906DDDD">
            <w:pPr>
              <w:numPr>
                <w:ilvl w:val="0"/>
                <w:numId w:val="0"/>
              </w:numPr>
              <w:ind w:firstLine="480" w:firstLineChars="200"/>
              <w:jc w:val="left"/>
              <w:rPr>
                <w:rFonts w:hint="default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</w:p>
          <w:p w14:paraId="746F3313">
            <w:pPr>
              <w:numPr>
                <w:ilvl w:val="0"/>
                <w:numId w:val="1"/>
              </w:numPr>
              <w:jc w:val="left"/>
              <w:rPr>
                <w:rFonts w:hint="default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PC端软件程序分析：</w:t>
            </w:r>
          </w:p>
          <w:p w14:paraId="59E98CE3">
            <w:pPr>
              <w:numPr>
                <w:ilvl w:val="0"/>
                <w:numId w:val="0"/>
              </w:numPr>
              <w:ind w:firstLine="480" w:firstLineChars="200"/>
              <w:jc w:val="left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主要使用matlab实现，利用此软件搭建了一套语音信号采集分析系统，支持文件加载与实时录音双输入，对音频先转单声道，再按256点分段做FFT得到128点频谱；加汉宁窗抑制频谱泄露后，提取基波及整数倍谐波幅值，结合功率占比计算信噪比、总谐波失真度与信噪比；同时集成两类加噪、两种IIR滤波功能，搭配时域频域可视化与音频播放，实现信号处理分析全闭环。</w:t>
            </w:r>
          </w:p>
          <w:p w14:paraId="73490371">
            <w:pPr>
              <w:jc w:val="center"/>
              <w:rPr>
                <w:rFonts w:hint="eastAsia" w:eastAsiaTheme="minorEastAsia"/>
                <w:color w:val="FF0000"/>
                <w:lang w:eastAsia="zh-CN"/>
              </w:rPr>
            </w:pPr>
            <w:r>
              <w:rPr>
                <w:rFonts w:hint="eastAsia" w:eastAsiaTheme="minorEastAsia"/>
                <w:color w:val="FF0000"/>
                <w:lang w:eastAsia="zh-CN"/>
              </w:rPr>
              <w:drawing>
                <wp:inline distT="0" distB="0" distL="114300" distR="114300">
                  <wp:extent cx="6155690" cy="3462020"/>
                  <wp:effectExtent l="0" t="0" r="3810" b="5080"/>
                  <wp:docPr id="5" name="图片 5" descr="微信图片_20251230131103_5448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51230131103_5448_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690" cy="346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96DBF">
            <w:pPr>
              <w:pStyle w:val="3"/>
              <w:jc w:val="center"/>
              <w:rPr>
                <w:rFonts w:hint="eastAsia" w:eastAsiaTheme="minorEastAsia"/>
                <w:color w:val="FF0000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PC端数据处理流程</w:t>
            </w:r>
          </w:p>
          <w:p w14:paraId="1DE30BB0">
            <w:pPr>
              <w:rPr>
                <w:rFonts w:hint="eastAsia"/>
                <w:color w:val="FF0000"/>
              </w:rPr>
            </w:pPr>
          </w:p>
          <w:p w14:paraId="376E603F">
            <w:pPr>
              <w:rPr>
                <w:rFonts w:hint="eastAsia"/>
                <w:color w:val="FF0000"/>
              </w:rPr>
            </w:pPr>
          </w:p>
        </w:tc>
      </w:tr>
      <w:tr w14:paraId="335F17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498" w:type="dxa"/>
            <w:vMerge w:val="continue"/>
            <w:tcBorders>
              <w:right w:val="single" w:color="auto" w:sz="4" w:space="0"/>
            </w:tcBorders>
            <w:vAlign w:val="center"/>
          </w:tcPr>
          <w:p w14:paraId="7F3BFE8B">
            <w:pPr>
              <w:rPr>
                <w:b/>
              </w:rPr>
            </w:pPr>
          </w:p>
        </w:tc>
        <w:tc>
          <w:tcPr>
            <w:tcW w:w="1537" w:type="dxa"/>
            <w:tcBorders>
              <w:left w:val="single" w:color="auto" w:sz="4" w:space="0"/>
            </w:tcBorders>
            <w:vAlign w:val="center"/>
          </w:tcPr>
          <w:p w14:paraId="5A83C37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实验数据</w:t>
            </w:r>
          </w:p>
        </w:tc>
        <w:tc>
          <w:tcPr>
            <w:tcW w:w="12561" w:type="dxa"/>
            <w:gridSpan w:val="3"/>
            <w:vAlign w:val="center"/>
          </w:tcPr>
          <w:p w14:paraId="12AFD93B">
            <w:pPr>
              <w:numPr>
                <w:ilvl w:val="0"/>
                <w:numId w:val="0"/>
              </w:numPr>
              <w:jc w:val="left"/>
              <w:rPr>
                <w:rFonts w:hint="default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见附件2</w:t>
            </w:r>
          </w:p>
          <w:p w14:paraId="6EDA363D">
            <w:pPr>
              <w:rPr>
                <w:rFonts w:hint="eastAsia"/>
                <w:color w:val="FF0000"/>
              </w:rPr>
            </w:pPr>
          </w:p>
        </w:tc>
      </w:tr>
      <w:tr w14:paraId="1630ED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035" w:type="dxa"/>
            <w:gridSpan w:val="2"/>
            <w:vAlign w:val="center"/>
          </w:tcPr>
          <w:p w14:paraId="190D7C7D">
            <w:pPr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验收结论</w:t>
            </w:r>
          </w:p>
        </w:tc>
        <w:tc>
          <w:tcPr>
            <w:tcW w:w="12561" w:type="dxa"/>
            <w:gridSpan w:val="3"/>
            <w:vAlign w:val="center"/>
          </w:tcPr>
          <w:p w14:paraId="2ABB405B">
            <w:pPr>
              <w:ind w:firstLine="480" w:firstLineChars="200"/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根据实验结果分析，当输入纯正弦波时，音频检测装置检测到的信噪比平均值为30.54dB，失真度为0.56%，可见信号质量良好，符合预期；当叠加一定噪声时，信噪比变差，失真度增大；当噪声很大时，音频质量检测装置可以做到实时声光报警，低延迟。</w:t>
            </w:r>
          </w:p>
          <w:p w14:paraId="340D7A4D">
            <w:pPr>
              <w:ind w:firstLine="480" w:firstLineChars="200"/>
              <w:rPr>
                <w:rFonts w:hint="default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4"/>
                <w:szCs w:val="24"/>
                <w:lang w:val="en-US" w:eastAsia="zh-CN"/>
              </w:rPr>
              <w:t>在搭建的模拟航空语音通信系统中，普遍测试结果为信噪比15.85dB，失真度9.72%，存在一定失真度，但依旧处于可容忍范围内。</w:t>
            </w:r>
          </w:p>
        </w:tc>
      </w:tr>
    </w:tbl>
    <w:p w14:paraId="6AF2E0A1">
      <w:pPr>
        <w:rPr>
          <w:b/>
          <w:sz w:val="24"/>
        </w:rPr>
      </w:pPr>
    </w:p>
    <w:p w14:paraId="166B6B39">
      <w:pPr>
        <w:rPr>
          <w:b/>
          <w:sz w:val="24"/>
        </w:rPr>
      </w:pPr>
    </w:p>
    <w:p w14:paraId="0D2125F5">
      <w:pPr>
        <w:rPr>
          <w:b/>
          <w:sz w:val="24"/>
        </w:rPr>
      </w:pPr>
    </w:p>
    <w:p w14:paraId="2D5F7CB3">
      <w:pPr>
        <w:rPr>
          <w:b/>
          <w:sz w:val="28"/>
        </w:rPr>
        <w:sectPr>
          <w:headerReference r:id="rId3" w:type="default"/>
          <w:footerReference r:id="rId4" w:type="default"/>
          <w:pgSz w:w="16838" w:h="11906" w:orient="landscape"/>
          <w:pgMar w:top="1418" w:right="1134" w:bottom="1418" w:left="1134" w:header="851" w:footer="992" w:gutter="0"/>
          <w:cols w:space="425" w:num="1"/>
          <w:docGrid w:type="lines" w:linePitch="312" w:charSpace="0"/>
        </w:sectPr>
      </w:pPr>
    </w:p>
    <w:p w14:paraId="2DA2D2AF">
      <w:pPr>
        <w:rPr>
          <w:b/>
          <w:sz w:val="28"/>
        </w:rPr>
      </w:pPr>
      <w:r>
        <w:rPr>
          <w:rFonts w:hint="eastAsia"/>
          <w:b/>
          <w:sz w:val="28"/>
        </w:rPr>
        <w:t xml:space="preserve">附件1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附设备连接图</w:t>
      </w:r>
    </w:p>
    <w:p w14:paraId="41D32325">
      <w:r>
        <w:drawing>
          <wp:inline distT="0" distB="0" distL="0" distR="0">
            <wp:extent cx="4907280" cy="7918450"/>
            <wp:effectExtent l="0" t="0" r="0" b="0"/>
            <wp:docPr id="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descript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07871" cy="791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3E5B"/>
    <w:p w14:paraId="4F1132F6"/>
    <w:p w14:paraId="35123BFB">
      <w:r>
        <w:rPr>
          <w:rFonts w:ascii="宋体" w:hAnsi="宋体"/>
          <w:b/>
          <w:sz w:val="28"/>
        </w:rPr>
        <w:drawing>
          <wp:inline distT="0" distB="0" distL="0" distR="0">
            <wp:extent cx="5769610" cy="4536440"/>
            <wp:effectExtent l="0" t="0" r="8890" b="1016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escript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E9B0"/>
    <w:p w14:paraId="142B7EC6"/>
    <w:p w14:paraId="341BED76"/>
    <w:p w14:paraId="3BC205BB"/>
    <w:p w14:paraId="5091B792"/>
    <w:p w14:paraId="64F84F85"/>
    <w:p w14:paraId="1AC4EFAD">
      <w:pPr>
        <w:rPr>
          <w:b/>
          <w:sz w:val="28"/>
        </w:rPr>
        <w:sectPr>
          <w:pgSz w:w="16838" w:h="11906" w:orient="landscape"/>
          <w:pgMar w:top="1418" w:right="1134" w:bottom="1418" w:left="1134" w:header="851" w:footer="992" w:gutter="0"/>
          <w:cols w:space="425" w:num="1"/>
          <w:docGrid w:type="lines" w:linePitch="312" w:charSpace="0"/>
        </w:sectPr>
      </w:pPr>
    </w:p>
    <w:p w14:paraId="5D5EA070">
      <w:pPr>
        <w:rPr>
          <w:b/>
          <w:sz w:val="28"/>
        </w:rPr>
      </w:pPr>
      <w:r>
        <w:rPr>
          <w:rFonts w:hint="eastAsia"/>
          <w:b/>
          <w:sz w:val="28"/>
        </w:rPr>
        <w:t>附件</w:t>
      </w:r>
      <w:r>
        <w:rPr>
          <w:b/>
          <w:sz w:val="28"/>
        </w:rPr>
        <w:t>2</w:t>
      </w: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测试数据记录表格</w:t>
      </w:r>
    </w:p>
    <w:tbl>
      <w:tblPr>
        <w:tblStyle w:val="6"/>
        <w:tblW w:w="139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2787"/>
        <w:gridCol w:w="1297"/>
        <w:gridCol w:w="1297"/>
        <w:gridCol w:w="1297"/>
        <w:gridCol w:w="1297"/>
        <w:gridCol w:w="1297"/>
        <w:gridCol w:w="1297"/>
        <w:gridCol w:w="1297"/>
        <w:gridCol w:w="1482"/>
      </w:tblGrid>
      <w:tr w14:paraId="65DA8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90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83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航空语音通信质量监测与报警系统</w:t>
            </w:r>
          </w:p>
        </w:tc>
      </w:tr>
      <w:tr w14:paraId="4669E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0" w:type="auto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27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实验地点：北实验大楼514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63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2025.12.26</w:t>
            </w:r>
          </w:p>
        </w:tc>
      </w:tr>
      <w:tr w14:paraId="6A1F3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A9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仪器型号：示波器  KeySight200X; 信号发生器 数英仪器TFG3900A;万用表 优利德UT804</w:t>
            </w:r>
          </w:p>
        </w:tc>
      </w:tr>
      <w:tr w14:paraId="3EA62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5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gridSpan w:val="9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3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信号发生器输出正弦波直接测量</w:t>
            </w:r>
          </w:p>
        </w:tc>
      </w:tr>
      <w:tr w14:paraId="76C3E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12C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F89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47D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628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5DF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D41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E41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BD0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3AA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D2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 w14:paraId="274BE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676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19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E04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2D1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0EC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220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6C6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84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8DB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9CC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27.76</w:t>
            </w:r>
          </w:p>
        </w:tc>
      </w:tr>
      <w:tr w14:paraId="352A2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7EE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AF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THD（失真度）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371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3FF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15F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54F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75D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2F9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FEF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8E3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</w:t>
            </w:r>
          </w:p>
        </w:tc>
      </w:tr>
      <w:tr w14:paraId="735BD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C3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5BB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3D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5D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信号发生器输出正弦波，噪声叠加20%</w:t>
            </w:r>
          </w:p>
        </w:tc>
      </w:tr>
      <w:tr w14:paraId="72DAC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386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496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277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BB1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066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C82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93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546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384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AC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 w14:paraId="330D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27E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6D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397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66C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3E0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8CF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9E3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426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321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016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11.31</w:t>
            </w:r>
          </w:p>
        </w:tc>
      </w:tr>
      <w:tr w14:paraId="4F81A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E3C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39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THD（失真度）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C33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6AF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978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B36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FE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411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FA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02E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</w:t>
            </w:r>
          </w:p>
        </w:tc>
      </w:tr>
      <w:tr w14:paraId="3ED8C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760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0B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59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F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信号发生器输出正弦波，噪声叠加50%</w:t>
            </w:r>
          </w:p>
        </w:tc>
      </w:tr>
      <w:tr w14:paraId="33B07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DC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611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B7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356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2AD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FCE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EB7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7DC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82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63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 w14:paraId="60EC3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239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BF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796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-9.36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327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8C8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94E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D7C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90B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4BF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07B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-4.38</w:t>
            </w:r>
          </w:p>
        </w:tc>
      </w:tr>
      <w:tr w14:paraId="67C05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C65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AD4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THD（失真度）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0CF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10A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C5E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5B0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BCB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F8C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4DC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C94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41.07</w:t>
            </w:r>
          </w:p>
        </w:tc>
      </w:tr>
      <w:tr w14:paraId="1082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EAF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DA8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CE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61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输入端接模拟航空语音通信系统</w:t>
            </w:r>
          </w:p>
        </w:tc>
      </w:tr>
      <w:tr w14:paraId="3B264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A1A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207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BC1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793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559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312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2D7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52E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E10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57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 w14:paraId="31F5B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0D2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5B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A46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4F9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C22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211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50E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3C7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27E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970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16.93</w:t>
            </w:r>
          </w:p>
        </w:tc>
      </w:tr>
      <w:tr w14:paraId="74B39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845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167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THD（失真度）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7D7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1E9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64C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822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E39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9F8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23F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B5D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10.04</w:t>
            </w:r>
          </w:p>
        </w:tc>
      </w:tr>
      <w:tr w14:paraId="4D35A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72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记录人员：胡伟畅、郝成城、丰国庆</w:t>
            </w:r>
          </w:p>
        </w:tc>
      </w:tr>
    </w:tbl>
    <w:p w14:paraId="1A8EA5B3">
      <w:pPr>
        <w:numPr>
          <w:ilvl w:val="0"/>
          <w:numId w:val="0"/>
        </w:numPr>
        <w:jc w:val="left"/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</w:pPr>
    </w:p>
    <w:sectPr>
      <w:pgSz w:w="16838" w:h="11906" w:orient="landscape"/>
      <w:pgMar w:top="1418" w:right="1134" w:bottom="1418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B1B30">
    <w:pPr>
      <w:pStyle w:val="4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PAGE   \* MERGEFORMAT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 \* Arabic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8B5B9">
    <w:pPr>
      <w:jc w:val="distribute"/>
    </w:pPr>
    <w:r>
      <w:rPr>
        <w:rFonts w:hint="eastAsia"/>
      </w:rPr>
      <w:t>中国民航大学</w:t>
    </w:r>
    <w:r>
      <w:t>—</w:t>
    </w:r>
    <w:r>
      <w:rPr>
        <w:rFonts w:hint="eastAsia"/>
      </w:rPr>
      <w:t xml:space="preserve">初级项目             </w:t>
    </w:r>
    <w:r>
      <w:t xml:space="preserve">                                                                            </w:t>
    </w:r>
    <w:r>
      <w:rPr>
        <w:rFonts w:hint="eastAsia"/>
      </w:rPr>
      <w:t>文档编号：</w:t>
    </w:r>
    <w:r>
      <w:t>2023</w:t>
    </w:r>
    <w:r>
      <w:rPr>
        <w:rFonts w:hint="eastAsia"/>
      </w:rPr>
      <w:t>-2-2-3</w:t>
    </w:r>
    <w:r>
      <w:t>/R3.1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3724F"/>
    <w:multiLevelType w:val="singleLevel"/>
    <w:tmpl w:val="8F5372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B1F"/>
    <w:rsid w:val="00025A5E"/>
    <w:rsid w:val="000449AD"/>
    <w:rsid w:val="00047B4F"/>
    <w:rsid w:val="000B4909"/>
    <w:rsid w:val="000E7DC5"/>
    <w:rsid w:val="00101AB2"/>
    <w:rsid w:val="0019042F"/>
    <w:rsid w:val="001B76D3"/>
    <w:rsid w:val="0021021A"/>
    <w:rsid w:val="0023274A"/>
    <w:rsid w:val="00254427"/>
    <w:rsid w:val="002A0E22"/>
    <w:rsid w:val="002C56DB"/>
    <w:rsid w:val="00337F62"/>
    <w:rsid w:val="003A6F68"/>
    <w:rsid w:val="003F6295"/>
    <w:rsid w:val="00420A96"/>
    <w:rsid w:val="0043455B"/>
    <w:rsid w:val="004641B8"/>
    <w:rsid w:val="004777F1"/>
    <w:rsid w:val="004903F9"/>
    <w:rsid w:val="005048CB"/>
    <w:rsid w:val="00563955"/>
    <w:rsid w:val="005B5BE1"/>
    <w:rsid w:val="005C2A5C"/>
    <w:rsid w:val="00675545"/>
    <w:rsid w:val="006E7DB3"/>
    <w:rsid w:val="006F68CD"/>
    <w:rsid w:val="00744401"/>
    <w:rsid w:val="007606BA"/>
    <w:rsid w:val="007721B8"/>
    <w:rsid w:val="00787EA0"/>
    <w:rsid w:val="008B1C04"/>
    <w:rsid w:val="00994B1F"/>
    <w:rsid w:val="00A41B37"/>
    <w:rsid w:val="00AB7EAB"/>
    <w:rsid w:val="00AD198A"/>
    <w:rsid w:val="00B1719B"/>
    <w:rsid w:val="00C40C12"/>
    <w:rsid w:val="00D52B82"/>
    <w:rsid w:val="00E818F1"/>
    <w:rsid w:val="00E9008E"/>
    <w:rsid w:val="00F11433"/>
    <w:rsid w:val="00F21F3D"/>
    <w:rsid w:val="00F573A9"/>
    <w:rsid w:val="00FD6C23"/>
    <w:rsid w:val="03300D99"/>
    <w:rsid w:val="05107E95"/>
    <w:rsid w:val="0B6E70F1"/>
    <w:rsid w:val="22885BF9"/>
    <w:rsid w:val="2611603E"/>
    <w:rsid w:val="2C273B93"/>
    <w:rsid w:val="332573AB"/>
    <w:rsid w:val="3A83468A"/>
    <w:rsid w:val="3CE27D8E"/>
    <w:rsid w:val="4B464E62"/>
    <w:rsid w:val="54B9197F"/>
    <w:rsid w:val="54E47E61"/>
    <w:rsid w:val="585711D8"/>
    <w:rsid w:val="593A4C73"/>
    <w:rsid w:val="595C468D"/>
    <w:rsid w:val="632902C7"/>
    <w:rsid w:val="6EBE18D0"/>
    <w:rsid w:val="71E14E89"/>
    <w:rsid w:val="7B6666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2939</Words>
  <Characters>3461</Characters>
  <TotalTime>17</TotalTime>
  <ScaleCrop>false</ScaleCrop>
  <LinksUpToDate>false</LinksUpToDate>
  <CharactersWithSpaces>3519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2025-12-29T19:44:00Z</dcterms:created>
  <dc:creator>HP</dc:creator>
  <cp:lastModifiedBy>一</cp:lastModifiedBy>
  <dcterms:modified xsi:type="dcterms:W3CDTF">2025-12-30T12:55:51Z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eyJoZGlkIjoiYmI2MjQ1NDYxNTRhYTE2NWNjZDkyYTQ5ODY2M2I3NjUiLCJ1c2VySWQiOiIzNDQ2OTU1NTgifQ==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323975E35F704A82A280EAC27FFD47EE_12</vt:lpwstr>
  </property>
</Properties>
</file>