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1A3A6AE5"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ec9a18048e4c43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00066CD8" w14:paraId="06261826" w14:textId="77777777">
        <w:tc>
          <w:tcPr>
            <w:tcW w:w="4508" w:type="dxa"/>
            <w:shd w:val="clear" w:color="auto" w:fill="AEAAAA" w:themeFill="background2" w:themeFillShade="BF"/>
          </w:tcPr>
          <w:p w:rsidRPr="0037553B" w:rsidR="00971523" w:rsidP="0037553B" w:rsidRDefault="004E27E6" w14:paraId="34E157F0" w14:textId="29206FB9">
            <w:pPr>
              <w:jc w:val="center"/>
              <w:rPr>
                <w:b/>
                <w:bCs/>
              </w:rPr>
            </w:pPr>
            <w:r w:rsidRPr="0037553B">
              <w:rPr>
                <w:b/>
                <w:bCs/>
              </w:rPr>
              <w:t>Arquitectos Software Senior (ASS)</w:t>
            </w:r>
          </w:p>
        </w:tc>
        <w:tc>
          <w:tcPr>
            <w:tcW w:w="4508" w:type="dxa"/>
          </w:tcPr>
          <w:p w:rsidR="00971523" w:rsidP="0037553B" w:rsidRDefault="00DA5A1F" w14:paraId="43F76D3A" w14:textId="1B6590DA">
            <w:pPr>
              <w:jc w:val="center"/>
            </w:pPr>
            <w:r>
              <w:t>A</w:t>
            </w:r>
            <w:r w:rsidR="00A84C73">
              <w:t>lberto Jiménez Gómez y Manuel Martín Aláez</w:t>
            </w:r>
          </w:p>
        </w:tc>
      </w:tr>
      <w:tr w:rsidR="00971523" w:rsidTr="00066CD8" w14:paraId="4037C751" w14:textId="77777777">
        <w:tc>
          <w:tcPr>
            <w:tcW w:w="4508" w:type="dxa"/>
            <w:shd w:val="clear" w:color="auto" w:fill="AEAAAA" w:themeFill="background2" w:themeFillShade="BF"/>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Pr>
          <w:p w:rsidR="00971523" w:rsidP="0037553B" w:rsidRDefault="00A84C73" w14:paraId="08F1D2FC" w14:textId="1D03F1CF">
            <w:pPr>
              <w:jc w:val="center"/>
            </w:pPr>
            <w:r>
              <w:t xml:space="preserve">Azahara Andújar </w:t>
            </w:r>
            <w:r w:rsidR="0084558D">
              <w:t>Muñoz-Quirós y Carlota Menéndez del Campo</w:t>
            </w:r>
          </w:p>
        </w:tc>
      </w:tr>
      <w:tr w:rsidR="00971523" w:rsidTr="00066CD8" w14:paraId="1B0D01C1" w14:textId="77777777">
        <w:tc>
          <w:tcPr>
            <w:tcW w:w="4508" w:type="dxa"/>
            <w:shd w:val="clear" w:color="auto" w:fill="AEAAAA" w:themeFill="background2" w:themeFillShade="BF"/>
          </w:tcPr>
          <w:p w:rsidRPr="0037553B" w:rsidR="00971523" w:rsidP="0037553B" w:rsidRDefault="00DA5A1F" w14:paraId="36E649FD" w14:textId="0EA0E7B6">
            <w:pPr>
              <w:jc w:val="center"/>
              <w:rPr>
                <w:b/>
                <w:bCs/>
              </w:rPr>
            </w:pPr>
            <w:r w:rsidRPr="0037553B">
              <w:rPr>
                <w:b/>
                <w:bCs/>
              </w:rPr>
              <w:t>Arquitectos Software Cognitivos (ASC)</w:t>
            </w:r>
          </w:p>
        </w:tc>
        <w:tc>
          <w:tcPr>
            <w:tcW w:w="4508" w:type="dxa"/>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6C4D182C">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6C4D182C">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6C4D182C"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6C4D182C"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6C4D182C"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6C4D182C"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6C4D182C"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6C4D182C"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6C4D182C"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6C4D182C"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6C4D182C"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4B0BFC28" w14:textId="77777777">
        <w:tc>
          <w:tcPr>
            <w:tcW w:w="1395" w:type="dxa"/>
            <w:shd w:val="clear" w:color="auto" w:fill="AEAAAA" w:themeFill="background2" w:themeFillShade="BF"/>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5B02FD21" w14:textId="7B7D5317">
            <w:pPr>
              <w:rPr>
                <w:b/>
                <w:bCs/>
              </w:rPr>
            </w:pPr>
            <w:r w:rsidRPr="4E5FA06D">
              <w:rPr>
                <w:b/>
                <w:bCs/>
              </w:rPr>
              <w:t>Descripción</w:t>
            </w:r>
          </w:p>
        </w:tc>
      </w:tr>
      <w:tr w:rsidR="4E5FA06D" w:rsidTr="4E5FA06D" w14:paraId="32E634E2" w14:textId="77777777">
        <w:tc>
          <w:tcPr>
            <w:tcW w:w="1395" w:type="dxa"/>
          </w:tcPr>
          <w:p w:rsidR="4E5FA06D" w:rsidP="4E5FA06D" w:rsidRDefault="4E5FA06D" w14:paraId="3E127ADD" w14:textId="3AF177E6">
            <w:pPr>
              <w:spacing w:line="300" w:lineRule="auto"/>
              <w:jc w:val="center"/>
              <w:rPr>
                <w:b/>
                <w:bCs/>
              </w:rPr>
            </w:pPr>
            <w:r w:rsidRPr="4E5FA06D">
              <w:rPr>
                <w:b/>
                <w:bCs/>
              </w:rPr>
              <w:t>RF-9</w:t>
            </w:r>
          </w:p>
        </w:tc>
        <w:tc>
          <w:tcPr>
            <w:tcW w:w="3105" w:type="dxa"/>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4E5FA06D" w14:paraId="3BEADB4C" w14:textId="77777777">
        <w:tc>
          <w:tcPr>
            <w:tcW w:w="1395" w:type="dxa"/>
          </w:tcPr>
          <w:p w:rsidR="4E5FA06D" w:rsidP="4E5FA06D" w:rsidRDefault="4E5FA06D" w14:paraId="34C3E1E1" w14:textId="18690821">
            <w:pPr>
              <w:jc w:val="center"/>
              <w:rPr>
                <w:b/>
                <w:bCs/>
              </w:rPr>
            </w:pPr>
            <w:r w:rsidRPr="4E5FA06D">
              <w:rPr>
                <w:b/>
                <w:bCs/>
              </w:rPr>
              <w:t>RF-10</w:t>
            </w:r>
          </w:p>
        </w:tc>
        <w:tc>
          <w:tcPr>
            <w:tcW w:w="3105" w:type="dxa"/>
          </w:tcPr>
          <w:p w:rsidR="4E5FA06D" w:rsidP="4E5FA06D" w:rsidRDefault="4E5FA06D" w14:paraId="61DF3281" w14:textId="038665FC">
            <w:r w:rsidRPr="4E5FA06D">
              <w:t>Cesta de compra</w:t>
            </w:r>
          </w:p>
          <w:p w:rsidR="4E5FA06D" w:rsidP="4E5FA06D" w:rsidRDefault="4E5FA06D" w14:paraId="346DFE56" w14:textId="330312F2"/>
        </w:tc>
        <w:tc>
          <w:tcPr>
            <w:tcW w:w="4500" w:type="dxa"/>
          </w:tcPr>
          <w:p w:rsidR="4E5FA06D" w:rsidP="4E5FA06D" w:rsidRDefault="4E5FA06D" w14:paraId="0963EAF6" w14:textId="52A3FD9A">
            <w:pPr>
              <w:jc w:val="both"/>
            </w:pPr>
            <w:r w:rsidRPr="4E5FA06D">
              <w:t xml:space="preserve">Habrá una función cesta de compra que usará una caché para almacenar su información dinámica (como los productos y la cantidad de dichos productos) y accederá a la localización de microservicios de terceros a través de una base de datos MangoDB. </w:t>
            </w:r>
          </w:p>
          <w:p w:rsidR="4E5FA06D" w:rsidP="4E5FA06D" w:rsidRDefault="4E5FA06D" w14:paraId="5A9624FC" w14:textId="6F8F8F19">
            <w:pPr>
              <w:jc w:val="both"/>
            </w:pPr>
          </w:p>
        </w:tc>
      </w:tr>
      <w:tr w:rsidR="4E5FA06D" w:rsidTr="4E5FA06D" w14:paraId="39ED3B94" w14:textId="77777777">
        <w:tc>
          <w:tcPr>
            <w:tcW w:w="1395" w:type="dxa"/>
          </w:tcPr>
          <w:p w:rsidR="4E5FA06D" w:rsidP="4E5FA06D" w:rsidRDefault="4E5FA06D" w14:paraId="624195EC" w14:textId="46E6E2D2">
            <w:pPr>
              <w:jc w:val="center"/>
              <w:rPr>
                <w:b/>
                <w:bCs/>
              </w:rPr>
            </w:pPr>
            <w:r w:rsidRPr="4E5FA06D">
              <w:rPr>
                <w:b/>
                <w:bCs/>
              </w:rPr>
              <w:t>RF-11</w:t>
            </w:r>
          </w:p>
        </w:tc>
        <w:tc>
          <w:tcPr>
            <w:tcW w:w="3105" w:type="dxa"/>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4E5FA06D" w14:paraId="7BF630A0" w14:textId="77777777">
        <w:tc>
          <w:tcPr>
            <w:tcW w:w="1395" w:type="dxa"/>
          </w:tcPr>
          <w:p w:rsidR="4E5FA06D" w:rsidP="4E5FA06D" w:rsidRDefault="4E5FA06D" w14:paraId="495EC58F" w14:textId="2CABF6D5">
            <w:pPr>
              <w:jc w:val="center"/>
              <w:rPr>
                <w:b/>
                <w:bCs/>
              </w:rPr>
            </w:pPr>
            <w:r w:rsidRPr="4E5FA06D">
              <w:rPr>
                <w:b/>
                <w:bCs/>
              </w:rPr>
              <w:t>RF-11.1</w:t>
            </w:r>
          </w:p>
        </w:tc>
        <w:tc>
          <w:tcPr>
            <w:tcW w:w="3105" w:type="dxa"/>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4E5FA06D" w14:paraId="6FC8BBBD" w14:textId="77777777">
        <w:tc>
          <w:tcPr>
            <w:tcW w:w="1395" w:type="dxa"/>
          </w:tcPr>
          <w:p w:rsidR="4E5FA06D" w:rsidP="4E5FA06D" w:rsidRDefault="4E5FA06D" w14:paraId="2F7B1BB0" w14:textId="3A60E0CD">
            <w:pPr>
              <w:jc w:val="center"/>
              <w:rPr>
                <w:b/>
                <w:bCs/>
              </w:rPr>
            </w:pPr>
            <w:r w:rsidRPr="4E5FA06D">
              <w:rPr>
                <w:b/>
                <w:bCs/>
              </w:rPr>
              <w:t>RF-12</w:t>
            </w:r>
          </w:p>
        </w:tc>
        <w:tc>
          <w:tcPr>
            <w:tcW w:w="3105" w:type="dxa"/>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4E5FA06D" w14:paraId="38428CEE" w14:textId="77777777">
        <w:tc>
          <w:tcPr>
            <w:tcW w:w="1395" w:type="dxa"/>
          </w:tcPr>
          <w:p w:rsidR="4E5FA06D" w:rsidP="4E5FA06D" w:rsidRDefault="4E5FA06D" w14:paraId="4D27B609" w14:textId="0C792622">
            <w:pPr>
              <w:jc w:val="center"/>
              <w:rPr>
                <w:b/>
                <w:bCs/>
              </w:rPr>
            </w:pPr>
            <w:r w:rsidRPr="4E5FA06D">
              <w:rPr>
                <w:b/>
                <w:bCs/>
              </w:rPr>
              <w:t>RF-12.1</w:t>
            </w:r>
          </w:p>
        </w:tc>
        <w:tc>
          <w:tcPr>
            <w:tcW w:w="3105" w:type="dxa"/>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4E5FA06D" w14:paraId="1A0C066D" w14:textId="77777777">
        <w:tc>
          <w:tcPr>
            <w:tcW w:w="1395" w:type="dxa"/>
          </w:tcPr>
          <w:p w:rsidR="4E5FA06D" w:rsidP="4E5FA06D" w:rsidRDefault="4E5FA06D" w14:paraId="444E1313" w14:textId="2D4984BC">
            <w:pPr>
              <w:jc w:val="center"/>
              <w:rPr>
                <w:b/>
                <w:bCs/>
              </w:rPr>
            </w:pPr>
            <w:r w:rsidRPr="4E5FA06D">
              <w:rPr>
                <w:b/>
                <w:bCs/>
              </w:rPr>
              <w:t>RF-13</w:t>
            </w:r>
          </w:p>
        </w:tc>
        <w:tc>
          <w:tcPr>
            <w:tcW w:w="3105" w:type="dxa"/>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4E5FA06D" w14:paraId="46631CC6" w14:textId="77777777">
        <w:trPr>
          <w:trHeight w:val="1680"/>
        </w:trPr>
        <w:tc>
          <w:tcPr>
            <w:tcW w:w="1395" w:type="dxa"/>
          </w:tcPr>
          <w:p w:rsidR="4E5FA06D" w:rsidP="4E5FA06D" w:rsidRDefault="4E5FA06D" w14:paraId="70996675" w14:textId="4C544720">
            <w:pPr>
              <w:jc w:val="center"/>
              <w:rPr>
                <w:b/>
                <w:bCs/>
              </w:rPr>
            </w:pPr>
            <w:r w:rsidRPr="4E5FA06D">
              <w:rPr>
                <w:b/>
                <w:bCs/>
              </w:rPr>
              <w:t>RF-14</w:t>
            </w:r>
          </w:p>
        </w:tc>
        <w:tc>
          <w:tcPr>
            <w:tcW w:w="3105" w:type="dxa"/>
          </w:tcPr>
          <w:p w:rsidR="4E5FA06D" w:rsidP="4E5FA06D" w:rsidRDefault="4E5FA06D" w14:paraId="24B09020" w14:textId="3BAA14AB">
            <w:r w:rsidRPr="4E5FA06D">
              <w:t>Comunicación de cliente a HTTP</w:t>
            </w:r>
          </w:p>
          <w:p w:rsidR="4E5FA06D" w:rsidP="4E5FA06D" w:rsidRDefault="4E5FA06D" w14:paraId="616545AC" w14:textId="6796D649"/>
        </w:tc>
        <w:tc>
          <w:tcPr>
            <w:tcW w:w="4500" w:type="dxa"/>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595B5CC4"/>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6C4D182C"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6C4D182C"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6C4D182C"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0EDE2158" w:rsidRDefault="1D398AE8" w14:paraId="054FA396" w14:textId="5E4610BA">
            <w:pPr>
              <w:jc w:val="center"/>
            </w:pPr>
            <w:r w:rsidR="4A5B65C6">
              <w:rPr/>
              <w:t>1</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11D1DBD4">
            <w:pPr>
              <w:jc w:val="center"/>
            </w:pPr>
          </w:p>
        </w:tc>
      </w:tr>
      <w:tr w:rsidR="1D398AE8" w:rsidTr="6C4D182C"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0EDE2158" w:rsidRDefault="1D398AE8" w14:paraId="2A79C189" w14:textId="5B5CD1E4">
            <w:pPr>
              <w:jc w:val="center"/>
            </w:pPr>
            <w:r w:rsidR="5C9AD98E">
              <w:rPr/>
              <w:t>2</w:t>
            </w:r>
          </w:p>
        </w:tc>
        <w:tc>
          <w:tcPr>
            <w:tcW w:w="1502" w:type="dxa"/>
            <w:tcMar/>
          </w:tcPr>
          <w:p w:rsidR="1D398AE8" w:rsidP="0EDE2158" w:rsidRDefault="1D398AE8" w14:paraId="433D4792" w14:textId="11D1DBD4">
            <w:pPr>
              <w:jc w:val="center"/>
            </w:pPr>
          </w:p>
        </w:tc>
        <w:tc>
          <w:tcPr>
            <w:tcW w:w="1502" w:type="dxa"/>
            <w:tcMar/>
          </w:tcPr>
          <w:p w:rsidR="1D398AE8" w:rsidP="0EDE2158" w:rsidRDefault="1D398AE8" w14:paraId="74F53E3B" w14:textId="11D1DBD4">
            <w:pPr>
              <w:jc w:val="center"/>
            </w:pPr>
          </w:p>
        </w:tc>
        <w:tc>
          <w:tcPr>
            <w:tcW w:w="1502" w:type="dxa"/>
            <w:tcMar/>
          </w:tcPr>
          <w:p w:rsidR="1D398AE8" w:rsidP="0EDE2158" w:rsidRDefault="1D398AE8" w14:paraId="0B63987A" w14:textId="11D1DBD4">
            <w:pPr>
              <w:jc w:val="center"/>
            </w:pPr>
          </w:p>
        </w:tc>
        <w:tc>
          <w:tcPr>
            <w:tcW w:w="1502" w:type="dxa"/>
            <w:tcMar/>
          </w:tcPr>
          <w:p w:rsidR="1D398AE8" w:rsidP="0EDE2158" w:rsidRDefault="1D398AE8" w14:paraId="14833ED7" w14:textId="11D1DBD4">
            <w:pPr>
              <w:jc w:val="center"/>
            </w:pPr>
          </w:p>
        </w:tc>
      </w:tr>
      <w:tr w:rsidR="1D398AE8" w:rsidTr="6C4D182C" w14:paraId="36F1D0B3" w14:textId="77777777">
        <w:tc>
          <w:tcPr>
            <w:tcW w:w="1502" w:type="dxa"/>
            <w:tcMar/>
          </w:tcPr>
          <w:p w:rsidR="1D398AE8" w:rsidP="0EDE2158" w:rsidRDefault="11BC6C1D" w14:paraId="24C40576" w14:textId="6F9540A3">
            <w:pPr>
              <w:jc w:val="center"/>
            </w:pPr>
            <w:r w:rsidR="4D7E7248">
              <w:rPr/>
              <w:t>3</w:t>
            </w:r>
          </w:p>
        </w:tc>
        <w:tc>
          <w:tcPr>
            <w:tcW w:w="1502" w:type="dxa"/>
            <w:tcMar/>
          </w:tcPr>
          <w:p w:rsidR="1D398AE8" w:rsidP="0EDE2158" w:rsidRDefault="1D398AE8" w14:paraId="42FD8AE5" w14:textId="6F2B8DB7">
            <w:pPr>
              <w:jc w:val="center"/>
            </w:pPr>
          </w:p>
        </w:tc>
        <w:tc>
          <w:tcPr>
            <w:tcW w:w="1502" w:type="dxa"/>
            <w:tcMar/>
          </w:tcPr>
          <w:p w:rsidR="1D398AE8" w:rsidP="0EDE2158" w:rsidRDefault="1D398AE8" w14:paraId="4D9F8F57" w14:textId="11D1DBD4">
            <w:pPr>
              <w:jc w:val="center"/>
            </w:pPr>
          </w:p>
        </w:tc>
        <w:tc>
          <w:tcPr>
            <w:tcW w:w="1502" w:type="dxa"/>
            <w:tcMar/>
          </w:tcPr>
          <w:p w:rsidR="1D398AE8" w:rsidP="0EDE2158" w:rsidRDefault="1D398AE8" w14:paraId="2A118D4B" w14:textId="11D1DBD4">
            <w:pPr>
              <w:jc w:val="center"/>
            </w:pPr>
          </w:p>
        </w:tc>
        <w:tc>
          <w:tcPr>
            <w:tcW w:w="1502" w:type="dxa"/>
            <w:tcMar/>
          </w:tcPr>
          <w:p w:rsidR="1D398AE8" w:rsidP="0EDE2158" w:rsidRDefault="1D398AE8" w14:paraId="149128E7" w14:textId="11D1DBD4">
            <w:pPr>
              <w:jc w:val="center"/>
            </w:pPr>
          </w:p>
        </w:tc>
        <w:tc>
          <w:tcPr>
            <w:tcW w:w="1502" w:type="dxa"/>
            <w:tcMar/>
          </w:tcPr>
          <w:p w:rsidR="1D398AE8" w:rsidP="0EDE2158" w:rsidRDefault="1D398AE8" w14:paraId="466993F2" w14:textId="11D1DBD4">
            <w:pPr>
              <w:jc w:val="center"/>
            </w:pPr>
          </w:p>
        </w:tc>
      </w:tr>
      <w:tr w:rsidR="1D398AE8" w:rsidTr="6C4D182C" w14:paraId="43FC6375" w14:textId="77777777">
        <w:tc>
          <w:tcPr>
            <w:tcW w:w="1502" w:type="dxa"/>
            <w:tcMar/>
          </w:tcPr>
          <w:p w:rsidR="1D398AE8" w:rsidP="0EDE2158" w:rsidRDefault="11BC6C1D" w14:paraId="0020CEA6" w14:textId="16343282">
            <w:pPr>
              <w:jc w:val="center"/>
            </w:pPr>
            <w:r>
              <w:t>5</w:t>
            </w:r>
          </w:p>
        </w:tc>
        <w:tc>
          <w:tcPr>
            <w:tcW w:w="1502" w:type="dxa"/>
            <w:tcMar/>
          </w:tcPr>
          <w:p w:rsidR="1D398AE8" w:rsidP="0EDE2158" w:rsidRDefault="1D398AE8" w14:paraId="6D3A6E57" w14:textId="11D1DBD4">
            <w:pPr>
              <w:jc w:val="center"/>
            </w:pPr>
          </w:p>
        </w:tc>
        <w:tc>
          <w:tcPr>
            <w:tcW w:w="1502" w:type="dxa"/>
            <w:tcMar/>
          </w:tcPr>
          <w:p w:rsidR="1D398AE8" w:rsidP="0EDE2158" w:rsidRDefault="1D398AE8" w14:paraId="6C654E03" w14:textId="11D1DBD4">
            <w:pPr>
              <w:jc w:val="center"/>
            </w:pPr>
          </w:p>
        </w:tc>
        <w:tc>
          <w:tcPr>
            <w:tcW w:w="1502" w:type="dxa"/>
            <w:tcMar/>
          </w:tcPr>
          <w:p w:rsidR="1D398AE8" w:rsidP="0EDE2158" w:rsidRDefault="1D398AE8" w14:paraId="23E15946" w14:textId="11D1DBD4">
            <w:pPr>
              <w:jc w:val="center"/>
            </w:pPr>
          </w:p>
        </w:tc>
        <w:tc>
          <w:tcPr>
            <w:tcW w:w="1502" w:type="dxa"/>
            <w:tcMar/>
          </w:tcPr>
          <w:p w:rsidR="1D398AE8" w:rsidP="0EDE2158" w:rsidRDefault="1D398AE8" w14:paraId="5028593F" w14:textId="11D1DBD4">
            <w:pPr>
              <w:jc w:val="center"/>
            </w:pPr>
          </w:p>
        </w:tc>
        <w:tc>
          <w:tcPr>
            <w:tcW w:w="1502" w:type="dxa"/>
            <w:tcMar/>
          </w:tcPr>
          <w:p w:rsidR="1D398AE8" w:rsidP="0EDE2158" w:rsidRDefault="1D398AE8" w14:paraId="78D04016" w14:textId="11D1DBD4">
            <w:pPr>
              <w:jc w:val="center"/>
            </w:pPr>
          </w:p>
        </w:tc>
      </w:tr>
    </w:tbl>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rPr/>
      </w:pPr>
      <w:r w:rsidR="4742B0D6">
        <w:rPr/>
        <w:t xml:space="preserve">Aplicación de patrones CQRS y DDD simplificados en un microservicio (8 de </w:t>
      </w:r>
      <w:r w:rsidR="538ADB9F">
        <w:rPr/>
        <w:t>o</w:t>
      </w:r>
      <w:r w:rsidR="4742B0D6">
        <w:rPr/>
        <w:t>ctubre de 20</w:t>
      </w:r>
      <w:r w:rsidR="082C943D">
        <w:rPr/>
        <w:t>18)</w:t>
      </w:r>
      <w:r w:rsidR="2F6D7DFA">
        <w:rPr/>
        <w:t xml:space="preserve">. Recuperado de </w:t>
      </w:r>
      <w:hyperlink r:id="R1efbba30895a44b6">
        <w:r w:rsidRPr="6C4D182C" w:rsidR="2F6D7DFA">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rPr/>
      </w:pPr>
      <w:r w:rsidR="6CC0E522">
        <w:rPr/>
        <w:t xml:space="preserve">Diseño de una aplicación orientada a microservicios (2 de octubre de 2018). Recuperado de </w:t>
      </w:r>
      <w:hyperlink r:id="R5e222eda5d484a6f">
        <w:r w:rsidRPr="6C4D182C" w:rsidR="6CC0E522">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rPr/>
      </w:pPr>
      <w:r w:rsidR="084CA7D7">
        <w:rPr/>
        <w:t xml:space="preserve">Microservicios: más que a suma de sus partes (2 de marzo 2020). Recuperado de </w:t>
      </w:r>
      <w:hyperlink r:id="R3d9b03acfd2f4d65">
        <w:r w:rsidRPr="6C4D182C" w:rsidR="084CA7D7">
          <w:rPr>
            <w:rStyle w:val="Hyperlink"/>
          </w:rPr>
          <w:t>https://www.ionos.es/digitalguide/paginas-web/desarrollo-web/los-microservicios-en-el-desarrollo-de-aplicaciones/</w:t>
        </w:r>
      </w:hyperlink>
    </w:p>
    <w:p w:rsidR="60AEC0BF" w:rsidP="60AEC0BF" w:rsidRDefault="60AEC0BF" w14:paraId="49E1D620" w14:textId="1A57536B">
      <w:pPr>
        <w:pStyle w:val="ListParagraph"/>
        <w:numPr>
          <w:ilvl w:val="0"/>
          <w:numId w:val="12"/>
        </w:numPr>
        <w:rPr/>
      </w:pPr>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hybrid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D71B0A"/>
    <w:rsid w:val="05E04ED8"/>
    <w:rsid w:val="05E3E701"/>
    <w:rsid w:val="05E74FD5"/>
    <w:rsid w:val="05E80354"/>
    <w:rsid w:val="0600D423"/>
    <w:rsid w:val="060643F4"/>
    <w:rsid w:val="06088D78"/>
    <w:rsid w:val="060F2F20"/>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C29575"/>
    <w:rsid w:val="08DDA72D"/>
    <w:rsid w:val="08E80C3B"/>
    <w:rsid w:val="090E65BD"/>
    <w:rsid w:val="092573E4"/>
    <w:rsid w:val="09351222"/>
    <w:rsid w:val="09357A04"/>
    <w:rsid w:val="09406192"/>
    <w:rsid w:val="0954F48A"/>
    <w:rsid w:val="09554F0F"/>
    <w:rsid w:val="09582D0B"/>
    <w:rsid w:val="0958EC9B"/>
    <w:rsid w:val="095D52DC"/>
    <w:rsid w:val="0992A858"/>
    <w:rsid w:val="099BC793"/>
    <w:rsid w:val="099DEA98"/>
    <w:rsid w:val="09B705AB"/>
    <w:rsid w:val="09D3863D"/>
    <w:rsid w:val="09DFFF64"/>
    <w:rsid w:val="09E3DB90"/>
    <w:rsid w:val="09EE60EF"/>
    <w:rsid w:val="09F94C2C"/>
    <w:rsid w:val="0A226164"/>
    <w:rsid w:val="0A2EAE2C"/>
    <w:rsid w:val="0A2ECCCF"/>
    <w:rsid w:val="0A305A70"/>
    <w:rsid w:val="0A45453D"/>
    <w:rsid w:val="0A6DB0A9"/>
    <w:rsid w:val="0A717C11"/>
    <w:rsid w:val="0A7DF29C"/>
    <w:rsid w:val="0AA0DBC1"/>
    <w:rsid w:val="0AC46981"/>
    <w:rsid w:val="0AD8A51F"/>
    <w:rsid w:val="0ADE4E84"/>
    <w:rsid w:val="0AE7D138"/>
    <w:rsid w:val="0AEEC198"/>
    <w:rsid w:val="0B123D91"/>
    <w:rsid w:val="0B125A49"/>
    <w:rsid w:val="0B146F09"/>
    <w:rsid w:val="0B14B163"/>
    <w:rsid w:val="0B1CFB07"/>
    <w:rsid w:val="0B29DD23"/>
    <w:rsid w:val="0B309805"/>
    <w:rsid w:val="0B3A5934"/>
    <w:rsid w:val="0B3DFBBC"/>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C0DA9"/>
    <w:rsid w:val="1F280709"/>
    <w:rsid w:val="1F3CF965"/>
    <w:rsid w:val="1F3EB859"/>
    <w:rsid w:val="1F510D3B"/>
    <w:rsid w:val="1F5C7669"/>
    <w:rsid w:val="1F843587"/>
    <w:rsid w:val="1F8659EC"/>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E27535"/>
    <w:rsid w:val="29F2A4F2"/>
    <w:rsid w:val="29F939A3"/>
    <w:rsid w:val="2A0D6C3F"/>
    <w:rsid w:val="2A16120E"/>
    <w:rsid w:val="2A185CA1"/>
    <w:rsid w:val="2A4CB0DF"/>
    <w:rsid w:val="2A5C9F3F"/>
    <w:rsid w:val="2A625601"/>
    <w:rsid w:val="2A803C93"/>
    <w:rsid w:val="2A83E1C1"/>
    <w:rsid w:val="2A9116B7"/>
    <w:rsid w:val="2AA0B58A"/>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2C663"/>
    <w:rsid w:val="364CF82D"/>
    <w:rsid w:val="365A3D16"/>
    <w:rsid w:val="366451E8"/>
    <w:rsid w:val="367364EB"/>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D04E569"/>
    <w:rsid w:val="3D114CB1"/>
    <w:rsid w:val="3D20AB94"/>
    <w:rsid w:val="3D354FF3"/>
    <w:rsid w:val="3D46674B"/>
    <w:rsid w:val="3D54DED2"/>
    <w:rsid w:val="3D5CF922"/>
    <w:rsid w:val="3D628FDA"/>
    <w:rsid w:val="3D67209E"/>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E9592B"/>
    <w:rsid w:val="4411A3E6"/>
    <w:rsid w:val="4427730C"/>
    <w:rsid w:val="442898EA"/>
    <w:rsid w:val="44368B16"/>
    <w:rsid w:val="445D60F7"/>
    <w:rsid w:val="4475C394"/>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F3A493"/>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F180F"/>
    <w:rsid w:val="4F90A9A3"/>
    <w:rsid w:val="4F9AA578"/>
    <w:rsid w:val="4FA0FBBD"/>
    <w:rsid w:val="4FA5CE35"/>
    <w:rsid w:val="4FA5F61E"/>
    <w:rsid w:val="4FA79414"/>
    <w:rsid w:val="4FAF39E2"/>
    <w:rsid w:val="4FC752AC"/>
    <w:rsid w:val="4FCB0CA5"/>
    <w:rsid w:val="4FFE05D6"/>
    <w:rsid w:val="50068ABE"/>
    <w:rsid w:val="500F4F43"/>
    <w:rsid w:val="5021CF78"/>
    <w:rsid w:val="503EE00D"/>
    <w:rsid w:val="50432CE5"/>
    <w:rsid w:val="504A3BCC"/>
    <w:rsid w:val="504E9C82"/>
    <w:rsid w:val="5059C3A5"/>
    <w:rsid w:val="50631F27"/>
    <w:rsid w:val="506CF211"/>
    <w:rsid w:val="5070978C"/>
    <w:rsid w:val="5074BCE4"/>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70BCF0"/>
    <w:rsid w:val="5184D067"/>
    <w:rsid w:val="5188869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992AFA"/>
    <w:rsid w:val="55CC881E"/>
    <w:rsid w:val="55CD8DB2"/>
    <w:rsid w:val="55D601EF"/>
    <w:rsid w:val="55D9195C"/>
    <w:rsid w:val="55F7DC9C"/>
    <w:rsid w:val="55FB28FA"/>
    <w:rsid w:val="55FB4B10"/>
    <w:rsid w:val="56168139"/>
    <w:rsid w:val="562C0651"/>
    <w:rsid w:val="563007F6"/>
    <w:rsid w:val="563CFC02"/>
    <w:rsid w:val="567ACC6D"/>
    <w:rsid w:val="569FBBC4"/>
    <w:rsid w:val="56A4682D"/>
    <w:rsid w:val="56BD58D5"/>
    <w:rsid w:val="5702EFE4"/>
    <w:rsid w:val="5714CE07"/>
    <w:rsid w:val="572EB7DD"/>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304B198"/>
    <w:rsid w:val="6311DD0D"/>
    <w:rsid w:val="6332A04F"/>
    <w:rsid w:val="633503FC"/>
    <w:rsid w:val="6349722E"/>
    <w:rsid w:val="634F361C"/>
    <w:rsid w:val="63547A5D"/>
    <w:rsid w:val="6382773E"/>
    <w:rsid w:val="63877DB6"/>
    <w:rsid w:val="638F33E4"/>
    <w:rsid w:val="6397543A"/>
    <w:rsid w:val="639DCB92"/>
    <w:rsid w:val="63AF646C"/>
    <w:rsid w:val="63DA9064"/>
    <w:rsid w:val="63EA004A"/>
    <w:rsid w:val="63F2F10E"/>
    <w:rsid w:val="63FB7721"/>
    <w:rsid w:val="6400598F"/>
    <w:rsid w:val="6405E5A6"/>
    <w:rsid w:val="643A4B2E"/>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4.png" Id="Rec9a18048e4c43a7" /><Relationship Type="http://schemas.openxmlformats.org/officeDocument/2006/relationships/hyperlink" Target="https://docs.microsoft.com/es-es/dotnet/architecture/microservices/microservice-ddd-cqrs-patterns/apply-simplified-microservice-cqrs-ddd-patterns" TargetMode="External" Id="R1efbba30895a44b6" /><Relationship Type="http://schemas.openxmlformats.org/officeDocument/2006/relationships/hyperlink" Target="https://docs.microsoft.com/es-es/dotnet/architecture/microservices/multi-container-microservice-net-applications/microservice-application-design" TargetMode="External" Id="R5e222eda5d484a6f" /><Relationship Type="http://schemas.openxmlformats.org/officeDocument/2006/relationships/hyperlink" Target="https://www.ionos.es/digitalguide/paginas-web/desarrollo-web/los-microservicios-en-el-desarrollo-de-aplicaciones/" TargetMode="External" Id="R3d9b03acfd2f4d65" /><Relationship Type="http://schemas.openxmlformats.org/officeDocument/2006/relationships/glossaryDocument" Target="/word/glossary/document.xml" Id="Rdcdc069d956f4f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6079cf-aec1-4467-8227-1db07ce3141c}"/>
      </w:docPartPr>
      <w:docPartBody>
        <w:p w14:paraId="25035A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Alberto Jimenez Gomez</lastModifiedBy>
  <revision>102</revision>
  <dcterms:created xsi:type="dcterms:W3CDTF">2020-11-10T19:16:00.0000000Z</dcterms:created>
  <dcterms:modified xsi:type="dcterms:W3CDTF">2020-11-24T11:50:04.7626060Z</dcterms:modified>
</coreProperties>
</file>