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EO IR Milestone Poster Guide</w:t>
      </w:r>
    </w:p>
    <w:p>
      <w:r>
        <w:rPr>
          <w:b/>
        </w:rPr>
        <w:t>Project overview and implementation instructions for Walter and Abdul</w:t>
      </w:r>
    </w:p>
    <w:p>
      <w:r>
        <w:rPr>
          <w:b w:val="0"/>
        </w:rPr>
        <w:t>Use this guide to build the milestone poster from the completed baseline experiments. The poster content sections specify every text block, table, result, caption, and location. Add the team author names yourselves.</w:t>
      </w:r>
    </w:p>
    <w:p>
      <w:r>
        <w:rPr>
          <w:b/>
        </w:rPr>
        <w:t>Main result: IR achieved 58.85% AP50-95 versus 44.01% for VIS on our development-validation subset, a difference of 14.84 percentage points.</w:t>
      </w:r>
    </w:p>
    <w:p>
      <w:pPr>
        <w:pStyle w:val="Heading2"/>
      </w:pPr>
      <w:r>
        <w:t>What the project is</w:t>
      </w:r>
    </w:p>
    <w:p>
      <w:r>
        <w:rPr>
          <w:b w:val="0"/>
        </w:rPr>
        <w:t>We study pedestrian detection in low-light paired visible and thermal infrared images. The intended research decision is which sensor input, and eventually which fusion rule, best supports detecting pedestrians when image quality changes. This is an offline benchmark study; it does not validate a deployed safety or monitoring system.</w:t>
      </w:r>
    </w:p>
    <w:p>
      <w:r>
        <w:rPr>
          <w:b w:val="0"/>
        </w:rPr>
        <w:t>Visible images record visible light. Thermal infrared images provide a different view of the same scene. A detector predicts pedestrian bounding boxes and confidence scores. Our machine learning is supervised deep learning: we fine-tuned COCO-pretrained YOLOv5s detectors using supplied person annotations and SGD optimization.</w:t>
      </w:r>
    </w:p>
    <w:p>
      <w:pPr>
        <w:pStyle w:val="Heading2"/>
      </w:pPr>
      <w:r>
        <w:t>The semester research question</w:t>
      </w:r>
    </w:p>
    <w:p>
      <w:r>
        <w:rPr>
          <w:b w:val="0"/>
        </w:rPr>
        <w:t>Does adaptive weighting of aligned visible and thermal infrared images improve pedestrian detection compared with single-modality inputs and our equal-weight fusion baseline, including when one sensor is degraded?</w:t>
      </w:r>
    </w:p>
    <w:p>
      <w:pPr>
        <w:pStyle w:val="Heading2"/>
      </w:pPr>
      <w:r>
        <w:t>The four planned methods</w:t>
      </w:r>
    </w:p>
    <w:tbl>
      <w:tblPr>
        <w:tblW w:type="auto" w:w="0"/>
        <w:jc w:val="center"/>
        <w:tblLayout w:type="fixed"/>
        <w:tblLook w:firstColumn="1" w:firstRow="1" w:lastColumn="0" w:lastRow="0" w:noHBand="0" w:noVBand="1" w:val="04A0"/>
      </w:tblPr>
      <w:tblGrid>
        <w:gridCol w:w="2448"/>
        <w:gridCol w:w="4680"/>
        <w:gridCol w:w="2664"/>
      </w:tblGrid>
      <w:tr>
        <w:trPr>
          <w:cantSplit/>
          <w:tblHeader/>
        </w:trPr>
        <w:tc>
          <w:tcPr>
            <w:tcW w:type="dxa" w:w="244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263F4B"/>
          </w:tcPr>
          <w:p>
            <w:pPr>
              <w:spacing w:after="20" w:before="20"/>
            </w:pPr>
            <w:r>
              <w:rPr>
                <w:b/>
                <w:color w:val="FFFFFF"/>
                <w:sz w:val="19"/>
              </w:rPr>
              <w:t>Method</w:t>
            </w:r>
          </w:p>
        </w:tc>
        <w:tc>
          <w:tcPr>
            <w:tcW w:type="dxa" w:w="468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263F4B"/>
          </w:tcPr>
          <w:p>
            <w:pPr>
              <w:spacing w:after="20" w:before="20"/>
              <w:jc w:val="center"/>
            </w:pPr>
            <w:r>
              <w:rPr>
                <w:b/>
                <w:color w:val="FFFFFF"/>
                <w:sz w:val="19"/>
              </w:rPr>
              <w:t>Purpose</w:t>
            </w:r>
          </w:p>
        </w:tc>
        <w:tc>
          <w:tcPr>
            <w:tcW w:type="dxa" w:w="2664"/>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263F4B"/>
          </w:tcPr>
          <w:p>
            <w:pPr>
              <w:spacing w:after="20" w:before="20"/>
              <w:jc w:val="center"/>
            </w:pPr>
            <w:r>
              <w:rPr>
                <w:b/>
                <w:color w:val="FFFFFF"/>
                <w:sz w:val="19"/>
              </w:rPr>
              <w:t>Current status</w:t>
            </w:r>
          </w:p>
        </w:tc>
      </w:tr>
      <w:tr>
        <w:trPr>
          <w:cantSplit/>
        </w:trPr>
        <w:tc>
          <w:tcPr>
            <w:tcW w:type="dxa" w:w="244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FFFFF"/>
          </w:tcPr>
          <w:p>
            <w:pPr>
              <w:spacing w:after="20" w:before="20"/>
            </w:pPr>
            <w:r>
              <w:rPr>
                <w:sz w:val="19"/>
              </w:rPr>
              <w:t>VIS only</w:t>
            </w:r>
          </w:p>
        </w:tc>
        <w:tc>
          <w:tcPr>
            <w:tcW w:type="dxa" w:w="468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FFFFF"/>
          </w:tcPr>
          <w:p>
            <w:pPr>
              <w:spacing w:after="20" w:before="20"/>
              <w:jc w:val="center"/>
            </w:pPr>
            <w:r>
              <w:rPr>
                <w:sz w:val="19"/>
              </w:rPr>
              <w:t>Visible input baseline</w:t>
            </w:r>
          </w:p>
        </w:tc>
        <w:tc>
          <w:tcPr>
            <w:tcW w:type="dxa" w:w="2664"/>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FFFFF"/>
          </w:tcPr>
          <w:p>
            <w:pPr>
              <w:spacing w:after="20" w:before="20"/>
              <w:jc w:val="center"/>
            </w:pPr>
            <w:r>
              <w:rPr>
                <w:sz w:val="19"/>
              </w:rPr>
              <w:t>Trained and evaluated</w:t>
            </w:r>
          </w:p>
        </w:tc>
      </w:tr>
      <w:tr>
        <w:trPr>
          <w:cantSplit/>
        </w:trPr>
        <w:tc>
          <w:tcPr>
            <w:tcW w:type="dxa" w:w="244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1F5F6"/>
          </w:tcPr>
          <w:p>
            <w:pPr>
              <w:spacing w:after="20" w:before="20"/>
            </w:pPr>
            <w:r>
              <w:rPr>
                <w:sz w:val="19"/>
              </w:rPr>
              <w:t>IR only</w:t>
            </w:r>
          </w:p>
        </w:tc>
        <w:tc>
          <w:tcPr>
            <w:tcW w:type="dxa" w:w="468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1F5F6"/>
          </w:tcPr>
          <w:p>
            <w:pPr>
              <w:spacing w:after="20" w:before="20"/>
              <w:jc w:val="center"/>
            </w:pPr>
            <w:r>
              <w:rPr>
                <w:sz w:val="19"/>
              </w:rPr>
              <w:t>Thermal input baseline</w:t>
            </w:r>
          </w:p>
        </w:tc>
        <w:tc>
          <w:tcPr>
            <w:tcW w:type="dxa" w:w="2664"/>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1F5F6"/>
          </w:tcPr>
          <w:p>
            <w:pPr>
              <w:spacing w:after="20" w:before="20"/>
              <w:jc w:val="center"/>
            </w:pPr>
            <w:r>
              <w:rPr>
                <w:sz w:val="19"/>
              </w:rPr>
              <w:t>Trained and evaluated</w:t>
            </w:r>
          </w:p>
        </w:tc>
      </w:tr>
      <w:tr>
        <w:trPr>
          <w:cantSplit/>
        </w:trPr>
        <w:tc>
          <w:tcPr>
            <w:tcW w:type="dxa" w:w="244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FFFFF"/>
          </w:tcPr>
          <w:p>
            <w:pPr>
              <w:spacing w:after="20" w:before="20"/>
            </w:pPr>
            <w:r>
              <w:rPr>
                <w:sz w:val="19"/>
              </w:rPr>
              <w:t>Our equal weight fusion baseline</w:t>
            </w:r>
          </w:p>
        </w:tc>
        <w:tc>
          <w:tcPr>
            <w:tcW w:type="dxa" w:w="468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FFFFF"/>
          </w:tcPr>
          <w:p>
            <w:pPr>
              <w:spacing w:after="20" w:before="20"/>
              <w:jc w:val="center"/>
            </w:pPr>
            <w:r>
              <w:rPr>
                <w:sz w:val="19"/>
              </w:rPr>
              <w:t>50% VIS plus 50% IR image blend</w:t>
            </w:r>
          </w:p>
        </w:tc>
        <w:tc>
          <w:tcPr>
            <w:tcW w:type="dxa" w:w="2664"/>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FFFFF"/>
          </w:tcPr>
          <w:p>
            <w:pPr>
              <w:spacing w:after="20" w:before="20"/>
              <w:jc w:val="center"/>
            </w:pPr>
            <w:r>
              <w:rPr>
                <w:sz w:val="19"/>
              </w:rPr>
              <w:t>Not implemented</w:t>
            </w:r>
          </w:p>
        </w:tc>
      </w:tr>
      <w:tr>
        <w:trPr>
          <w:cantSplit/>
        </w:trPr>
        <w:tc>
          <w:tcPr>
            <w:tcW w:type="dxa" w:w="244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1F5F6"/>
          </w:tcPr>
          <w:p>
            <w:pPr>
              <w:spacing w:after="20" w:before="20"/>
            </w:pPr>
            <w:r>
              <w:rPr>
                <w:sz w:val="19"/>
              </w:rPr>
              <w:t>Adaptive fusion</w:t>
            </w:r>
          </w:p>
        </w:tc>
        <w:tc>
          <w:tcPr>
            <w:tcW w:type="dxa" w:w="468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1F5F6"/>
          </w:tcPr>
          <w:p>
            <w:pPr>
              <w:spacing w:after="20" w:before="20"/>
              <w:jc w:val="center"/>
            </w:pPr>
            <w:r>
              <w:rPr>
                <w:sz w:val="19"/>
              </w:rPr>
              <w:t>CNN predicts sensor weights for a combined image</w:t>
            </w:r>
          </w:p>
        </w:tc>
        <w:tc>
          <w:tcPr>
            <w:tcW w:type="dxa" w:w="2664"/>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1F5F6"/>
          </w:tcPr>
          <w:p>
            <w:pPr>
              <w:spacing w:after="20" w:before="20"/>
              <w:jc w:val="center"/>
            </w:pPr>
            <w:r>
              <w:rPr>
                <w:sz w:val="19"/>
              </w:rPr>
              <w:t>Not implemented</w:t>
            </w:r>
          </w:p>
        </w:tc>
      </w:tr>
    </w:tbl>
    <w:p>
      <w:pPr>
        <w:spacing w:after="20" w:before="0" w:line="60" w:lineRule="exact"/>
      </w:pPr>
      <w:r>
        <w:rPr>
          <w:b w:val="0"/>
        </w:rPr>
      </w:r>
    </w:p>
    <w:p>
      <w:r>
        <w:rPr>
          <w:b w:val="0"/>
        </w:rPr>
        <w:t>The 50/50 blend is OUR comparison baseline. Do not attribute it to LLVIP. A fused image would be computed from a real aligned VIS/IR pair; it is not a generated replacement IR image. Image-to-image translation is outside our project scope.</w:t>
      </w:r>
    </w:p>
    <w:p>
      <w:pPr>
        <w:pStyle w:val="Heading2"/>
      </w:pPr>
      <w:r>
        <w:t>How to use this guide</w:t>
      </w:r>
    </w:p>
    <w:p>
      <w:r>
        <w:rPr>
          <w:b w:val="0"/>
        </w:rPr>
        <w:t>Read the project overview, completed work, and results first. Then follow the poster placement map and the exact copy sections. The future research section explains the next steps. The long background explanations are for the team; only content explicitly marked for the poster belongs on the one-page poster.</w:t>
      </w:r>
    </w:p>
    <w:p>
      <w:pPr>
        <w:pStyle w:val="Heading1"/>
        <w:pageBreakBefore/>
      </w:pPr>
      <w:r>
        <w:t>Completed work and experimental design</w:t>
      </w:r>
    </w:p>
    <w:p>
      <w:pPr>
        <w:pStyle w:val="Heading2"/>
      </w:pPr>
      <w:r>
        <w:t>What LLVIP did and what we followed</w:t>
      </w:r>
    </w:p>
    <w:p>
      <w:r>
        <w:rPr>
          <w:b w:val="0"/>
        </w:rPr>
        <w:t>LLVIP introduced paired low-light visible/infrared data and evaluated fusion, pedestrian detection, and image translation. Its fusion study assessed image quality separately from its VIS-only and IR-only detection experiments. Our completed work follows the separate-modality detection comparison; our planned extension evaluates fusion through pedestrian detection. [P1: Figure 2; Sections 5.1-5.2; Tables 2-3]</w:t>
      </w:r>
    </w:p>
    <w:p>
      <w:r>
        <w:rPr>
          <w:b w:val="0"/>
        </w:rPr>
        <w:t>This is a reproduction-inspired comparison rather than an exact reproduction. LLVIP used YOLOv5l and 200 epochs; we used YOLOv5s and 10 epochs. Our validation split and other settings also differ. [P1: Section 5.2; our protocol]</w:t>
      </w:r>
    </w:p>
    <w:p>
      <w:pPr>
        <w:pStyle w:val="Heading2"/>
      </w:pPr>
      <w:r>
        <w:t>Progress since the initial setup</w:t>
      </w:r>
    </w:p>
    <w:p>
      <w:pPr>
        <w:pStyle w:val="ListBullet"/>
      </w:pPr>
      <w:r>
        <w:rPr>
          <w:b w:val="0"/>
        </w:rPr>
        <w:t>Recovered the missing prepared dataset from the original LLVIP archive and verified the replacement archive checksum.</w:t>
      </w:r>
    </w:p>
    <w:p>
      <w:pPr>
        <w:pStyle w:val="ListBullet"/>
      </w:pPr>
      <w:r>
        <w:rPr>
          <w:b w:val="0"/>
        </w:rPr>
        <w:t>Audited annotations: retained 34,130 valid boxes; discarded five zero-width boxes; excluded two training pairs with uncertain empty annotations. These are our preprocessing decisions.</w:t>
      </w:r>
    </w:p>
    <w:p>
      <w:pPr>
        <w:pStyle w:val="ListBullet"/>
      </w:pPr>
      <w:r>
        <w:rPr>
          <w:b w:val="0"/>
        </w:rPr>
        <w:t>Preserved the team split, with 10,028 effective training pairs and 1,995 development-validation pairs. VIS and IR use corresponding membership and labels.</w:t>
      </w:r>
    </w:p>
    <w:p>
      <w:pPr>
        <w:pStyle w:val="ListBullet"/>
      </w:pPr>
      <w:r>
        <w:rPr>
          <w:b w:val="0"/>
        </w:rPr>
        <w:t>Checked all four subsets with the detector data loader; no missing files or corrupt images were reported.</w:t>
      </w:r>
    </w:p>
    <w:p>
      <w:pPr>
        <w:pStyle w:val="ListBullet"/>
      </w:pPr>
      <w:r>
        <w:rPr>
          <w:b w:val="0"/>
        </w:rPr>
        <w:t>Completed a two-epoch VIS pilot, then separate ten-epoch VIS and IR baseline runs.</w:t>
      </w:r>
    </w:p>
    <w:p>
      <w:pPr>
        <w:pStyle w:val="ListBullet"/>
      </w:pPr>
      <w:r>
        <w:rPr>
          <w:b w:val="0"/>
        </w:rPr>
        <w:t>Audited saved settings and checkpoint selection; evaluated the selected models separately and generated learning histories and six paired examples.</w:t>
      </w:r>
    </w:p>
    <w:p>
      <w:pPr>
        <w:pStyle w:val="Heading2"/>
      </w:pPr>
      <w:r>
        <w:t>Protocol to explain on the poster</w:t>
      </w:r>
    </w:p>
    <w:tbl>
      <w:tblPr>
        <w:tblW w:type="auto" w:w="0"/>
        <w:jc w:val="center"/>
        <w:tblLayout w:type="fixed"/>
        <w:tblLook w:firstColumn="1" w:firstRow="1" w:lastColumn="0" w:lastRow="0" w:noHBand="0" w:noVBand="1" w:val="04A0"/>
      </w:tblPr>
      <w:tblGrid>
        <w:gridCol w:w="2232"/>
        <w:gridCol w:w="7560"/>
      </w:tblGrid>
      <w:tr>
        <w:trPr>
          <w:cantSplit/>
          <w:tblHeader/>
        </w:trPr>
        <w:tc>
          <w:tcPr>
            <w:tcW w:type="dxa" w:w="223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263F4B"/>
          </w:tcPr>
          <w:p>
            <w:pPr>
              <w:spacing w:after="20" w:before="20"/>
            </w:pPr>
            <w:r>
              <w:rPr>
                <w:b/>
                <w:color w:val="FFFFFF"/>
                <w:sz w:val="19"/>
              </w:rPr>
              <w:t>Setting</w:t>
            </w:r>
          </w:p>
        </w:tc>
        <w:tc>
          <w:tcPr>
            <w:tcW w:type="dxa" w:w="756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263F4B"/>
          </w:tcPr>
          <w:p>
            <w:pPr>
              <w:spacing w:after="20" w:before="20"/>
            </w:pPr>
            <w:r>
              <w:rPr>
                <w:b/>
                <w:color w:val="FFFFFF"/>
                <w:sz w:val="19"/>
              </w:rPr>
              <w:t>Our completed experiment</w:t>
            </w:r>
          </w:p>
        </w:tc>
      </w:tr>
      <w:tr>
        <w:trPr>
          <w:cantSplit/>
        </w:trPr>
        <w:tc>
          <w:tcPr>
            <w:tcW w:type="dxa" w:w="223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FFFFF"/>
          </w:tcPr>
          <w:p>
            <w:pPr>
              <w:spacing w:after="20" w:before="20"/>
            </w:pPr>
            <w:r>
              <w:rPr>
                <w:sz w:val="19"/>
              </w:rPr>
              <w:t>Model and initialization</w:t>
            </w:r>
          </w:p>
        </w:tc>
        <w:tc>
          <w:tcPr>
            <w:tcW w:type="dxa" w:w="756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FFFFF"/>
          </w:tcPr>
          <w:p>
            <w:pPr>
              <w:spacing w:after="20" w:before="20"/>
            </w:pPr>
            <w:r>
              <w:rPr>
                <w:sz w:val="19"/>
              </w:rPr>
              <w:t>YOLOv5s; both runs start from the same COCO-pretrained weights</w:t>
            </w:r>
          </w:p>
        </w:tc>
      </w:tr>
      <w:tr>
        <w:trPr>
          <w:cantSplit/>
        </w:trPr>
        <w:tc>
          <w:tcPr>
            <w:tcW w:type="dxa" w:w="223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1F5F6"/>
          </w:tcPr>
          <w:p>
            <w:pPr>
              <w:spacing w:after="20" w:before="20"/>
            </w:pPr>
            <w:r>
              <w:rPr>
                <w:sz w:val="19"/>
              </w:rPr>
              <w:t>Learning setup</w:t>
            </w:r>
          </w:p>
        </w:tc>
        <w:tc>
          <w:tcPr>
            <w:tcW w:type="dxa" w:w="756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1F5F6"/>
          </w:tcPr>
          <w:p>
            <w:pPr>
              <w:spacing w:after="20" w:before="20"/>
            </w:pPr>
            <w:r>
              <w:rPr>
                <w:sz w:val="19"/>
              </w:rPr>
              <w:t>Separate fine-tuning; one class, person; SGD; seed 42</w:t>
            </w:r>
          </w:p>
        </w:tc>
      </w:tr>
      <w:tr>
        <w:trPr>
          <w:cantSplit/>
        </w:trPr>
        <w:tc>
          <w:tcPr>
            <w:tcW w:type="dxa" w:w="223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FFFFF"/>
          </w:tcPr>
          <w:p>
            <w:pPr>
              <w:spacing w:after="20" w:before="20"/>
            </w:pPr>
            <w:r>
              <w:rPr>
                <w:sz w:val="19"/>
              </w:rPr>
              <w:t>Training budget</w:t>
            </w:r>
          </w:p>
        </w:tc>
        <w:tc>
          <w:tcPr>
            <w:tcW w:type="dxa" w:w="756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FFFFF"/>
          </w:tcPr>
          <w:p>
            <w:pPr>
              <w:spacing w:after="20" w:before="20"/>
            </w:pPr>
            <w:r>
              <w:rPr>
                <w:sz w:val="19"/>
              </w:rPr>
              <w:t>10 epochs each; batch 8; image-size argument 640; Tesla T4</w:t>
            </w:r>
          </w:p>
        </w:tc>
      </w:tr>
      <w:tr>
        <w:trPr>
          <w:cantSplit/>
        </w:trPr>
        <w:tc>
          <w:tcPr>
            <w:tcW w:type="dxa" w:w="223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1F5F6"/>
          </w:tcPr>
          <w:p>
            <w:pPr>
              <w:spacing w:after="20" w:before="20"/>
            </w:pPr>
            <w:r>
              <w:rPr>
                <w:sz w:val="19"/>
              </w:rPr>
              <w:t>Data</w:t>
            </w:r>
          </w:p>
        </w:tc>
        <w:tc>
          <w:tcPr>
            <w:tcW w:type="dxa" w:w="756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1F5F6"/>
          </w:tcPr>
          <w:p>
            <w:pPr>
              <w:spacing w:after="20" w:before="20"/>
            </w:pPr>
            <w:r>
              <w:rPr>
                <w:sz w:val="19"/>
              </w:rPr>
              <w:t>10,028 training pairs; 1,995 development-validation pairs</w:t>
            </w:r>
          </w:p>
        </w:tc>
      </w:tr>
      <w:tr>
        <w:trPr>
          <w:cantSplit/>
        </w:trPr>
        <w:tc>
          <w:tcPr>
            <w:tcW w:type="dxa" w:w="223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FFFFF"/>
          </w:tcPr>
          <w:p>
            <w:pPr>
              <w:spacing w:after="20" w:before="20"/>
            </w:pPr>
            <w:r>
              <w:rPr>
                <w:sz w:val="19"/>
              </w:rPr>
              <w:t>Selection</w:t>
            </w:r>
          </w:p>
        </w:tc>
        <w:tc>
          <w:tcPr>
            <w:tcW w:type="dxa" w:w="756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FFFFF"/>
          </w:tcPr>
          <w:p>
            <w:pPr>
              <w:spacing w:after="20" w:before="20"/>
            </w:pPr>
            <w:r>
              <w:rPr>
                <w:sz w:val="19"/>
              </w:rPr>
              <w:t>Highest validation AP50-95; earliest epoch breaks an exact tie</w:t>
            </w:r>
          </w:p>
        </w:tc>
      </w:tr>
      <w:tr>
        <w:trPr>
          <w:cantSplit/>
        </w:trPr>
        <w:tc>
          <w:tcPr>
            <w:tcW w:type="dxa" w:w="223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1F5F6"/>
          </w:tcPr>
          <w:p>
            <w:pPr>
              <w:spacing w:after="20" w:before="20"/>
            </w:pPr>
            <w:r>
              <w:rPr>
                <w:sz w:val="19"/>
              </w:rPr>
              <w:t>Selected epochs</w:t>
            </w:r>
          </w:p>
        </w:tc>
        <w:tc>
          <w:tcPr>
            <w:tcW w:type="dxa" w:w="756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1F5F6"/>
          </w:tcPr>
          <w:p>
            <w:pPr>
              <w:spacing w:after="20" w:before="20"/>
            </w:pPr>
            <w:r>
              <w:rPr>
                <w:sz w:val="19"/>
              </w:rPr>
              <w:t>VIS epoch 9 (epoch8.pt); IR epoch 10 (epoch9.pt)</w:t>
            </w:r>
          </w:p>
        </w:tc>
      </w:tr>
      <w:tr>
        <w:trPr>
          <w:cantSplit/>
        </w:trPr>
        <w:tc>
          <w:tcPr>
            <w:tcW w:type="dxa" w:w="223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FFFFF"/>
          </w:tcPr>
          <w:p>
            <w:pPr>
              <w:spacing w:after="20" w:before="20"/>
            </w:pPr>
            <w:r>
              <w:rPr>
                <w:sz w:val="19"/>
              </w:rPr>
              <w:t>Evaluation</w:t>
            </w:r>
          </w:p>
        </w:tc>
        <w:tc>
          <w:tcPr>
            <w:tcW w:type="dxa" w:w="756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FFFFF"/>
          </w:tcPr>
          <w:p>
            <w:pPr>
              <w:spacing w:after="20" w:before="20"/>
            </w:pPr>
            <w:r>
              <w:rPr>
                <w:sz w:val="19"/>
              </w:rPr>
              <w:t>Same validation membership and evaluator settings; 5,246 annotated instances per modality</w:t>
            </w:r>
          </w:p>
        </w:tc>
      </w:tr>
    </w:tbl>
    <w:p>
      <w:pPr>
        <w:spacing w:after="20" w:before="0" w:line="60" w:lineRule="exact"/>
      </w:pPr>
      <w:r>
        <w:rPr>
          <w:b w:val="0"/>
        </w:rPr>
      </w:r>
    </w:p>
    <w:p>
      <w:r>
        <w:rPr>
          <w:b w:val="0"/>
        </w:rPr>
        <w:t>Same detector architecture does not mean the same trained weights. These baselines compare complete VIS and IR pipelines. They do not isolate the causal effect of a fusion rule. Both models completed all ten epochs even though the selected VIS checkpoint is from epoch nine.</w:t>
      </w:r>
    </w:p>
    <w:p>
      <w:pPr>
        <w:pStyle w:val="Heading1"/>
        <w:pageBreakBefore/>
      </w:pPr>
      <w:r>
        <w:t>Verified results and interpretation</w:t>
      </w:r>
    </w:p>
    <w:p>
      <w:pPr>
        <w:pStyle w:val="Heading2"/>
      </w:pPr>
      <w:r>
        <w:t>Use these standalone results</w:t>
      </w:r>
    </w:p>
    <w:tbl>
      <w:tblPr>
        <w:tblW w:type="auto" w:w="0"/>
        <w:jc w:val="center"/>
        <w:tblLayout w:type="fixed"/>
        <w:tblLook w:firstColumn="1" w:firstRow="1" w:lastColumn="0" w:lastRow="0" w:noHBand="0" w:noVBand="1" w:val="04A0"/>
      </w:tblPr>
      <w:tblGrid>
        <w:gridCol w:w="2232"/>
        <w:gridCol w:w="1872"/>
        <w:gridCol w:w="1872"/>
        <w:gridCol w:w="3816"/>
      </w:tblGrid>
      <w:tr>
        <w:trPr>
          <w:cantSplit/>
          <w:tblHeader/>
        </w:trPr>
        <w:tc>
          <w:tcPr>
            <w:tcW w:type="dxa" w:w="223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263F4B"/>
          </w:tcPr>
          <w:p>
            <w:pPr>
              <w:spacing w:after="20" w:before="20"/>
            </w:pPr>
            <w:r>
              <w:rPr>
                <w:b/>
                <w:color w:val="FFFFFF"/>
                <w:sz w:val="19"/>
              </w:rPr>
              <w:t>Metric</w:t>
            </w:r>
          </w:p>
        </w:tc>
        <w:tc>
          <w:tcPr>
            <w:tcW w:type="dxa" w:w="187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263F4B"/>
          </w:tcPr>
          <w:p>
            <w:pPr>
              <w:spacing w:after="20" w:before="20"/>
              <w:jc w:val="center"/>
            </w:pPr>
            <w:r>
              <w:rPr>
                <w:b/>
                <w:color w:val="FFFFFF"/>
                <w:sz w:val="19"/>
              </w:rPr>
              <w:t>VIS</w:t>
            </w:r>
          </w:p>
        </w:tc>
        <w:tc>
          <w:tcPr>
            <w:tcW w:type="dxa" w:w="187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263F4B"/>
          </w:tcPr>
          <w:p>
            <w:pPr>
              <w:spacing w:after="20" w:before="20"/>
              <w:jc w:val="center"/>
            </w:pPr>
            <w:r>
              <w:rPr>
                <w:b/>
                <w:color w:val="FFFFFF"/>
                <w:sz w:val="19"/>
              </w:rPr>
              <w:t>IR</w:t>
            </w:r>
          </w:p>
        </w:tc>
        <w:tc>
          <w:tcPr>
            <w:tcW w:type="dxa" w:w="3816"/>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263F4B"/>
          </w:tcPr>
          <w:p>
            <w:pPr>
              <w:spacing w:after="20" w:before="20"/>
              <w:jc w:val="center"/>
            </w:pPr>
            <w:r>
              <w:rPr>
                <w:b/>
                <w:color w:val="FFFFFF"/>
                <w:sz w:val="19"/>
              </w:rPr>
              <w:t>IR minus VIS</w:t>
            </w:r>
          </w:p>
        </w:tc>
      </w:tr>
      <w:tr>
        <w:trPr>
          <w:cantSplit/>
        </w:trPr>
        <w:tc>
          <w:tcPr>
            <w:tcW w:type="dxa" w:w="223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FFFFF"/>
          </w:tcPr>
          <w:p>
            <w:pPr>
              <w:spacing w:after="20" w:before="20"/>
            </w:pPr>
            <w:r>
              <w:rPr>
                <w:sz w:val="19"/>
              </w:rPr>
              <w:t>Precision</w:t>
            </w:r>
          </w:p>
        </w:tc>
        <w:tc>
          <w:tcPr>
            <w:tcW w:type="dxa" w:w="187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FFFFF"/>
          </w:tcPr>
          <w:p>
            <w:pPr>
              <w:spacing w:after="20" w:before="20"/>
              <w:jc w:val="center"/>
            </w:pPr>
            <w:r>
              <w:rPr>
                <w:sz w:val="19"/>
              </w:rPr>
              <w:t>91.46%</w:t>
            </w:r>
          </w:p>
        </w:tc>
        <w:tc>
          <w:tcPr>
            <w:tcW w:type="dxa" w:w="187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FFFFF"/>
          </w:tcPr>
          <w:p>
            <w:pPr>
              <w:spacing w:after="20" w:before="20"/>
              <w:jc w:val="center"/>
            </w:pPr>
            <w:r>
              <w:rPr>
                <w:sz w:val="19"/>
              </w:rPr>
              <w:t>95.38%</w:t>
            </w:r>
          </w:p>
        </w:tc>
        <w:tc>
          <w:tcPr>
            <w:tcW w:type="dxa" w:w="3816"/>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FFFFF"/>
          </w:tcPr>
          <w:p>
            <w:pPr>
              <w:spacing w:after="20" w:before="20"/>
              <w:jc w:val="center"/>
            </w:pPr>
            <w:r>
              <w:rPr>
                <w:sz w:val="19"/>
              </w:rPr>
              <w:t>+3.92 points</w:t>
            </w:r>
          </w:p>
        </w:tc>
      </w:tr>
      <w:tr>
        <w:trPr>
          <w:cantSplit/>
        </w:trPr>
        <w:tc>
          <w:tcPr>
            <w:tcW w:type="dxa" w:w="223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1F5F6"/>
          </w:tcPr>
          <w:p>
            <w:pPr>
              <w:spacing w:after="20" w:before="20"/>
            </w:pPr>
            <w:r>
              <w:rPr>
                <w:sz w:val="19"/>
              </w:rPr>
              <w:t>Recall</w:t>
            </w:r>
          </w:p>
        </w:tc>
        <w:tc>
          <w:tcPr>
            <w:tcW w:type="dxa" w:w="187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1F5F6"/>
          </w:tcPr>
          <w:p>
            <w:pPr>
              <w:spacing w:after="20" w:before="20"/>
              <w:jc w:val="center"/>
            </w:pPr>
            <w:r>
              <w:rPr>
                <w:sz w:val="19"/>
              </w:rPr>
              <w:t>75.51%</w:t>
            </w:r>
          </w:p>
        </w:tc>
        <w:tc>
          <w:tcPr>
            <w:tcW w:type="dxa" w:w="187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1F5F6"/>
          </w:tcPr>
          <w:p>
            <w:pPr>
              <w:spacing w:after="20" w:before="20"/>
              <w:jc w:val="center"/>
            </w:pPr>
            <w:r>
              <w:rPr>
                <w:sz w:val="19"/>
              </w:rPr>
              <w:t>89.53%</w:t>
            </w:r>
          </w:p>
        </w:tc>
        <w:tc>
          <w:tcPr>
            <w:tcW w:type="dxa" w:w="3816"/>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1F5F6"/>
          </w:tcPr>
          <w:p>
            <w:pPr>
              <w:spacing w:after="20" w:before="20"/>
              <w:jc w:val="center"/>
            </w:pPr>
            <w:r>
              <w:rPr>
                <w:sz w:val="19"/>
              </w:rPr>
              <w:t>+14.02 points</w:t>
            </w:r>
          </w:p>
        </w:tc>
      </w:tr>
      <w:tr>
        <w:trPr>
          <w:cantSplit/>
        </w:trPr>
        <w:tc>
          <w:tcPr>
            <w:tcW w:type="dxa" w:w="223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FFFFF"/>
          </w:tcPr>
          <w:p>
            <w:pPr>
              <w:spacing w:after="20" w:before="20"/>
            </w:pPr>
            <w:r>
              <w:rPr>
                <w:sz w:val="19"/>
              </w:rPr>
              <w:t>AP50</w:t>
            </w:r>
          </w:p>
        </w:tc>
        <w:tc>
          <w:tcPr>
            <w:tcW w:type="dxa" w:w="187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FFFFF"/>
          </w:tcPr>
          <w:p>
            <w:pPr>
              <w:spacing w:after="20" w:before="20"/>
              <w:jc w:val="center"/>
            </w:pPr>
            <w:r>
              <w:rPr>
                <w:sz w:val="19"/>
              </w:rPr>
              <w:t>85.28%</w:t>
            </w:r>
          </w:p>
        </w:tc>
        <w:tc>
          <w:tcPr>
            <w:tcW w:type="dxa" w:w="187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FFFFF"/>
          </w:tcPr>
          <w:p>
            <w:pPr>
              <w:spacing w:after="20" w:before="20"/>
              <w:jc w:val="center"/>
            </w:pPr>
            <w:r>
              <w:rPr>
                <w:sz w:val="19"/>
              </w:rPr>
              <w:t>96.02%</w:t>
            </w:r>
          </w:p>
        </w:tc>
        <w:tc>
          <w:tcPr>
            <w:tcW w:type="dxa" w:w="3816"/>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FFFFF"/>
          </w:tcPr>
          <w:p>
            <w:pPr>
              <w:spacing w:after="20" w:before="20"/>
              <w:jc w:val="center"/>
            </w:pPr>
            <w:r>
              <w:rPr>
                <w:sz w:val="19"/>
              </w:rPr>
              <w:t>+10.73 points</w:t>
            </w:r>
          </w:p>
        </w:tc>
      </w:tr>
      <w:tr>
        <w:trPr>
          <w:cantSplit/>
        </w:trPr>
        <w:tc>
          <w:tcPr>
            <w:tcW w:type="dxa" w:w="223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1F5F6"/>
          </w:tcPr>
          <w:p>
            <w:pPr>
              <w:spacing w:after="20" w:before="20"/>
            </w:pPr>
            <w:r>
              <w:rPr>
                <w:sz w:val="19"/>
              </w:rPr>
              <w:t>AP50-95</w:t>
            </w:r>
          </w:p>
        </w:tc>
        <w:tc>
          <w:tcPr>
            <w:tcW w:type="dxa" w:w="187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1F5F6"/>
          </w:tcPr>
          <w:p>
            <w:pPr>
              <w:spacing w:after="20" w:before="20"/>
              <w:jc w:val="center"/>
            </w:pPr>
            <w:r>
              <w:rPr>
                <w:sz w:val="19"/>
              </w:rPr>
              <w:t>44.01%</w:t>
            </w:r>
          </w:p>
        </w:tc>
        <w:tc>
          <w:tcPr>
            <w:tcW w:type="dxa" w:w="187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1F5F6"/>
          </w:tcPr>
          <w:p>
            <w:pPr>
              <w:spacing w:after="20" w:before="20"/>
              <w:jc w:val="center"/>
            </w:pPr>
            <w:r>
              <w:rPr>
                <w:sz w:val="19"/>
              </w:rPr>
              <w:t>58.85%</w:t>
            </w:r>
          </w:p>
        </w:tc>
        <w:tc>
          <w:tcPr>
            <w:tcW w:type="dxa" w:w="3816"/>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1F5F6"/>
          </w:tcPr>
          <w:p>
            <w:pPr>
              <w:spacing w:after="20" w:before="20"/>
              <w:jc w:val="center"/>
            </w:pPr>
            <w:r>
              <w:rPr>
                <w:sz w:val="19"/>
              </w:rPr>
              <w:t>+14.84 points</w:t>
            </w:r>
          </w:p>
        </w:tc>
      </w:tr>
    </w:tbl>
    <w:p>
      <w:pPr>
        <w:spacing w:after="20" w:before="0" w:line="60" w:lineRule="exact"/>
      </w:pPr>
      <w:r>
        <w:rPr>
          <w:b w:val="0"/>
        </w:rPr>
      </w:r>
    </w:p>
    <w:p>
      <w:r>
        <w:rPr>
          <w:b w:val="0"/>
        </w:rPr>
        <w:t>All differences are percentage points. Our primary source is comparison.csv in the selected standalone evaluation. Do not mix these values with the slightly different training-record metrics.</w:t>
      </w:r>
    </w:p>
    <w:p>
      <w:r>
        <w:rPr>
          <w:b w:val="0"/>
        </w:rPr>
        <w:t>Exact values for checking: VIS precision 91.457688%, recall 75.512388%, AP50 85.283992%, AP50-95 44.010308%; IR precision 95.377063%, recall 89.534884%, AP50 96.016004%, AP50-95 58.850929%.</w:t>
      </w:r>
    </w:p>
    <w:p>
      <w:r>
        <w:rPr>
          <w:b w:val="0"/>
        </w:rPr>
        <w:t>Correction to the supplied progress PDF: its VIS AP50 value of 85.283882% is a transcription error. The saved evaluation and results reference give 85.283992%. Both round to 85.28%.</w:t>
      </w:r>
    </w:p>
    <w:p>
      <w:pPr>
        <w:pStyle w:val="Heading2"/>
      </w:pPr>
      <w:r>
        <w:t>What the metrics mean</w:t>
      </w:r>
    </w:p>
    <w:p>
      <w:r>
        <w:rPr>
          <w:b w:val="0"/>
        </w:rPr>
        <w:t>Precision describes how many reported detections match annotated people. Recall describes how many annotated people are detected. AP50 summarizes the precision-recall curve using box-overlap threshold 0.50. AP50-95 averages AP across overlap thresholds 0.50 to 0.95 in steps of 0.05, so it is more demanding about localization. Higher is better. None is image-classification accuracy.</w:t>
      </w:r>
    </w:p>
    <w:p>
      <w:r>
        <w:rPr>
          <w:b w:val="0"/>
        </w:rPr>
        <w:t>Reported precision and recall use the evaluator's F1-based operating point, which can differ by modality. The 0.25 confidence used to draw example boxes is a display setting, not the operating point for all reported metrics. [Y1: utils/metrics.py, lines 81-85]</w:t>
      </w:r>
    </w:p>
    <w:p>
      <w:pPr>
        <w:pStyle w:val="Heading2"/>
      </w:pPr>
      <w:r>
        <w:t>What the evidence supports</w:t>
      </w:r>
    </w:p>
    <w:p>
      <w:r>
        <w:rPr>
          <w:b w:val="0"/>
        </w:rPr>
        <w:t>IR performed better than VIS on all four metrics under our recorded protocol. This identifies a strong single-modality reference for our future fusion comparison. It does not show that thermal input is always best, that fusion helps, or that sensor degradation is handled reliably.</w:t>
      </w:r>
    </w:p>
    <w:p>
      <w:pPr>
        <w:pStyle w:val="Heading2"/>
      </w:pPr>
      <w:r>
        <w:t>Limits that must remain visible</w:t>
      </w:r>
    </w:p>
    <w:p>
      <w:pPr>
        <w:pStyle w:val="ListBullet"/>
      </w:pPr>
      <w:r>
        <w:rPr>
          <w:b w:val="0"/>
        </w:rPr>
        <w:t>The same development-validation subset selected checkpoints and produced these results. It is not an untouched test set; the official test portion remains unused.</w:t>
      </w:r>
    </w:p>
    <w:p>
      <w:pPr>
        <w:pStyle w:val="ListBullet"/>
      </w:pPr>
      <w:r>
        <w:rPr>
          <w:b w:val="0"/>
        </w:rPr>
        <w:t>Only one seed and a ten-epoch budget were used. No multi-seed uncertainty or confidence interval has been measured.</w:t>
      </w:r>
    </w:p>
    <w:p>
      <w:pPr>
        <w:pStyle w:val="ListBullet"/>
      </w:pPr>
      <w:r>
        <w:rPr>
          <w:b w:val="0"/>
        </w:rPr>
        <w:t>Filename-prefix separation was checked, but independent physical scenes have not been established for every prefix.</w:t>
      </w:r>
    </w:p>
    <w:p>
      <w:pPr>
        <w:pStyle w:val="ListBullet"/>
      </w:pPr>
      <w:r>
        <w:rPr>
          <w:b w:val="0"/>
        </w:rPr>
        <w:t>Fusion, controlled degradation, and unseen-noise tests are not completed. The learning histories do not establish full convergence.</w:t>
      </w:r>
    </w:p>
    <w:p>
      <w:r>
        <w:rPr>
          <w:b w:val="0"/>
        </w:rPr>
        <w:t>Do not invent statistical significance, error bars, AP75, miss rate, fusion scores, or degradation results. Standalone-versus-training differences were small (maximum absolute difference approximately 0.0804 percentage points), but that consistency check is not an uncertainty estimate.</w:t>
      </w:r>
    </w:p>
    <w:p>
      <w:pPr>
        <w:pStyle w:val="Heading1"/>
        <w:pageBreakBefore/>
      </w:pPr>
      <w:r>
        <w:t>Complete poster content and placement map</w:t>
      </w:r>
    </w:p>
    <w:p>
      <w:r>
        <w:rPr>
          <w:b w:val="0"/>
        </w:rPr>
        <w:t>Build one landscape slide using the supplied template. This is the complete content inventory. Retain each listed item, and use the exact copy and tables in the following sections. Author names and the verified team repository link are the only team-specific fields to add.</w:t>
      </w:r>
    </w:p>
    <w:tbl>
      <w:tblPr>
        <w:tblW w:type="auto" w:w="0"/>
        <w:jc w:val="center"/>
        <w:tblLayout w:type="fixed"/>
        <w:tblLook w:firstColumn="1" w:firstRow="1" w:lastColumn="0" w:lastRow="0" w:noHBand="0" w:noVBand="1" w:val="04A0"/>
      </w:tblPr>
      <w:tblGrid>
        <w:gridCol w:w="2880"/>
        <w:gridCol w:w="6912"/>
      </w:tblGrid>
      <w:tr>
        <w:trPr>
          <w:cantSplit/>
          <w:tblHeader/>
        </w:trPr>
        <w:tc>
          <w:tcPr>
            <w:tcW w:type="dxa" w:w="288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263F4B"/>
          </w:tcPr>
          <w:p>
            <w:pPr>
              <w:spacing w:after="20" w:before="20"/>
            </w:pPr>
            <w:r>
              <w:rPr>
                <w:b/>
                <w:color w:val="FFFFFF"/>
                <w:sz w:val="19"/>
              </w:rPr>
              <w:t>Template location</w:t>
            </w:r>
          </w:p>
        </w:tc>
        <w:tc>
          <w:tcPr>
            <w:tcW w:type="dxa" w:w="691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263F4B"/>
          </w:tcPr>
          <w:p>
            <w:pPr>
              <w:spacing w:after="20" w:before="20"/>
            </w:pPr>
            <w:r>
              <w:rPr>
                <w:b/>
                <w:color w:val="FFFFFF"/>
                <w:sz w:val="19"/>
              </w:rPr>
              <w:t>Put this on the poster</w:t>
            </w:r>
          </w:p>
        </w:tc>
      </w:tr>
      <w:tr>
        <w:trPr>
          <w:cantSplit/>
        </w:trPr>
        <w:tc>
          <w:tcPr>
            <w:tcW w:type="dxa" w:w="288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FFFFF"/>
          </w:tcPr>
          <w:p>
            <w:pPr>
              <w:spacing w:after="20" w:before="20"/>
            </w:pPr>
            <w:r>
              <w:rPr>
                <w:sz w:val="19"/>
              </w:rPr>
              <w:t>Top header</w:t>
            </w:r>
          </w:p>
        </w:tc>
        <w:tc>
          <w:tcPr>
            <w:tcW w:type="dxa" w:w="691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FFFFF"/>
          </w:tcPr>
          <w:p>
            <w:pPr>
              <w:spacing w:after="20" w:before="20"/>
            </w:pPr>
            <w:r>
              <w:rPr>
                <w:sz w:val="19"/>
              </w:rPr>
              <w:t>Suggested project title; team names; course and milestone labels; domain; project category; cross-cutting question.</w:t>
            </w:r>
          </w:p>
        </w:tc>
      </w:tr>
      <w:tr>
        <w:trPr>
          <w:cantSplit/>
        </w:trPr>
        <w:tc>
          <w:tcPr>
            <w:tcW w:type="dxa" w:w="288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1F5F6"/>
          </w:tcPr>
          <w:p>
            <w:pPr>
              <w:spacing w:after="20" w:before="20"/>
            </w:pPr>
            <w:r>
              <w:rPr>
                <w:sz w:val="19"/>
              </w:rPr>
              <w:t>Upper left large finding</w:t>
            </w:r>
          </w:p>
        </w:tc>
        <w:tc>
          <w:tcPr>
            <w:tcW w:type="dxa" w:w="691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1F5F6"/>
          </w:tcPr>
          <w:p>
            <w:pPr>
              <w:spacing w:after="20" w:before="20"/>
            </w:pPr>
            <w:r>
              <w:rPr>
                <w:sz w:val="19"/>
              </w:rPr>
              <w:t>14.84 percentage-point IR advantage in AP50-95; 58.85% versus 44.01%; 1,995 development-validation pairs; one seed; fusion not yet evaluated.</w:t>
            </w:r>
          </w:p>
        </w:tc>
      </w:tr>
      <w:tr>
        <w:trPr>
          <w:cantSplit/>
        </w:trPr>
        <w:tc>
          <w:tcPr>
            <w:tcW w:type="dxa" w:w="288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FFFFF"/>
          </w:tcPr>
          <w:p>
            <w:pPr>
              <w:spacing w:after="20" w:before="20"/>
            </w:pPr>
            <w:r>
              <w:rPr>
                <w:sz w:val="19"/>
              </w:rPr>
              <w:t>Upper right Why it matters</w:t>
            </w:r>
          </w:p>
        </w:tc>
        <w:tc>
          <w:tcPr>
            <w:tcW w:type="dxa" w:w="691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FFFFF"/>
          </w:tcPr>
          <w:p>
            <w:pPr>
              <w:spacing w:after="20" w:before="20"/>
            </w:pPr>
            <w:r>
              <w:rPr>
                <w:sz w:val="19"/>
              </w:rPr>
              <w:t>Intended research decision; single-sensor baselines; semester fusion question; reason to evaluate detection rather than image appearance alone.</w:t>
            </w:r>
          </w:p>
        </w:tc>
      </w:tr>
      <w:tr>
        <w:trPr>
          <w:cantSplit/>
        </w:trPr>
        <w:tc>
          <w:tcPr>
            <w:tcW w:type="dxa" w:w="288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1F5F6"/>
          </w:tcPr>
          <w:p>
            <w:pPr>
              <w:spacing w:after="20" w:before="20"/>
            </w:pPr>
            <w:r>
              <w:rPr>
                <w:sz w:val="19"/>
              </w:rPr>
              <w:t>Middle left evidence top</w:t>
            </w:r>
          </w:p>
        </w:tc>
        <w:tc>
          <w:tcPr>
            <w:tcW w:type="dxa" w:w="691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1F5F6"/>
          </w:tcPr>
          <w:p>
            <w:pPr>
              <w:spacing w:after="20" w:before="20"/>
            </w:pPr>
            <w:r>
              <w:rPr>
                <w:sz w:val="19"/>
              </w:rPr>
              <w:t>Table 1: all four standalone metrics for VIS and IR, plus percentage-point differences. Put its caption immediately below.</w:t>
            </w:r>
          </w:p>
        </w:tc>
      </w:tr>
      <w:tr>
        <w:trPr>
          <w:cantSplit/>
        </w:trPr>
        <w:tc>
          <w:tcPr>
            <w:tcW w:type="dxa" w:w="288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FFFFF"/>
          </w:tcPr>
          <w:p>
            <w:pPr>
              <w:spacing w:after="20" w:before="20"/>
            </w:pPr>
            <w:r>
              <w:rPr>
                <w:sz w:val="19"/>
              </w:rPr>
              <w:t>Middle left evidence below Table 1</w:t>
            </w:r>
          </w:p>
        </w:tc>
        <w:tc>
          <w:tcPr>
            <w:tcW w:type="dxa" w:w="691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FFFFF"/>
          </w:tcPr>
          <w:p>
            <w:pPr>
              <w:spacing w:after="20" w:before="20"/>
            </w:pPr>
            <w:r>
              <w:rPr>
                <w:sz w:val="19"/>
              </w:rPr>
              <w:t>Table 2: original 2021 LLVIP AP50 and AP50-95 for VIS/IR. Keep its reference-only caption attached.</w:t>
            </w:r>
          </w:p>
        </w:tc>
      </w:tr>
      <w:tr>
        <w:trPr>
          <w:cantSplit/>
        </w:trPr>
        <w:tc>
          <w:tcPr>
            <w:tcW w:type="dxa" w:w="288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1F5F6"/>
          </w:tcPr>
          <w:p>
            <w:pPr>
              <w:spacing w:after="20" w:before="20"/>
            </w:pPr>
            <w:r>
              <w:rPr>
                <w:sz w:val="19"/>
              </w:rPr>
              <w:t>Middle left evidence beside or below tables</w:t>
            </w:r>
          </w:p>
        </w:tc>
        <w:tc>
          <w:tcPr>
            <w:tcW w:type="dxa" w:w="691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1F5F6"/>
          </w:tcPr>
          <w:p>
            <w:pPr>
              <w:spacing w:after="20" w:before="20"/>
            </w:pPr>
            <w:r>
              <w:rPr>
                <w:sz w:val="19"/>
              </w:rPr>
              <w:t>Figure 1: saved 140043_comparison.png with VIS/IR annotations and predictions. Keep the supplied box legend and add the specified failure caption.</w:t>
            </w:r>
          </w:p>
        </w:tc>
      </w:tr>
      <w:tr>
        <w:trPr>
          <w:cantSplit/>
        </w:trPr>
        <w:tc>
          <w:tcPr>
            <w:tcW w:type="dxa" w:w="288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FFFFF"/>
          </w:tcPr>
          <w:p>
            <w:pPr>
              <w:spacing w:after="20" w:before="20"/>
            </w:pPr>
            <w:r>
              <w:rPr>
                <w:sz w:val="19"/>
              </w:rPr>
              <w:t>Middle right How we tested it</w:t>
            </w:r>
          </w:p>
        </w:tc>
        <w:tc>
          <w:tcPr>
            <w:tcW w:type="dxa" w:w="691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FFFFF"/>
          </w:tcPr>
          <w:p>
            <w:pPr>
              <w:spacing w:after="20" w:before="20"/>
            </w:pPr>
            <w:r>
              <w:rPr>
                <w:sz w:val="19"/>
              </w:rPr>
              <w:t>Dataset size; separate YOLOv5s fine-tuning; ten-epoch matched protocol; checkpoint-selection procedure; completed progress.</w:t>
            </w:r>
          </w:p>
        </w:tc>
      </w:tr>
      <w:tr>
        <w:trPr>
          <w:cantSplit/>
        </w:trPr>
        <w:tc>
          <w:tcPr>
            <w:tcW w:type="dxa" w:w="288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1F5F6"/>
          </w:tcPr>
          <w:p>
            <w:pPr>
              <w:spacing w:after="20" w:before="20"/>
            </w:pPr>
            <w:r>
              <w:rPr>
                <w:sz w:val="19"/>
              </w:rPr>
              <w:t>Lower left Where the claim stops</w:t>
            </w:r>
          </w:p>
        </w:tc>
        <w:tc>
          <w:tcPr>
            <w:tcW w:type="dxa" w:w="691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1F5F6"/>
          </w:tcPr>
          <w:p>
            <w:pPr>
              <w:spacing w:after="20" w:before="20"/>
            </w:pPr>
            <w:r>
              <w:rPr>
                <w:sz w:val="19"/>
              </w:rPr>
              <w:t>Selection/reporting share a validation subset; one seed; convergence unresolved; no fusion or degradation findings.</w:t>
            </w:r>
          </w:p>
        </w:tc>
      </w:tr>
      <w:tr>
        <w:trPr>
          <w:cantSplit/>
        </w:trPr>
        <w:tc>
          <w:tcPr>
            <w:tcW w:type="dxa" w:w="288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FFFFF"/>
          </w:tcPr>
          <w:p>
            <w:pPr>
              <w:spacing w:after="20" w:before="20"/>
            </w:pPr>
            <w:r>
              <w:rPr>
                <w:sz w:val="19"/>
              </w:rPr>
              <w:t>Lower right Next test and class connection</w:t>
            </w:r>
          </w:p>
        </w:tc>
        <w:tc>
          <w:tcPr>
            <w:tcW w:type="dxa" w:w="691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FFFFF"/>
          </w:tcPr>
          <w:p>
            <w:pPr>
              <w:spacing w:after="20" w:before="20"/>
            </w:pPr>
            <w:r>
              <w:rPr>
                <w:sz w:val="19"/>
              </w:rPr>
              <w:t>50/50 and adaptive fusion comparison; detector-control question; degradation/unseen-noise plans; bounded-evidence survey connection.</w:t>
            </w:r>
          </w:p>
        </w:tc>
      </w:tr>
      <w:tr>
        <w:trPr>
          <w:cantSplit/>
        </w:trPr>
        <w:tc>
          <w:tcPr>
            <w:tcW w:type="dxa" w:w="288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1F5F6"/>
          </w:tcPr>
          <w:p>
            <w:pPr>
              <w:spacing w:after="20" w:before="20"/>
            </w:pPr>
            <w:r>
              <w:rPr>
                <w:sz w:val="19"/>
              </w:rPr>
              <w:t>Bottom footer</w:t>
            </w:r>
          </w:p>
        </w:tc>
        <w:tc>
          <w:tcPr>
            <w:tcW w:type="dxa" w:w="691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1F5F6"/>
          </w:tcPr>
          <w:p>
            <w:pPr>
              <w:spacing w:after="20" w:before="20"/>
            </w:pPr>
            <w:r>
              <w:rPr>
                <w:sz w:val="19"/>
              </w:rPr>
              <w:t>Four short source citations with descriptive links; repository/evidence links; accurate brief AI acknowledgement.</w:t>
            </w:r>
          </w:p>
        </w:tc>
      </w:tr>
    </w:tbl>
    <w:p>
      <w:pPr>
        <w:spacing w:after="20" w:before="0" w:line="60" w:lineRule="exact"/>
      </w:pPr>
      <w:r>
        <w:rPr>
          <w:b w:val="0"/>
        </w:rPr>
      </w:r>
    </w:p>
    <w:p>
      <w:pPr>
        <w:pStyle w:val="Heading2"/>
      </w:pPr>
      <w:r>
        <w:t>Reading order and visual emphasis</w:t>
      </w:r>
    </w:p>
    <w:p>
      <w:r>
        <w:rPr>
          <w:b w:val="0"/>
        </w:rPr>
        <w:t>Readers should see the title, main IR finding, and development-validation scope first. The measured results table is the main evidence. The published table is contextual and visually secondary. The image illustrates a failure. The limitation and next test must remain visible without opening a link.</w:t>
      </w:r>
    </w:p>
    <w:p>
      <w:pPr>
        <w:pStyle w:val="Heading2"/>
      </w:pPr>
      <w:r>
        <w:t>Fitting the evidence area</w:t>
      </w:r>
    </w:p>
    <w:p>
      <w:r>
        <w:rPr>
          <w:b w:val="0"/>
        </w:rPr>
        <w:t>Within the left evidence area, use the upper portion for the two tables and the lower portion for the paired figure. Expand this area modestly if needed while preserving the other template panels. Do not add the full learning-history plot to this layout. Keep the paper comparison caption and image caption with their items. If the original four-panel image is too small, use consistent VIS/IR crops as specified in the figure instructions.</w:t>
      </w:r>
    </w:p>
    <w:p>
      <w:pPr>
        <w:pStyle w:val="Heading1"/>
        <w:pageBreakBefore/>
      </w:pPr>
      <w:r>
        <w:t>Poster setup and exact copy for the top panels</w:t>
      </w:r>
    </w:p>
    <w:p>
      <w:pPr>
        <w:pStyle w:val="Heading2"/>
      </w:pPr>
      <w:r>
        <w:t>Start with the supplied editable template</w:t>
      </w:r>
    </w:p>
    <w:p>
      <w:hyperlink r:id="rId10">
        <w:r>
          <w:rPr>
            <w:color w:val="145B75"/>
          </w:rPr>
          <w:t>Open the course poster template</w:t>
        </w:r>
      </w:hyperlink>
    </w:p>
    <w:p>
      <w:pPr>
        <w:pStyle w:val="ListNumber"/>
      </w:pPr>
      <w:r>
        <w:rPr>
          <w:b w:val="0"/>
        </w:rPr>
        <w:t>Make a team copy of the editable template and store the working presentation in the shared poster folder. Preserve its one-slide landscape format and initial reading order.</w:t>
      </w:r>
    </w:p>
    <w:p>
      <w:pPr>
        <w:pStyle w:val="ListNumber"/>
      </w:pPr>
      <w:r>
        <w:rPr>
          <w:b w:val="0"/>
        </w:rPr>
        <w:t>Replace every bracketed placeholder and the unrelated Ridge example. Add the team author names yourselves. Keep the course and milestone labels.</w:t>
      </w:r>
    </w:p>
    <w:p>
      <w:pPr>
        <w:pStyle w:val="ListNumber"/>
      </w:pPr>
      <w:r>
        <w:rPr>
          <w:b w:val="0"/>
        </w:rPr>
        <w:t>Use the exact panel copy below as the first draft. Shorten wording only if the qualification and meaning survive. Essential evidence and limits must be on the poster, not only behind a link.</w:t>
      </w:r>
    </w:p>
    <w:p>
      <w:pPr>
        <w:pStyle w:val="Heading2"/>
      </w:pPr>
      <w:r>
        <w:t>Title and metadata</w:t>
      </w:r>
    </w:p>
    <w:p>
      <w:r>
        <w:rPr>
          <w:b/>
        </w:rPr>
        <w:t>Suggested title: Visible and Thermal Pedestrian Detection Baselines for Adaptive Fusion</w:t>
      </w:r>
    </w:p>
    <w:p>
      <w:r>
        <w:rPr>
          <w:b w:val="0"/>
        </w:rPr>
        <w:t>Domain: Low-light pedestrian detection</w:t>
        <w:br/>
        <w:t>Project category: Reproduction and experimental extension</w:t>
        <w:br/>
        <w:t>Cross-cutting question: When does benchmark evidence justify a reliability claim?</w:t>
      </w:r>
    </w:p>
    <w:p>
      <w:pPr>
        <w:pStyle w:val="Heading2"/>
      </w:pPr>
      <w:r>
        <w:t>WHAT WE KNOW SO FAR</w:t>
      </w:r>
    </w:p>
    <w:p>
      <w:r>
        <w:rPr>
          <w:b/>
        </w:rPr>
        <w:t>Thermal input achieved 14.84 percentage points higher AP50-95 than visible input.</w:t>
      </w:r>
    </w:p>
    <w:p>
      <w:r>
        <w:rPr>
          <w:b w:val="0"/>
        </w:rPr>
        <w:t>58.85% IR versus 44.01% VIS on 1,995 development-validation pairs; separately trained YOLOv5s detectors, one seed. Fusion has not yet been evaluated.</w:t>
      </w:r>
    </w:p>
    <w:p>
      <w:pPr>
        <w:pStyle w:val="Heading2"/>
      </w:pPr>
      <w:r>
        <w:t>WHY IT MATTERS</w:t>
      </w:r>
    </w:p>
    <w:p>
      <w:r>
        <w:rPr>
          <w:b w:val="0"/>
        </w:rPr>
        <w:t>For researchers choosing sensor inputs for low-light pedestrian detection.</w:t>
        <w:br/>
        <w:t>Baseline: visible-only and thermal-only detectors.</w:t>
        <w:br/>
        <w:t>Question: Can learned sensor weighting improve on these inputs and our 50/50 fusion baseline?</w:t>
        <w:br/>
        <w:t>Evaluation requirement: measure pedestrian detection and sensor-specific failures, rather than relying on fused-image appearance. [1, Secs. 5.1-5.2]</w:t>
      </w:r>
    </w:p>
    <w:p>
      <w:r>
        <w:rPr>
          <w:b w:val="0"/>
        </w:rPr>
        <w:t>The evaluation requirement above is our project design choice motivated by LLVIP's separate tasks. It is not a published numerical deployment standard. Do not introduce a safety threshold or claim an operational user has approved the system.</w:t>
      </w:r>
    </w:p>
    <w:p>
      <w:pPr>
        <w:pStyle w:val="Heading2"/>
      </w:pPr>
      <w:r>
        <w:t>HOW WE TESTED IT</w:t>
      </w:r>
    </w:p>
    <w:p>
      <w:r>
        <w:rPr>
          <w:b w:val="0"/>
        </w:rPr>
        <w:t>Approach: separately fine-tuned COCO-pretrained YOLOv5s detectors on VIS and IR.</w:t>
        <w:br/>
        <w:t>Evidence: 10,028 training pairs; 1,995 development-validation pairs; 5,246 validation person annotations.</w:t>
        <w:br/>
        <w:t>Protocol: 10 epochs each; batch 8; image size 640; SGD; seed 42; matching settings.</w:t>
        <w:br/>
        <w:t>Selection: highest validation AP50-95; same validation subset used for reporting.</w:t>
        <w:br/>
        <w:t>Progress: recovered and audited data; trained both baselines; verified checkpoints; generated paired examples.</w:t>
      </w:r>
    </w:p>
    <w:p>
      <w:pPr>
        <w:pStyle w:val="Heading2"/>
      </w:pPr>
      <w:r>
        <w:t>Placement guidance</w:t>
      </w:r>
    </w:p>
    <w:p>
      <w:r>
        <w:rPr>
          <w:b w:val="0"/>
        </w:rPr>
        <w:t>Keep the headline in the large upper-left finding area. Use the existing right-hand Why it matters and How we tested it panels for their corresponding copy. The left evidence area should carry the result table and example. Keep the lower limitation and next-test panels visible at fit-to-slide view.</w:t>
      </w:r>
    </w:p>
    <w:p>
      <w:pPr>
        <w:pStyle w:val="Heading1"/>
        <w:pageBreakBefore/>
      </w:pPr>
      <w:r>
        <w:t>Poster evidence tables and exact captions</w:t>
      </w:r>
    </w:p>
    <w:p>
      <w:pPr>
        <w:pStyle w:val="Heading2"/>
      </w:pPr>
      <w:r>
        <w:t>Table 1 at the top of the left evidence panel</w:t>
      </w:r>
    </w:p>
    <w:p>
      <w:r>
        <w:rPr>
          <w:b/>
        </w:rPr>
        <w:t>Poster heading: Our development-validation results</w:t>
      </w:r>
    </w:p>
    <w:tbl>
      <w:tblPr>
        <w:tblW w:type="auto" w:w="0"/>
        <w:jc w:val="center"/>
        <w:tblLayout w:type="fixed"/>
        <w:tblLook w:firstColumn="1" w:firstRow="1" w:lastColumn="0" w:lastRow="0" w:noHBand="0" w:noVBand="1" w:val="04A0"/>
      </w:tblPr>
      <w:tblGrid>
        <w:gridCol w:w="2160"/>
        <w:gridCol w:w="1872"/>
        <w:gridCol w:w="1872"/>
        <w:gridCol w:w="3888"/>
      </w:tblGrid>
      <w:tr>
        <w:trPr>
          <w:cantSplit/>
          <w:tblHeader/>
        </w:trPr>
        <w:tc>
          <w:tcPr>
            <w:tcW w:type="dxa" w:w="216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263F4B"/>
          </w:tcPr>
          <w:p>
            <w:pPr>
              <w:spacing w:after="20" w:before="20"/>
            </w:pPr>
            <w:r>
              <w:rPr>
                <w:b/>
                <w:color w:val="FFFFFF"/>
                <w:sz w:val="19"/>
              </w:rPr>
              <w:t>Metric</w:t>
            </w:r>
          </w:p>
        </w:tc>
        <w:tc>
          <w:tcPr>
            <w:tcW w:type="dxa" w:w="187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263F4B"/>
          </w:tcPr>
          <w:p>
            <w:pPr>
              <w:spacing w:after="20" w:before="20"/>
              <w:jc w:val="center"/>
            </w:pPr>
            <w:r>
              <w:rPr>
                <w:b/>
                <w:color w:val="FFFFFF"/>
                <w:sz w:val="19"/>
              </w:rPr>
              <w:t>VIS</w:t>
            </w:r>
          </w:p>
        </w:tc>
        <w:tc>
          <w:tcPr>
            <w:tcW w:type="dxa" w:w="187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263F4B"/>
          </w:tcPr>
          <w:p>
            <w:pPr>
              <w:spacing w:after="20" w:before="20"/>
              <w:jc w:val="center"/>
            </w:pPr>
            <w:r>
              <w:rPr>
                <w:b/>
                <w:color w:val="FFFFFF"/>
                <w:sz w:val="19"/>
              </w:rPr>
              <w:t>IR</w:t>
            </w:r>
          </w:p>
        </w:tc>
        <w:tc>
          <w:tcPr>
            <w:tcW w:type="dxa" w:w="388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263F4B"/>
          </w:tcPr>
          <w:p>
            <w:pPr>
              <w:spacing w:after="20" w:before="20"/>
              <w:jc w:val="center"/>
            </w:pPr>
            <w:r>
              <w:rPr>
                <w:b/>
                <w:color w:val="FFFFFF"/>
                <w:sz w:val="19"/>
              </w:rPr>
              <w:t>IR minus VIS</w:t>
            </w:r>
          </w:p>
        </w:tc>
      </w:tr>
      <w:tr>
        <w:trPr>
          <w:cantSplit/>
        </w:trPr>
        <w:tc>
          <w:tcPr>
            <w:tcW w:type="dxa" w:w="216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FFFFF"/>
          </w:tcPr>
          <w:p>
            <w:pPr>
              <w:spacing w:after="20" w:before="20"/>
            </w:pPr>
            <w:r>
              <w:rPr>
                <w:sz w:val="19"/>
              </w:rPr>
              <w:t>Precision</w:t>
            </w:r>
          </w:p>
        </w:tc>
        <w:tc>
          <w:tcPr>
            <w:tcW w:type="dxa" w:w="187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FFFFF"/>
          </w:tcPr>
          <w:p>
            <w:pPr>
              <w:spacing w:after="20" w:before="20"/>
              <w:jc w:val="center"/>
            </w:pPr>
            <w:r>
              <w:rPr>
                <w:sz w:val="19"/>
              </w:rPr>
              <w:t>91.46%</w:t>
            </w:r>
          </w:p>
        </w:tc>
        <w:tc>
          <w:tcPr>
            <w:tcW w:type="dxa" w:w="187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FFFFF"/>
          </w:tcPr>
          <w:p>
            <w:pPr>
              <w:spacing w:after="20" w:before="20"/>
              <w:jc w:val="center"/>
            </w:pPr>
            <w:r>
              <w:rPr>
                <w:sz w:val="19"/>
              </w:rPr>
              <w:t>95.38%</w:t>
            </w:r>
          </w:p>
        </w:tc>
        <w:tc>
          <w:tcPr>
            <w:tcW w:type="dxa" w:w="388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FFFFF"/>
          </w:tcPr>
          <w:p>
            <w:pPr>
              <w:spacing w:after="20" w:before="20"/>
              <w:jc w:val="center"/>
            </w:pPr>
            <w:r>
              <w:rPr>
                <w:sz w:val="19"/>
              </w:rPr>
              <w:t>+3.92 pp</w:t>
            </w:r>
          </w:p>
        </w:tc>
      </w:tr>
      <w:tr>
        <w:trPr>
          <w:cantSplit/>
        </w:trPr>
        <w:tc>
          <w:tcPr>
            <w:tcW w:type="dxa" w:w="216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1F5F6"/>
          </w:tcPr>
          <w:p>
            <w:pPr>
              <w:spacing w:after="20" w:before="20"/>
            </w:pPr>
            <w:r>
              <w:rPr>
                <w:sz w:val="19"/>
              </w:rPr>
              <w:t>Recall</w:t>
            </w:r>
          </w:p>
        </w:tc>
        <w:tc>
          <w:tcPr>
            <w:tcW w:type="dxa" w:w="187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1F5F6"/>
          </w:tcPr>
          <w:p>
            <w:pPr>
              <w:spacing w:after="20" w:before="20"/>
              <w:jc w:val="center"/>
            </w:pPr>
            <w:r>
              <w:rPr>
                <w:sz w:val="19"/>
              </w:rPr>
              <w:t>75.51%</w:t>
            </w:r>
          </w:p>
        </w:tc>
        <w:tc>
          <w:tcPr>
            <w:tcW w:type="dxa" w:w="187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1F5F6"/>
          </w:tcPr>
          <w:p>
            <w:pPr>
              <w:spacing w:after="20" w:before="20"/>
              <w:jc w:val="center"/>
            </w:pPr>
            <w:r>
              <w:rPr>
                <w:sz w:val="19"/>
              </w:rPr>
              <w:t>89.53%</w:t>
            </w:r>
          </w:p>
        </w:tc>
        <w:tc>
          <w:tcPr>
            <w:tcW w:type="dxa" w:w="388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1F5F6"/>
          </w:tcPr>
          <w:p>
            <w:pPr>
              <w:spacing w:after="20" w:before="20"/>
              <w:jc w:val="center"/>
            </w:pPr>
            <w:r>
              <w:rPr>
                <w:sz w:val="19"/>
              </w:rPr>
              <w:t>+14.02 pp</w:t>
            </w:r>
          </w:p>
        </w:tc>
      </w:tr>
      <w:tr>
        <w:trPr>
          <w:cantSplit/>
        </w:trPr>
        <w:tc>
          <w:tcPr>
            <w:tcW w:type="dxa" w:w="216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FFFFF"/>
          </w:tcPr>
          <w:p>
            <w:pPr>
              <w:spacing w:after="20" w:before="20"/>
            </w:pPr>
            <w:r>
              <w:rPr>
                <w:sz w:val="19"/>
              </w:rPr>
              <w:t>AP50</w:t>
            </w:r>
          </w:p>
        </w:tc>
        <w:tc>
          <w:tcPr>
            <w:tcW w:type="dxa" w:w="187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FFFFF"/>
          </w:tcPr>
          <w:p>
            <w:pPr>
              <w:spacing w:after="20" w:before="20"/>
              <w:jc w:val="center"/>
            </w:pPr>
            <w:r>
              <w:rPr>
                <w:sz w:val="19"/>
              </w:rPr>
              <w:t>85.28%</w:t>
            </w:r>
          </w:p>
        </w:tc>
        <w:tc>
          <w:tcPr>
            <w:tcW w:type="dxa" w:w="187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FFFFF"/>
          </w:tcPr>
          <w:p>
            <w:pPr>
              <w:spacing w:after="20" w:before="20"/>
              <w:jc w:val="center"/>
            </w:pPr>
            <w:r>
              <w:rPr>
                <w:sz w:val="19"/>
              </w:rPr>
              <w:t>96.02%</w:t>
            </w:r>
          </w:p>
        </w:tc>
        <w:tc>
          <w:tcPr>
            <w:tcW w:type="dxa" w:w="388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FFFFF"/>
          </w:tcPr>
          <w:p>
            <w:pPr>
              <w:spacing w:after="20" w:before="20"/>
              <w:jc w:val="center"/>
            </w:pPr>
            <w:r>
              <w:rPr>
                <w:sz w:val="19"/>
              </w:rPr>
              <w:t>+10.73 pp</w:t>
            </w:r>
          </w:p>
        </w:tc>
      </w:tr>
      <w:tr>
        <w:trPr>
          <w:cantSplit/>
        </w:trPr>
        <w:tc>
          <w:tcPr>
            <w:tcW w:type="dxa" w:w="216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1F5F6"/>
          </w:tcPr>
          <w:p>
            <w:pPr>
              <w:spacing w:after="20" w:before="20"/>
            </w:pPr>
            <w:r>
              <w:rPr>
                <w:sz w:val="19"/>
              </w:rPr>
              <w:t>AP50-95</w:t>
            </w:r>
          </w:p>
        </w:tc>
        <w:tc>
          <w:tcPr>
            <w:tcW w:type="dxa" w:w="187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1F5F6"/>
          </w:tcPr>
          <w:p>
            <w:pPr>
              <w:spacing w:after="20" w:before="20"/>
              <w:jc w:val="center"/>
            </w:pPr>
            <w:r>
              <w:rPr>
                <w:sz w:val="19"/>
              </w:rPr>
              <w:t>44.01%</w:t>
            </w:r>
          </w:p>
        </w:tc>
        <w:tc>
          <w:tcPr>
            <w:tcW w:type="dxa" w:w="187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1F5F6"/>
          </w:tcPr>
          <w:p>
            <w:pPr>
              <w:spacing w:after="20" w:before="20"/>
              <w:jc w:val="center"/>
            </w:pPr>
            <w:r>
              <w:rPr>
                <w:sz w:val="19"/>
              </w:rPr>
              <w:t>58.85%</w:t>
            </w:r>
          </w:p>
        </w:tc>
        <w:tc>
          <w:tcPr>
            <w:tcW w:type="dxa" w:w="388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1F5F6"/>
          </w:tcPr>
          <w:p>
            <w:pPr>
              <w:spacing w:after="20" w:before="20"/>
              <w:jc w:val="center"/>
            </w:pPr>
            <w:r>
              <w:rPr>
                <w:sz w:val="19"/>
              </w:rPr>
              <w:t>+14.84 pp</w:t>
            </w:r>
          </w:p>
        </w:tc>
      </w:tr>
    </w:tbl>
    <w:p>
      <w:pPr>
        <w:spacing w:after="20" w:before="0" w:line="60" w:lineRule="exact"/>
      </w:pPr>
      <w:r>
        <w:rPr>
          <w:b w:val="0"/>
        </w:rPr>
      </w:r>
    </w:p>
    <w:p>
      <w:r>
        <w:rPr>
          <w:b/>
        </w:rPr>
        <w:t>Immediately below the table: pp = percentage points; AP = average precision. Higher is better. AP50-95 averages AP across box-overlap thresholds 0.50-0.95.</w:t>
      </w:r>
    </w:p>
    <w:p>
      <w:r>
        <w:rPr>
          <w:b w:val="0"/>
        </w:rPr>
        <w:t>Exact caption: IR led VIS on all four metrics over the same 1,995 development-validation pairs. Both models completed ten epochs. This subset also selected checkpoints; one seed, no uncertainty interval measured. Source: our standalone evaluation.</w:t>
      </w:r>
    </w:p>
    <w:p>
      <w:r>
        <w:rPr>
          <w:b w:val="0"/>
        </w:rPr>
        <w:t>Create the table as editable slide text/cells. Bold the AP50-95 row. All percentages and differences above come from the standalone evaluation, not the pilot or training-record summary. Precision and recall use the evaluator reporting point; do not label them confidence 0.25.</w:t>
      </w:r>
    </w:p>
    <w:p>
      <w:pPr>
        <w:pStyle w:val="Heading2"/>
      </w:pPr>
      <w:r>
        <w:t>Table 2 directly below or beside Table 1</w:t>
      </w:r>
    </w:p>
    <w:p>
      <w:r>
        <w:rPr>
          <w:b/>
        </w:rPr>
        <w:t>Poster heading: Published reference context</w:t>
      </w:r>
    </w:p>
    <w:tbl>
      <w:tblPr>
        <w:tblW w:type="auto" w:w="0"/>
        <w:jc w:val="center"/>
        <w:tblLayout w:type="fixed"/>
        <w:tblLook w:firstColumn="1" w:firstRow="1" w:lastColumn="0" w:lastRow="0" w:noHBand="0" w:noVBand="1" w:val="04A0"/>
      </w:tblPr>
      <w:tblGrid>
        <w:gridCol w:w="4464"/>
        <w:gridCol w:w="2664"/>
        <w:gridCol w:w="2664"/>
      </w:tblGrid>
      <w:tr>
        <w:trPr>
          <w:cantSplit/>
          <w:tblHeader/>
        </w:trPr>
        <w:tc>
          <w:tcPr>
            <w:tcW w:type="dxa" w:w="4464"/>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263F4B"/>
          </w:tcPr>
          <w:p>
            <w:pPr>
              <w:spacing w:after="20" w:before="20"/>
            </w:pPr>
            <w:r>
              <w:rPr>
                <w:b/>
                <w:color w:val="FFFFFF"/>
                <w:sz w:val="19"/>
              </w:rPr>
              <w:t>Original LLVIP 2021 YOLOv5l</w:t>
            </w:r>
          </w:p>
        </w:tc>
        <w:tc>
          <w:tcPr>
            <w:tcW w:type="dxa" w:w="2664"/>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263F4B"/>
          </w:tcPr>
          <w:p>
            <w:pPr>
              <w:spacing w:after="20" w:before="20"/>
              <w:jc w:val="center"/>
            </w:pPr>
            <w:r>
              <w:rPr>
                <w:b/>
                <w:color w:val="FFFFFF"/>
                <w:sz w:val="19"/>
              </w:rPr>
              <w:t>VIS</w:t>
            </w:r>
          </w:p>
        </w:tc>
        <w:tc>
          <w:tcPr>
            <w:tcW w:type="dxa" w:w="2664"/>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263F4B"/>
          </w:tcPr>
          <w:p>
            <w:pPr>
              <w:spacing w:after="20" w:before="20"/>
              <w:jc w:val="center"/>
            </w:pPr>
            <w:r>
              <w:rPr>
                <w:b/>
                <w:color w:val="FFFFFF"/>
                <w:sz w:val="19"/>
              </w:rPr>
              <w:t>IR</w:t>
            </w:r>
          </w:p>
        </w:tc>
      </w:tr>
      <w:tr>
        <w:trPr>
          <w:cantSplit/>
        </w:trPr>
        <w:tc>
          <w:tcPr>
            <w:tcW w:type="dxa" w:w="4464"/>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FFFFF"/>
          </w:tcPr>
          <w:p>
            <w:pPr>
              <w:spacing w:after="20" w:before="20"/>
            </w:pPr>
            <w:r>
              <w:rPr>
                <w:sz w:val="19"/>
              </w:rPr>
              <w:t>AP50</w:t>
            </w:r>
          </w:p>
        </w:tc>
        <w:tc>
          <w:tcPr>
            <w:tcW w:type="dxa" w:w="2664"/>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FFFFF"/>
          </w:tcPr>
          <w:p>
            <w:pPr>
              <w:spacing w:after="20" w:before="20"/>
              <w:jc w:val="center"/>
            </w:pPr>
            <w:r>
              <w:rPr>
                <w:sz w:val="19"/>
              </w:rPr>
              <w:t>90.80%</w:t>
            </w:r>
          </w:p>
        </w:tc>
        <w:tc>
          <w:tcPr>
            <w:tcW w:type="dxa" w:w="2664"/>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FFFFF"/>
          </w:tcPr>
          <w:p>
            <w:pPr>
              <w:spacing w:after="20" w:before="20"/>
              <w:jc w:val="center"/>
            </w:pPr>
            <w:r>
              <w:rPr>
                <w:sz w:val="19"/>
              </w:rPr>
              <w:t>94.60%</w:t>
            </w:r>
          </w:p>
        </w:tc>
      </w:tr>
      <w:tr>
        <w:trPr>
          <w:cantSplit/>
        </w:trPr>
        <w:tc>
          <w:tcPr>
            <w:tcW w:type="dxa" w:w="4464"/>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1F5F6"/>
          </w:tcPr>
          <w:p>
            <w:pPr>
              <w:spacing w:after="20" w:before="20"/>
            </w:pPr>
            <w:r>
              <w:rPr>
                <w:sz w:val="19"/>
              </w:rPr>
              <w:t>AP50-95</w:t>
            </w:r>
          </w:p>
        </w:tc>
        <w:tc>
          <w:tcPr>
            <w:tcW w:type="dxa" w:w="2664"/>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1F5F6"/>
          </w:tcPr>
          <w:p>
            <w:pPr>
              <w:spacing w:after="20" w:before="20"/>
              <w:jc w:val="center"/>
            </w:pPr>
            <w:r>
              <w:rPr>
                <w:sz w:val="19"/>
              </w:rPr>
              <w:t>50.00%</w:t>
            </w:r>
          </w:p>
        </w:tc>
        <w:tc>
          <w:tcPr>
            <w:tcW w:type="dxa" w:w="2664"/>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1F5F6"/>
          </w:tcPr>
          <w:p>
            <w:pPr>
              <w:spacing w:after="20" w:before="20"/>
              <w:jc w:val="center"/>
            </w:pPr>
            <w:r>
              <w:rPr>
                <w:sz w:val="19"/>
              </w:rPr>
              <w:t>61.90%</w:t>
            </w:r>
          </w:p>
        </w:tc>
      </w:tr>
    </w:tbl>
    <w:p>
      <w:pPr>
        <w:spacing w:after="20" w:before="0" w:line="60" w:lineRule="exact"/>
      </w:pPr>
      <w:r>
        <w:rPr>
          <w:b w:val="0"/>
        </w:rPr>
      </w:r>
    </w:p>
    <w:p>
      <w:r>
        <w:rPr>
          <w:b w:val="0"/>
        </w:rPr>
        <w:t>Exact caption: Reference only [1, Sec. 5.2, Table 3]. Our YOLOv5s, ten-epoch budget, input-size setting, and custom validation split differ. This is not a controlled ranking against LLVIP.</w:t>
      </w:r>
    </w:p>
    <w:p>
      <w:r>
        <w:rPr>
          <w:b w:val="0"/>
        </w:rPr>
        <w:t>Keep this table smaller than Table 1 but readable. Do not replace the 2021 values with the revised 2023 values. Do not combine published and measured values without this qualification. Our updated-release provenance is cited through the official repository. Do not claim that our higher IR AP50 than the original reference demonstrates an improvement over LLVIP.</w:t>
      </w:r>
    </w:p>
    <w:p>
      <w:pPr>
        <w:pStyle w:val="Heading2"/>
      </w:pPr>
      <w:r>
        <w:t>Values that do not belong in these poster tables</w:t>
      </w:r>
    </w:p>
    <w:p>
      <w:r>
        <w:rPr>
          <w:b w:val="0"/>
        </w:rPr>
        <w:t>Exclude the pilot results, selected-epoch training-record values, approximate runtimes, package versions, hashes, and unmeasured metrics. Do not add AP75, miss rate, statistical significance, or fusion/noise results. They are not needed for this poster and some have not been calculated.</w:t>
      </w:r>
    </w:p>
    <w:p>
      <w:hyperlink r:id="rId11">
        <w:r>
          <w:rPr>
            <w:color w:val="145B75"/>
          </w:rPr>
          <w:t>Source for Table 1 comparison.csv</w:t>
        </w:r>
      </w:hyperlink>
    </w:p>
    <w:p>
      <w:hyperlink r:id="rId12">
        <w:r>
          <w:rPr>
            <w:color w:val="145B75"/>
          </w:rPr>
          <w:t>Source for Table 2 original LLVIP Table 3</w:t>
        </w:r>
      </w:hyperlink>
    </w:p>
    <w:p>
      <w:pPr>
        <w:pStyle w:val="Heading1"/>
        <w:pageBreakBefore/>
      </w:pPr>
      <w:r>
        <w:t>Poster figure and exact caption</w:t>
      </w:r>
    </w:p>
    <w:p>
      <w:pPr>
        <w:pStyle w:val="Heading2"/>
      </w:pPr>
      <w:r>
        <w:t>Figure 1 below the tables in the left evidence panel</w:t>
      </w:r>
    </w:p>
    <w:p>
      <w:r>
        <w:rPr>
          <w:b w:val="0"/>
        </w:rPr>
        <w:t>Use the saved file 140043_comparison.png for pair 140043. Insert its existing four-panel figure with the supplied annotations and predictions intact. Preserve VIS/IR labels, box legend, and pair ID. If scaling makes boxes unreadable, crop consistently around the lower target in both modalities and include enough scene context; label the crop. Do not remove predictions or annotations.</w:t>
      </w:r>
    </w:p>
    <w:p>
      <w:r>
        <w:rPr>
          <w:b w:val="0"/>
        </w:rPr>
        <w:t>Exact caption: Pair 140043, displayed confidence 0.25. Both models omit the small annotated target near the bottom edge, showing a shared failure despite stronger aggregate IR scores. Visual inspection; this example does not estimate dataset-wide performance.</w:t>
      </w:r>
    </w:p>
    <w:p>
      <w:r>
        <w:rPr>
          <w:b w:val="0"/>
        </w:rPr>
        <w:t>Legend beneath the image: VIS = visible; IR = thermal infrared. Ground truth: supplied annotation boxes. Predictions: detector boxes and displayed confidence. Preserve the colors and line styles in the saved figure; do not relabel them based on memory.</w:t>
      </w:r>
    </w:p>
    <w:p>
      <w:r>
        <w:rPr>
          <w:b w:val="0"/>
        </w:rPr>
        <w:t>For checking only: this pair has four annotated targets, three displayed VIS predictions, and three displayed IR predictions. These counts are not an exact true-positive/false-positive calculation and need not be added to the poster.</w:t>
      </w:r>
    </w:p>
    <w:p>
      <w:hyperlink r:id="rId13">
        <w:r>
          <w:rPr>
            <w:color w:val="145B75"/>
          </w:rPr>
          <w:t>Download Figure 1 140043_comparison.png</w:t>
        </w:r>
      </w:hyperlink>
    </w:p>
    <w:p>
      <w:r>
        <w:rPr>
          <w:b w:val="0"/>
        </w:rPr>
        <w:t>Alternative if the failure crop cannot remain readable: use pair 050126 with caption Both models detect the three annotated targets in this example; displayed confidence 0.25. This example illustrates behavior rather than estimating aggregate performance. Do not claim this image demonstrates an IR advantage.</w:t>
      </w:r>
    </w:p>
    <w:p>
      <w:pPr>
        <w:pStyle w:val="Heading2"/>
      </w:pPr>
      <w:r>
        <w:t>Crop and sizing instructions</w:t>
      </w:r>
    </w:p>
    <w:p>
      <w:r>
        <w:rPr>
          <w:b w:val="0"/>
        </w:rPr>
        <w:t>Use the saved high-resolution PNG, not a screenshot of a notebook. Keep the main table, compact reference table, and one example. The four-panel learning-history plot belongs in the linked supporting material if it makes the evidence area too crowded; it is not needed to establish the headline comparison.</w:t>
      </w:r>
    </w:p>
    <w:p>
      <w:pPr>
        <w:pStyle w:val="Heading1"/>
        <w:pageBreakBefore/>
      </w:pPr>
      <w:r>
        <w:t>Exact copy for limits next test and sources</w:t>
      </w:r>
    </w:p>
    <w:p>
      <w:pPr>
        <w:pStyle w:val="Heading2"/>
      </w:pPr>
      <w:r>
        <w:t>WHERE THE CLAIM STOPS</w:t>
      </w:r>
    </w:p>
    <w:p>
      <w:r>
        <w:rPr>
          <w:b w:val="0"/>
        </w:rPr>
        <w:t>Development results: validation also selected checkpoints; the official test portion is unused. One seed and 10 epochs; convergence and uncertainty are unresolved.</w:t>
        <w:br/>
        <w:t>No fusion or degradation results yet. Stronger clean-data IR performance does not establish robustness or deployment readiness.</w:t>
      </w:r>
    </w:p>
    <w:p>
      <w:r>
        <w:rPr>
          <w:b w:val="0"/>
        </w:rPr>
        <w:t>If space permits, add: Prefix-disjoint membership does not yet prove independent physical scenes. Broader use needs separate evaluation under changed conditions.</w:t>
      </w:r>
    </w:p>
    <w:p>
      <w:pPr>
        <w:pStyle w:val="Heading2"/>
      </w:pPr>
      <w:r>
        <w:t>NEXT TEST AND CLASS CONNECTION</w:t>
      </w:r>
    </w:p>
    <w:p>
      <w:r>
        <w:rPr>
          <w:b w:val="0"/>
        </w:rPr>
        <w:t>Next: compare our 50/50 fusion baseline with single-modality inputs, then learned weighting, under a documented detector-control protocol; test sensor degradation and a held-out noise condition.</w:t>
        <w:br/>
        <w:t>Feedback sought: What detector control would best isolate the fusion rule?</w:t>
        <w:br/>
        <w:t>Class survey: Strong benchmark scores support a bounded claim; reliability under changed conditions needs additional evidence.</w:t>
      </w:r>
    </w:p>
    <w:p>
      <w:r>
        <w:rPr>
          <w:b w:val="0"/>
        </w:rPr>
        <w:t>The survey connection addresses the course theme From AI Output to Justified Use: Trust and Evidence Across Domains. It is a proposed conceptual connection, not a completed comparison with another class project. After reviewing classmates' work, add a real named project and a specific common pattern or contrast to the synthesis board. Do not invent a peer project. [C2: Class-survey contribution and Section 3 discussion]</w:t>
      </w:r>
    </w:p>
    <w:p>
      <w:pPr>
        <w:pStyle w:val="Heading2"/>
      </w:pPr>
      <w:r>
        <w:t>Footer copy</w:t>
      </w:r>
    </w:p>
    <w:p>
      <w:r>
        <w:rPr>
          <w:b w:val="0"/>
        </w:rPr>
        <w:t>Paste in the bottom footer: [1] Jia et al., LLVIP, ICCVW 2021, Secs. 5.1-5.2, Tables 2-3. [2] LLVIP repository, annotation updates. [3] Ultralytics YOLOv5, commit f9578796. [4] Our protocol and standalone evaluation.</w:t>
        <w:br/>
        <w:t>Code and evidence: Team repository | Evaluation records | Paired examples. Attach the verified URLs to these descriptive labels.</w:t>
      </w:r>
    </w:p>
    <w:p>
      <w:r>
        <w:rPr>
          <w:b w:val="0"/>
        </w:rPr>
        <w:t>Add a brief acknowledgement consistent with the course integrity guidance: ChatGPT/Codex assisted with code guidance, troubleshooting, and documentation; the team ran the experiments and verified the results. Adjust this wording to accurately reflect the team's actual use. AI output is not a technical source. [C2: Submission and integrity guidelines]</w:t>
      </w:r>
    </w:p>
    <w:p>
      <w:pPr>
        <w:pStyle w:val="Heading2"/>
      </w:pPr>
      <w:r>
        <w:t>Keep the following off the one page poster</w:t>
      </w:r>
    </w:p>
    <w:p>
      <w:pPr>
        <w:pStyle w:val="ListBullet"/>
      </w:pPr>
      <w:r>
        <w:rPr>
          <w:b w:val="0"/>
        </w:rPr>
        <w:t>Full package lists, hashes, long paths, all learning-history rows, complete training logs, and the recovery timeline. Link these as supporting records.</w:t>
      </w:r>
    </w:p>
    <w:p>
      <w:pPr>
        <w:pStyle w:val="ListBullet"/>
      </w:pPr>
      <w:r>
        <w:rPr>
          <w:b w:val="0"/>
        </w:rPr>
        <w:t>Pilot metrics mixed with main metrics, training-record metrics mixed with standalone metrics, or a dense comparison of every paper version.</w:t>
      </w:r>
    </w:p>
    <w:p>
      <w:pPr>
        <w:pStyle w:val="ListBullet"/>
      </w:pPr>
      <w:r>
        <w:rPr>
          <w:b w:val="0"/>
        </w:rPr>
        <w:t>Any wording that adaptive fusion already works, that we beat LLVIP, or that ten epochs proved convergence.</w:t>
      </w:r>
    </w:p>
    <w:p>
      <w:pPr>
        <w:pStyle w:val="Heading2"/>
      </w:pPr>
      <w:r>
        <w:t>Digital layout check</w:t>
      </w:r>
    </w:p>
    <w:p>
      <w:r>
        <w:rPr>
          <w:b w:val="0"/>
        </w:rPr>
        <w:t>Preserve the template's strong finding-first hierarchy. At fit-to-slide view, the question, IR finding, and development-set limitation must be identifiable. Inspect enlarged text and example boxes for readability. Use high contrast, aligned panel edges, consistent metric precision, and descriptive links. Do not shrink all text to force additional content onto the page; shorten repetition or enlarge the evidence area.</w:t>
      </w:r>
    </w:p>
    <w:p>
      <w:pPr>
        <w:pStyle w:val="Heading1"/>
        <w:pageBreakBefore/>
      </w:pPr>
      <w:r>
        <w:t>Next research steps and the detector question</w:t>
      </w:r>
    </w:p>
    <w:p>
      <w:pPr>
        <w:pStyle w:val="Heading2"/>
      </w:pPr>
      <w:r>
        <w:t>Sequence after the milestone</w:t>
      </w:r>
    </w:p>
    <w:p>
      <w:pPr>
        <w:pStyle w:val="ListNumber"/>
      </w:pPr>
      <w:r>
        <w:rPr>
          <w:b w:val="0"/>
        </w:rPr>
        <w:t>Retain the completed VIS and IR baselines and their records. Exact LLVIP reproduction is optional; do not add 02b or repeat training solely to match the paper.</w:t>
      </w:r>
    </w:p>
    <w:p>
      <w:pPr>
        <w:pStyle w:val="ListNumber"/>
      </w:pPr>
      <w:r>
        <w:rPr>
          <w:b w:val="0"/>
        </w:rPr>
        <w:t>Write the fusion protocol before implementing its comparison. Specify image normalization, channel handling, alignment, the blend equation, and how the detector is controlled.</w:t>
      </w:r>
    </w:p>
    <w:p>
      <w:pPr>
        <w:pStyle w:val="ListNumber"/>
      </w:pPr>
      <w:r>
        <w:rPr>
          <w:b w:val="0"/>
        </w:rPr>
        <w:t>Implement our equal-weight fusion baseline: F = 0.5 V + 0.5 I, after compatible preprocessing. These are generated fused inputs from real paired sensor images, not pre-supplied fusion labels.</w:t>
      </w:r>
    </w:p>
    <w:p>
      <w:pPr>
        <w:pStyle w:val="ListNumber"/>
      </w:pPr>
      <w:r>
        <w:rPr>
          <w:b w:val="0"/>
        </w:rPr>
        <w:t>Implement adaptive weights predicted by a CNN. Specify whether weights are per image or spatially varying, what objective trains them, and how inference avoids annotation access.</w:t>
      </w:r>
    </w:p>
    <w:p>
      <w:pPr>
        <w:pStyle w:val="ListNumber"/>
      </w:pPr>
      <w:r>
        <w:rPr>
          <w:b w:val="0"/>
        </w:rPr>
        <w:t>Evaluate fixed versus adaptive fusion under a common detector protocol. Keep data membership, preprocessing, evaluation settings, and reporting consistent.</w:t>
      </w:r>
    </w:p>
    <w:p>
      <w:pPr>
        <w:pStyle w:val="ListNumber"/>
      </w:pPr>
      <w:r>
        <w:rPr>
          <w:b w:val="0"/>
        </w:rPr>
        <w:t>Define sensor-specific degradation and severity before testing. Keep the designated unseen noise out of training and tuning. Finalize development-versus-final evaluation separation before reporting a broader reliability claim.</w:t>
      </w:r>
    </w:p>
    <w:p>
      <w:pPr>
        <w:pStyle w:val="Heading2"/>
      </w:pPr>
      <w:r>
        <w:t>Answering the instructor feedback</w:t>
      </w:r>
    </w:p>
    <w:p>
      <w:r>
        <w:rPr>
          <w:b/>
        </w:rPr>
        <w:t>Instructor question: Will the detector be fixed across fusion methods, or trained separately for each one?</w:t>
      </w:r>
    </w:p>
    <w:p>
      <w:r>
        <w:rPr>
          <w:b w:val="0"/>
        </w:rPr>
        <w:t>Current factual answer: VIS and IR detectors were trained separately with the same architecture and training settings. These are complete-pipeline baselines. The controlled fusion experiment has not yet been implemented.</w:t>
      </w:r>
    </w:p>
    <w:p>
      <w:r>
        <w:rPr>
          <w:b w:val="0"/>
        </w:rPr>
        <w:t>Recommended next design to discuss with Jay and Jacob: use one shared detector suitable for the compared fused inputs, then freeze its learned weights when comparing equal-weight and adaptive fusion. If the CNN learns from detector loss, gradients may pass through the frozen detector to the fusion module while detector parameters remain unchanged. Record how that common detector was trained so one fusion method is not given an unexplained advantage.</w:t>
      </w:r>
    </w:p>
    <w:p>
      <w:r>
        <w:rPr>
          <w:b w:val="0"/>
        </w:rPr>
        <w:t>An alternative is separately trained detectors per input method under matched training budgets. That measures each complete pipeline and cannot attribute the entire difference solely to the fusion rule. If used, label that question explicitly. Do not present either future choice as already completed or finally approved.</w:t>
      </w:r>
    </w:p>
    <w:p>
      <w:pPr>
        <w:pStyle w:val="Heading2"/>
      </w:pPr>
      <w:r>
        <w:t>What would support or narrow our thesis</w:t>
      </w:r>
    </w:p>
    <w:p>
      <w:r>
        <w:rPr>
          <w:b w:val="0"/>
        </w:rPr>
        <w:t>Support for the extension would require an adaptive-versus-equal-weight improvement under the chosen control, with documented uncertainty and behavior under the planned degradations. If adaptive fusion does not outperform equal weighting, that is still a useful finding. If IR alone remains strongest, report that result and investigate when visible information helps or hurts.</w:t>
      </w:r>
    </w:p>
    <w:p>
      <w:pPr>
        <w:pStyle w:val="Heading2"/>
      </w:pPr>
      <w:r>
        <w:t>Milestone boundary</w:t>
      </w:r>
    </w:p>
    <w:p>
      <w:r>
        <w:rPr>
          <w:b w:val="0"/>
        </w:rPr>
        <w:t>The poster uses the completed baseline evidence now. Fusion implementation, detector retraining for a new protocol, and unseen-noise experiments are future research. Walter and Abdul do not need to run training, recreate the dataset, or obtain a GPU to make the poster.</w:t>
      </w:r>
    </w:p>
    <w:p>
      <w:pPr>
        <w:pStyle w:val="Heading1"/>
        <w:pageBreakBefore/>
      </w:pPr>
      <w:r>
        <w:t>Poster assembly and content checklist</w:t>
      </w:r>
    </w:p>
    <w:p>
      <w:pPr>
        <w:pStyle w:val="Heading2"/>
      </w:pPr>
      <w:r>
        <w:t>Build the single slide in this order</w:t>
      </w:r>
    </w:p>
    <w:p>
      <w:pPr>
        <w:pStyle w:val="ListBullet"/>
      </w:pPr>
      <w:r>
        <w:rPr>
          <w:b w:val="0"/>
        </w:rPr>
        <w:t>Replace the title, author line, domain, category, and cross-cutting-question placeholders. Remove the template Ridge example.</w:t>
      </w:r>
    </w:p>
    <w:p>
      <w:pPr>
        <w:pStyle w:val="ListBullet"/>
      </w:pPr>
      <w:r>
        <w:rPr>
          <w:b w:val="0"/>
        </w:rPr>
        <w:t>Paste the headline and its scope line in the large upper-left finding area.</w:t>
      </w:r>
    </w:p>
    <w:p>
      <w:pPr>
        <w:pStyle w:val="ListBullet"/>
      </w:pPr>
      <w:r>
        <w:rPr>
          <w:b w:val="0"/>
        </w:rPr>
        <w:t>Paste Why it matters in the upper-right panel and How we tested it in the middle-right panel.</w:t>
      </w:r>
    </w:p>
    <w:p>
      <w:pPr>
        <w:pStyle w:val="ListBullet"/>
      </w:pPr>
      <w:r>
        <w:rPr>
          <w:b w:val="0"/>
        </w:rPr>
        <w:t>Insert Table 1 with its definition line and caption; then Table 2 with its reference-only caption in the left evidence area.</w:t>
      </w:r>
    </w:p>
    <w:p>
      <w:pPr>
        <w:pStyle w:val="ListBullet"/>
      </w:pPr>
      <w:r>
        <w:rPr>
          <w:b w:val="0"/>
        </w:rPr>
        <w:t>Insert Figure 1 below or beside the tables, with its legend and caption. Retain the supplied image labels and boxes.</w:t>
      </w:r>
    </w:p>
    <w:p>
      <w:pPr>
        <w:pStyle w:val="ListBullet"/>
      </w:pPr>
      <w:r>
        <w:rPr>
          <w:b w:val="0"/>
        </w:rPr>
        <w:t>Paste the limitations in the lower-left panel; next test and class connection in the lower-right panel.</w:t>
      </w:r>
    </w:p>
    <w:p>
      <w:pPr>
        <w:pStyle w:val="ListBullet"/>
      </w:pPr>
      <w:r>
        <w:rPr>
          <w:b w:val="0"/>
        </w:rPr>
        <w:t>Add the bottom sources, AI acknowledgement, and verified code/evidence links. Add the team author names yourselves.</w:t>
      </w:r>
    </w:p>
    <w:p>
      <w:pPr>
        <w:pStyle w:val="Heading2"/>
      </w:pPr>
      <w:r>
        <w:t>Final content checklist</w:t>
      </w:r>
    </w:p>
    <w:p>
      <w:pPr>
        <w:pStyle w:val="ListBullet"/>
      </w:pPr>
      <w:r>
        <w:rPr>
          <w:b w:val="0"/>
        </w:rPr>
        <w:t>Visible research question: can learned weighting improve detection over single sensors and our 50/50 baseline?</w:t>
      </w:r>
    </w:p>
    <w:p>
      <w:pPr>
        <w:pStyle w:val="ListBullet"/>
      </w:pPr>
      <w:r>
        <w:rPr>
          <w:b w:val="0"/>
        </w:rPr>
        <w:t>Visible result: IR AP50-95 58.85%, VIS 44.01%, difference 14.84 percentage points.</w:t>
      </w:r>
    </w:p>
    <w:p>
      <w:pPr>
        <w:pStyle w:val="ListBullet"/>
      </w:pPr>
      <w:r>
        <w:rPr>
          <w:b w:val="0"/>
        </w:rPr>
        <w:t>Table 1 contains precision, recall, AP50, AP50-95, and all four VIS/IR differences.</w:t>
      </w:r>
    </w:p>
    <w:p>
      <w:pPr>
        <w:pStyle w:val="ListBullet"/>
      </w:pPr>
      <w:r>
        <w:rPr>
          <w:b w:val="0"/>
        </w:rPr>
        <w:t>Table 2 is labeled original 2021 LLVIP, with its model, section/table citation, and non-comparability caption.</w:t>
      </w:r>
    </w:p>
    <w:p>
      <w:pPr>
        <w:pStyle w:val="ListBullet"/>
      </w:pPr>
      <w:r>
        <w:rPr>
          <w:b w:val="0"/>
        </w:rPr>
        <w:t>Data and method: 10,028 training pairs, 1,995 development-validation pairs, 5,246 validation annotations, YOLOv5s, ten epochs, batch 8, image-size argument 640, SGD, seed 42.</w:t>
      </w:r>
    </w:p>
    <w:p>
      <w:pPr>
        <w:pStyle w:val="ListBullet"/>
      </w:pPr>
      <w:r>
        <w:rPr>
          <w:b w:val="0"/>
        </w:rPr>
        <w:t>Selection/reporting share a validation subset. One seed and unresolved convergence/uncertainty are explicit. No fusion or degradation benefit is claimed.</w:t>
      </w:r>
    </w:p>
    <w:p>
      <w:pPr>
        <w:pStyle w:val="ListBullet"/>
      </w:pPr>
      <w:r>
        <w:rPr>
          <w:b w:val="0"/>
        </w:rPr>
        <w:t>The paired example is correctly labeled and captioned; its display confidence is 0.25, not a claim about the precision/recall reporting threshold.</w:t>
      </w:r>
    </w:p>
    <w:p>
      <w:pPr>
        <w:pStyle w:val="ListBullet"/>
      </w:pPr>
      <w:r>
        <w:rPr>
          <w:b w:val="0"/>
        </w:rPr>
        <w:t>Next test, the detector-control feedback question, and the class-survey connection are present.</w:t>
      </w:r>
    </w:p>
    <w:p>
      <w:pPr>
        <w:pStyle w:val="ListBullet"/>
      </w:pPr>
      <w:r>
        <w:rPr>
          <w:b w:val="0"/>
        </w:rPr>
        <w:t>Source links work. Essential evidence is on the poster even if the private repository or Drive requires permission.</w:t>
      </w:r>
    </w:p>
    <w:p>
      <w:pPr>
        <w:pStyle w:val="Heading2"/>
      </w:pPr>
      <w:r>
        <w:t>Visual check</w:t>
      </w:r>
    </w:p>
    <w:p>
      <w:r>
        <w:rPr>
          <w:b w:val="0"/>
        </w:rPr>
        <w:t>At fit-to-slide view, identify the main question, strongest finding, and limitation. Enlarge the view to inspect table values, figure boxes, and citations. Use a clear hierarchy and shorten repetition before reducing font size. The two tables and one example are the complete evidence selection for this layout; do not add six examples or the full four-panel learning-history plot.</w:t>
      </w:r>
    </w:p>
    <w:p>
      <w:r>
        <w:rPr>
          <w:b w:val="0"/>
        </w:rPr>
        <w:t>Export the poster as a single-page PDF and open it to check that text, tables, images, and links remain correct. Keep the editable slide as well. This Word document is the implementation guide, not the one-page poster.</w:t>
      </w:r>
    </w:p>
    <w:p>
      <w:pPr>
        <w:pStyle w:val="Heading1"/>
        <w:pageBreakBefore/>
      </w:pPr>
      <w:r>
        <w:t>Sources and evidence locations</w:t>
      </w:r>
    </w:p>
    <w:p>
      <w:r>
        <w:rPr>
          <w:b w:val="0"/>
        </w:rPr>
        <w:t>Use the source labels below to verify factual claims and build the poster footer. Essential claims must remain readable on the poster. Do not use AI-generated prose as the source for a scientific claim.</w:t>
      </w:r>
    </w:p>
    <w:p>
      <w:pPr>
        <w:pStyle w:val="Heading2"/>
      </w:pPr>
      <w:r>
        <w:t>Course sources</w:t>
      </w:r>
    </w:p>
    <w:p>
      <w:r>
        <w:rPr>
          <w:b w:val="0"/>
        </w:rPr>
        <w:t>C1. Canvas Milestone poster presentation and discussion assignment supplied in the handoff. Its content focus is the strongest preliminary finding, evidence, domain problem, evaluation, limitation, next test, and class-survey connection.</w:t>
      </w:r>
    </w:p>
    <w:p>
      <w:r>
        <w:rPr>
          <w:b w:val="0"/>
        </w:rPr>
        <w:t>C2. ECE 4424/CS 4824 Course Deliverables and Capstone Project Detailed Rubrics, Fall 2026. Section 3 defines poster content and visual clarity. The class-survey theme and academic-integrity guidance support the connection and acknowledgement.</w:t>
      </w:r>
    </w:p>
    <w:p>
      <w:hyperlink r:id="rId14">
        <w:r>
          <w:rPr>
            <w:color w:val="145B75"/>
          </w:rPr>
          <w:t>Course rubric document</w:t>
        </w:r>
      </w:hyperlink>
    </w:p>
    <w:p>
      <w:r>
        <w:rPr>
          <w:b w:val="0"/>
        </w:rPr>
        <w:t>C3. Poster Template ECE 4424 _ CS 4824.pdf, page 1. Finding-first layout, evidence area, why it matters, approach, limitations, next test and class connection, source footer.</w:t>
      </w:r>
    </w:p>
    <w:p>
      <w:pPr>
        <w:pStyle w:val="Heading2"/>
      </w:pPr>
      <w:r>
        <w:t>Research and software sources</w:t>
      </w:r>
    </w:p>
    <w:p>
      <w:r>
        <w:rPr>
          <w:b w:val="0"/>
        </w:rPr>
        <w:t>P1. Jia et al. LLVIP: A Visible-infrared Paired Dataset for Low-light Vision. ICCVW 2021. Original version: Figure 2 and Sections 5.1-5.2; fusion Table 2; detection Table 3. The poster reference table uses the original 2021 detection values.</w:t>
      </w:r>
    </w:p>
    <w:p>
      <w:hyperlink r:id="rId12">
        <w:r>
          <w:rPr>
            <w:color w:val="145B75"/>
          </w:rPr>
          <w:t>Original LLVIP Section 5 and detection Table 3</w:t>
        </w:r>
      </w:hyperlink>
    </w:p>
    <w:p>
      <w:hyperlink r:id="rId15">
        <w:r>
          <w:rPr>
            <w:color w:val="145B75"/>
          </w:rPr>
          <w:t>Original conference PDF</w:t>
        </w:r>
      </w:hyperlink>
    </w:p>
    <w:p>
      <w:r>
        <w:rPr>
          <w:b w:val="0"/>
        </w:rPr>
        <w:t>P2. Revised LLVIP, 2023 version 4, Abstract and Section 5.2, Table 3. This is separate reference context for the updated release; do not substitute its values into a table labeled original 2021.</w:t>
      </w:r>
    </w:p>
    <w:p>
      <w:hyperlink r:id="rId16">
        <w:r>
          <w:rPr>
            <w:color w:val="145B75"/>
          </w:rPr>
          <w:t>Revised LLVIP version 4</w:t>
        </w:r>
      </w:hyperlink>
    </w:p>
    <w:p>
      <w:r>
        <w:rPr>
          <w:b w:val="0"/>
        </w:rPr>
        <w:t>P3. Official LLVIP repository, News and YOLOv5 instructions. Use for release/annotation-update provenance; our exact archive counts and exclusions come from our own audit.</w:t>
      </w:r>
    </w:p>
    <w:p>
      <w:hyperlink r:id="rId17">
        <w:r>
          <w:rPr>
            <w:color w:val="145B75"/>
          </w:rPr>
          <w:t>Official LLVIP repository</w:t>
        </w:r>
      </w:hyperlink>
    </w:p>
    <w:p>
      <w:r>
        <w:rPr>
          <w:b w:val="0"/>
        </w:rPr>
        <w:t>Y1. Ultralytics YOLOv5, commit f9578796b8a64889aa9e66dc06914d19f40d338e. utils/metrics.py lines 15-20 defines default checkpoint fitness; lines 81-85 select the precision/recall reporting point.</w:t>
      </w:r>
    </w:p>
    <w:p>
      <w:hyperlink r:id="rId18">
        <w:r>
          <w:rPr>
            <w:color w:val="145B75"/>
          </w:rPr>
          <w:t>Pinned YOLOv5 metrics implementation</w:t>
        </w:r>
      </w:hyperlink>
    </w:p>
    <w:p>
      <w:pPr>
        <w:pStyle w:val="Heading2"/>
      </w:pPr>
      <w:r>
        <w:t>Team documents and saved artifacts</w:t>
      </w:r>
    </w:p>
    <w:p>
      <w:r>
        <w:rPr>
          <w:b w:val="0"/>
        </w:rPr>
        <w:t>The supplied team progress PDF (-2) records recovery through evaluation; the comparison PDF (-3) distinguishes our experiment from LLVIP and requests published context on the poster; the results PDF (-4) explains the metrics and measured values. Use saved experiment records to resolve transcription differences.</w:t>
      </w:r>
    </w:p>
    <w:p>
      <w:hyperlink r:id="rId19">
        <w:r>
          <w:rPr>
            <w:color w:val="145B75"/>
          </w:rPr>
          <w:t>Shared project folder</w:t>
        </w:r>
      </w:hyperlink>
    </w:p>
    <w:p>
      <w:hyperlink r:id="rId20">
        <w:r>
          <w:rPr>
            <w:color w:val="145B75"/>
          </w:rPr>
          <w:t>Main experiment and protocol</w:t>
        </w:r>
      </w:hyperlink>
    </w:p>
    <w:p>
      <w:hyperlink r:id="rId21">
        <w:r>
          <w:rPr>
            <w:color w:val="145B75"/>
          </w:rPr>
          <w:t>Selected evaluation and comparison CSV</w:t>
        </w:r>
      </w:hyperlink>
    </w:p>
    <w:p>
      <w:hyperlink r:id="rId22">
        <w:r>
          <w:rPr>
            <w:color w:val="145B75"/>
          </w:rPr>
          <w:t>Six paired examples and sample index</w:t>
        </w:r>
      </w:hyperlink>
    </w:p>
    <w:p>
      <w:hyperlink r:id="rId23">
        <w:r>
          <w:rPr>
            <w:color w:val="145B75"/>
          </w:rPr>
          <w:t>Combined learning history and figure</w:t>
        </w:r>
      </w:hyperlink>
    </w:p>
    <w:p>
      <w:r>
        <w:rPr>
          <w:b w:val="0"/>
        </w:rPr>
        <w:t>In the selected evaluation, use comparison.csv and the current vis/metrics.json and ir/metrics.json. Folders named ir_previous_* preserve earlier attempts. Add the verified team repository link and check instructor access.</w:t>
      </w:r>
    </w:p>
    <w:sectPr w:rsidR="00FC693F" w:rsidRPr="0006063C" w:rsidSect="00034616">
      <w:footerReference w:type="default" r:id="rId9"/>
      <w:pgSz w:w="12240" w:h="15840"/>
      <w:pgMar w:top="936"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EO IR milestone poster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cs.google.com/presentation/d/1ZuxJBoNif6_x7N_7GXwdbebtpEsPjK6Na5FxdgZnJFg/edit" TargetMode="External"/><Relationship Id="rId11" Type="http://schemas.openxmlformats.org/officeDocument/2006/relationships/hyperlink" Target="https://drive.google.com/file/d/1QD5bXFh_dh_4HLs5DwNpzZYsaEUWVDU3/view" TargetMode="External"/><Relationship Id="rId12" Type="http://schemas.openxmlformats.org/officeDocument/2006/relationships/hyperlink" Target="https://arxiv.org/html/2108.10831v1#S5.SS2" TargetMode="External"/><Relationship Id="rId13" Type="http://schemas.openxmlformats.org/officeDocument/2006/relationships/hyperlink" Target="https://drive.google.com/file/d/155f4eJDTKM2usS6yrpyaVFpw_RklSTMz/view" TargetMode="External"/><Relationship Id="rId14" Type="http://schemas.openxmlformats.org/officeDocument/2006/relationships/hyperlink" Target="https://docs.google.com/document/d/1b1L0pGoXljxnNjJNEGAzGJfaxvMPxNr1L_DshiAkK4E/edit" TargetMode="External"/><Relationship Id="rId15" Type="http://schemas.openxmlformats.org/officeDocument/2006/relationships/hyperlink" Target="https://openaccess.thecvf.com/content/ICCV2021W/RLQ/papers/Jia_LLVIP_A_Visible-Infrared_Paired_Dataset_for_Low-Light_Vision_ICCVW_2021_paper.pdf" TargetMode="External"/><Relationship Id="rId16" Type="http://schemas.openxmlformats.org/officeDocument/2006/relationships/hyperlink" Target="https://arxiv.org/html/2108.10831v4#S5.SS2" TargetMode="External"/><Relationship Id="rId17" Type="http://schemas.openxmlformats.org/officeDocument/2006/relationships/hyperlink" Target="https://github.com/bupt-ai-cz/LLVIP" TargetMode="External"/><Relationship Id="rId18" Type="http://schemas.openxmlformats.org/officeDocument/2006/relationships/hyperlink" Target="https://github.com/ultralytics/yolov5/blob/f9578796b8a64889aa9e66dc06914d19f40d338e/utils/metrics.py#L81-L85" TargetMode="External"/><Relationship Id="rId19" Type="http://schemas.openxmlformats.org/officeDocument/2006/relationships/hyperlink" Target="https://drive.google.com/drive/folders/19wUEBCGETrtE-McT0saKraxEuUB6Ca0m" TargetMode="External"/><Relationship Id="rId20" Type="http://schemas.openxmlformats.org/officeDocument/2006/relationships/hyperlink" Target="https://drive.google.com/drive/folders/1tdQ2s9JxeAi1VZhzHNDnLrgebVhH5kXk" TargetMode="External"/><Relationship Id="rId21" Type="http://schemas.openxmlformats.org/officeDocument/2006/relationships/hyperlink" Target="https://drive.google.com/drive/folders/1DBi_o9L5jSNIt40-kxiinqaXn_yjxHim" TargetMode="External"/><Relationship Id="rId22" Type="http://schemas.openxmlformats.org/officeDocument/2006/relationships/hyperlink" Target="https://drive.google.com/drive/folders/18r6Z9Lr9852bpA15Tnmf9LI2q-jgnQO7" TargetMode="External"/><Relationship Id="rId23" Type="http://schemas.openxmlformats.org/officeDocument/2006/relationships/hyperlink" Target="https://drive.google.com/drive/folders/1qftcVOeC8hBh008fH-zsz3QpPqjfthn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EO IR Milestone Poster Guide</dc:title>
  <dc:subject>Project overview and poster implementation instructions for Walter and Abdul</dc:subject>
  <dc:creator>EO IR Capstone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