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DB354" w14:textId="7A945E9E" w:rsidR="00AA1460" w:rsidRPr="003F54DD" w:rsidRDefault="00AA1460" w:rsidP="00D81216">
      <w:pPr>
        <w:spacing w:line="360" w:lineRule="auto"/>
        <w:rPr>
          <w:rFonts w:ascii="Times New Roman" w:hAnsi="Times New Roman" w:cs="Times New Roman"/>
          <w:b/>
          <w:bCs/>
        </w:rPr>
      </w:pPr>
      <w:r w:rsidRPr="003F54DD">
        <w:rPr>
          <w:rFonts w:ascii="Times New Roman" w:hAnsi="Times New Roman" w:cs="Times New Roman"/>
          <w:b/>
          <w:bCs/>
        </w:rPr>
        <w:t>Thesis idea, draft 2</w:t>
      </w:r>
    </w:p>
    <w:p w14:paraId="67C5A7B8" w14:textId="56C50996" w:rsidR="00F81129" w:rsidRPr="003F54DD" w:rsidRDefault="00ED5FA2" w:rsidP="00D81216">
      <w:pPr>
        <w:spacing w:line="360" w:lineRule="auto"/>
        <w:rPr>
          <w:rFonts w:ascii="Times New Roman" w:hAnsi="Times New Roman" w:cs="Times New Roman"/>
        </w:rPr>
      </w:pPr>
      <w:r w:rsidRPr="003F54DD">
        <w:rPr>
          <w:rFonts w:ascii="Times New Roman" w:hAnsi="Times New Roman" w:cs="Times New Roman"/>
          <w:b/>
          <w:bCs/>
        </w:rPr>
        <w:t>Question</w:t>
      </w:r>
      <w:r w:rsidRPr="003F54DD">
        <w:rPr>
          <w:rFonts w:ascii="Times New Roman" w:hAnsi="Times New Roman" w:cs="Times New Roman"/>
        </w:rPr>
        <w:t xml:space="preserve">: What happens to </w:t>
      </w:r>
      <w:r w:rsidR="00CB6A79" w:rsidRPr="003F54DD">
        <w:rPr>
          <w:rFonts w:ascii="Times New Roman" w:hAnsi="Times New Roman" w:cs="Times New Roman"/>
        </w:rPr>
        <w:t xml:space="preserve">local </w:t>
      </w:r>
      <w:r w:rsidRPr="003F54DD">
        <w:rPr>
          <w:rFonts w:ascii="Times New Roman" w:hAnsi="Times New Roman" w:cs="Times New Roman"/>
        </w:rPr>
        <w:t>government institutions when populist parties gain power?</w:t>
      </w:r>
    </w:p>
    <w:p w14:paraId="34B9B408" w14:textId="533C66B4" w:rsidR="00ED5FA2" w:rsidRPr="003F54DD" w:rsidRDefault="00ED5FA2" w:rsidP="00D81216">
      <w:pPr>
        <w:spacing w:line="360" w:lineRule="auto"/>
        <w:rPr>
          <w:rFonts w:ascii="Times New Roman" w:hAnsi="Times New Roman" w:cs="Times New Roman"/>
        </w:rPr>
      </w:pPr>
    </w:p>
    <w:p w14:paraId="64557CE2" w14:textId="5AE752C4" w:rsidR="009352F4" w:rsidRDefault="00ED5FA2" w:rsidP="00D81216">
      <w:pPr>
        <w:spacing w:line="360" w:lineRule="auto"/>
        <w:rPr>
          <w:rFonts w:ascii="Times New Roman" w:hAnsi="Times New Roman" w:cs="Times New Roman"/>
        </w:rPr>
      </w:pPr>
      <w:r w:rsidRPr="003F54DD">
        <w:rPr>
          <w:rFonts w:ascii="Times New Roman" w:hAnsi="Times New Roman" w:cs="Times New Roman"/>
        </w:rPr>
        <w:t>We know that a meritocratic bureaucracy seems to produce lower corruption</w:t>
      </w:r>
      <w:r w:rsidR="00E4327F" w:rsidRPr="003F54DD">
        <w:rPr>
          <w:rFonts w:ascii="Times New Roman" w:hAnsi="Times New Roman" w:cs="Times New Roman"/>
        </w:rPr>
        <w:t xml:space="preserve"> </w:t>
      </w:r>
      <w:r w:rsidR="00C10CD1">
        <w:rPr>
          <w:rFonts w:ascii="Times New Roman" w:hAnsi="Times New Roman" w:cs="Times New Roman"/>
        </w:rPr>
        <w:fldChar w:fldCharType="begin"/>
      </w:r>
      <w:r w:rsidR="00EC5429">
        <w:rPr>
          <w:rFonts w:ascii="Times New Roman" w:hAnsi="Times New Roman" w:cs="Times New Roman"/>
        </w:rPr>
        <w:instrText xml:space="preserve"> ADDIN ZOTERO_ITEM CSL_CITATION {"citationID":"GcTQjrrz","properties":{"formattedCitation":"(Dahlstr\\uc0\\u246{}m, Lapuente, and Teorell 2012)","plainCitation":"(Dahlström, Lapuente, and Teorell 2012)","noteIndex":0},"citationItems":[{"id":596,"uris":["http://zotero.org/users/728808/items/3SWQJ2ZS"],"uri":["http://zotero.org/users/728808/items/3SWQJ2ZS"],"itemData":{"id":596,"type":"article-journal","abstract":"Comparative studies of corruption focus on the selection and incentives of policymakers. With few exceptions, actors who are in charge of implementing policies have been neglected. This article analyzes an original data set on the bureaucratic features and its effects on corruption in fifty-two countries. Two empirical findings challenge the conventional wisdom in literature. First, certain bureaucratic factors, particularly meritocratic recruitment, reduce corruption, even when controlling for a large set of alternative explanations. Second, the analysis shows that other allegedly relevant bureaucratic factors, such as public employees’ competitive salaries, career stability, or internal promotion, do not have a significant impact.","container-title":"Political Research Quarterly","DOI":"10.1177/1065912911408109","ISSN":"1065-9129","issue":"3","journalAbbreviation":"Political Research Quarterly","language":"en","page":"656-668","source":"SAGE Journals","title":"The Merit of Meritocratization: Politics, Bureaucracy, and the Institutional Deterrents of Corruption","title-short":"The Merit of Meritocratization","volume":"65","author":[{"family":"Dahlström","given":"Carl"},{"family":"Lapuente","given":"Victor"},{"family":"Teorell","given":"Jan"}],"issued":{"date-parts":[["2012",9,1]]}}}],"schema":"https://github.com/citation-style-language/schema/raw/master/csl-citation.json"} </w:instrText>
      </w:r>
      <w:r w:rsidR="00C10CD1">
        <w:rPr>
          <w:rFonts w:ascii="Times New Roman" w:hAnsi="Times New Roman" w:cs="Times New Roman"/>
        </w:rPr>
        <w:fldChar w:fldCharType="separate"/>
      </w:r>
      <w:r w:rsidR="00EC5429" w:rsidRPr="00EC5429">
        <w:rPr>
          <w:rFonts w:ascii="Times New Roman" w:hAnsi="Times New Roman" w:cs="Times New Roman"/>
        </w:rPr>
        <w:t>(Dahlström, Lapuente, and Teorell 2012)</w:t>
      </w:r>
      <w:r w:rsidR="00C10CD1">
        <w:rPr>
          <w:rFonts w:ascii="Times New Roman" w:hAnsi="Times New Roman" w:cs="Times New Roman"/>
        </w:rPr>
        <w:fldChar w:fldCharType="end"/>
      </w:r>
      <w:r w:rsidR="001B63AB" w:rsidRPr="003F54DD">
        <w:rPr>
          <w:rFonts w:ascii="Times New Roman" w:hAnsi="Times New Roman" w:cs="Times New Roman"/>
        </w:rPr>
        <w:t xml:space="preserve">, as well as several other positive side effects </w:t>
      </w:r>
      <w:r w:rsidR="00C10CD1">
        <w:rPr>
          <w:rFonts w:ascii="Times New Roman" w:hAnsi="Times New Roman" w:cs="Times New Roman"/>
        </w:rPr>
        <w:fldChar w:fldCharType="begin"/>
      </w:r>
      <w:r w:rsidR="00EC5429">
        <w:rPr>
          <w:rFonts w:ascii="Times New Roman" w:hAnsi="Times New Roman" w:cs="Times New Roman"/>
        </w:rPr>
        <w:instrText xml:space="preserve"> ADDIN ZOTERO_ITEM CSL_CITATION {"citationID":"Ero1IPvg","properties":{"formattedCitation":"(Nistotskaya and Cingolani 2016)","plainCitation":"(Nistotskaya and Cingolani 2016)","noteIndex":0},"citationItems":[{"id":625,"uris":["http://zotero.org/users/728808/items/INYKASA9"],"uri":["http://zotero.org/users/728808/items/INYKASA9"],"itemData":{"id":625,"type":"article-journal","abstract":"Abstract.  The article examines the effect of meritocratic recruitment and tenure protection in public bureaucracies on regulatory quality and business entry ra","container-title":"Journal of Public Administration Research and Theory","DOI":"10.1093/jopart/muv026","ISSN":"1053-1858","issue":"3","journalAbbreviation":"J Public Adm Res Theory","language":"en","page":"519-534","source":"academic-oup-com.ezproxy.ub.gu.se","title":"Bureaucratic Structure, Regulatory Quality, and Entrepreneurship in a Comparative Perspective: Cross-Sectional and Panel Data Evidence","title-short":"Bureaucratic Structure, Regulatory Quality, and Entrepreneurship in a Comparative Perspective","volume":"26","author":[{"family":"Nistotskaya","given":"Marina"},{"family":"Cingolani","given":"Luciana"}],"issued":{"date-parts":[["2016",7,1]]}}}],"schema":"https://github.com/citation-style-language/schema/raw/master/csl-citation.json"}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(Nistotskaya and Cingolani 2016)</w:t>
      </w:r>
      <w:r w:rsidR="00C10CD1">
        <w:rPr>
          <w:rFonts w:ascii="Times New Roman" w:hAnsi="Times New Roman" w:cs="Times New Roman"/>
        </w:rPr>
        <w:fldChar w:fldCharType="end"/>
      </w:r>
      <w:r w:rsidRPr="003F54DD">
        <w:rPr>
          <w:rFonts w:ascii="Times New Roman" w:hAnsi="Times New Roman" w:cs="Times New Roman"/>
        </w:rPr>
        <w:t xml:space="preserve">. We also see that the same bureaucracy often is under attack from populist parties that want to politicise the same bureaucracy. </w:t>
      </w:r>
    </w:p>
    <w:p w14:paraId="52EC5B7D" w14:textId="77777777" w:rsidR="009352F4" w:rsidRDefault="009352F4" w:rsidP="00D81216">
      <w:pPr>
        <w:spacing w:line="360" w:lineRule="auto"/>
        <w:rPr>
          <w:rFonts w:ascii="Times New Roman" w:hAnsi="Times New Roman" w:cs="Times New Roman"/>
        </w:rPr>
      </w:pPr>
    </w:p>
    <w:p w14:paraId="7084609C" w14:textId="32C747C7" w:rsidR="00F976A7" w:rsidRDefault="001B63AB" w:rsidP="00D81216">
      <w:pPr>
        <w:spacing w:line="360" w:lineRule="auto"/>
        <w:rPr>
          <w:rFonts w:ascii="Times New Roman" w:hAnsi="Times New Roman" w:cs="Times New Roman"/>
        </w:rPr>
      </w:pPr>
      <w:r w:rsidRPr="003F54DD">
        <w:rPr>
          <w:rFonts w:ascii="Times New Roman" w:hAnsi="Times New Roman" w:cs="Times New Roman"/>
        </w:rPr>
        <w:t xml:space="preserve">This has two sides, one of responsiveness to the electorate and one of bureaucratic quality. On one side, populist parties have been argued to increase the responsiveness to the electorate, a good democratic value </w:t>
      </w:r>
      <w:r w:rsidR="00C10CD1">
        <w:rPr>
          <w:rFonts w:ascii="Times New Roman" w:hAnsi="Times New Roman" w:cs="Times New Roman"/>
        </w:rPr>
        <w:fldChar w:fldCharType="begin"/>
      </w:r>
      <w:r w:rsidR="00EC5429">
        <w:rPr>
          <w:rFonts w:ascii="Times New Roman" w:hAnsi="Times New Roman" w:cs="Times New Roman"/>
        </w:rPr>
        <w:instrText xml:space="preserve"> ADDIN ZOTERO_ITEM CSL_CITATION {"citationID":"R7T7mAHh","properties":{"formattedCitation":"(Agerberg 2017)","plainCitation":"(Agerberg 2017)","noteIndex":0},"citationItems":[{"id":630,"uris":["http://zotero.org/users/728808/items/F6AIINUD"],"uri":["http://zotero.org/users/728808/items/F6AIINUD"],"itemData":{"id":630,"type":"article-journal","abstract":"This article addresses an issue previously neglected in the research on support for populist parties: How do perceptions of the local quality of government (QoG) and local service delivery affect voters’ propensity to vote for a populist party? It argues that personal experience with poor QoG makes voters more likely to support populist parties. The argument highlights the interplay between supply and demand factors in explaining populist support and discusses why populist parties have been particularly successful in certain regions in Europe. A unique dataset from the Quality of Government Institute that surveys citizens’ perception of QoG in their area is used to estimate both individual- and regional-level models of the link between perceived local QoG and populist support in Europe. The empirical results show a strong and robust association between within-country variation in QoG and support for populist parties.","container-title":"European Journal of Political Research","DOI":"10.1111/1475-6765.12203","ISSN":"1475-6765","issue":"3","language":"en","page":"578-600","source":"Wiley Online Library","title":"Failed expectations: Quality of government and support for populist parties in Europe","title-short":"Failed expectations","volume":"56","author":[{"family":"Agerberg","given":"Mattias"}],"issued":{"date-parts":[["2017"]]}}}],"schema":"https://github.com/citation-style-language/schema/raw/master/csl-citation.json"}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(Agerberg 2017)</w:t>
      </w:r>
      <w:r w:rsidR="00C10CD1">
        <w:rPr>
          <w:rFonts w:ascii="Times New Roman" w:hAnsi="Times New Roman" w:cs="Times New Roman"/>
        </w:rPr>
        <w:fldChar w:fldCharType="end"/>
      </w:r>
      <w:r w:rsidRPr="003F54DD">
        <w:rPr>
          <w:rFonts w:ascii="Times New Roman" w:hAnsi="Times New Roman" w:cs="Times New Roman"/>
        </w:rPr>
        <w:t xml:space="preserve">. On the other, with the attacks on the bureaucracy from populist parties, it is easy to imagine that they have negative effects on bureaucratic quality when populist parties gain power. Drawing on a multitude of QoG-research, it is also easy to hypothesise that this effect is lower in High QoG-settings. </w:t>
      </w:r>
      <w:r w:rsidR="00F13D64" w:rsidRPr="003F54DD">
        <w:rPr>
          <w:rFonts w:ascii="Times New Roman" w:hAnsi="Times New Roman" w:cs="Times New Roman"/>
        </w:rPr>
        <w:t>It is yet to be tested, especially on lower levels.</w:t>
      </w:r>
      <w:r w:rsidR="002A3C32">
        <w:rPr>
          <w:rFonts w:ascii="Times New Roman" w:hAnsi="Times New Roman" w:cs="Times New Roman"/>
        </w:rPr>
        <w:t xml:space="preserve"> </w:t>
      </w:r>
    </w:p>
    <w:p w14:paraId="0E04DF44" w14:textId="77777777" w:rsidR="00F976A7" w:rsidRDefault="00F976A7" w:rsidP="00D81216">
      <w:pPr>
        <w:spacing w:line="360" w:lineRule="auto"/>
        <w:rPr>
          <w:rFonts w:ascii="Times New Roman" w:hAnsi="Times New Roman" w:cs="Times New Roman"/>
        </w:rPr>
      </w:pPr>
    </w:p>
    <w:p w14:paraId="4F3CF263" w14:textId="44684732" w:rsidR="00ED5FA2" w:rsidRPr="003F54DD" w:rsidRDefault="00C367B0" w:rsidP="00D81216">
      <w:pPr>
        <w:spacing w:line="360" w:lineRule="auto"/>
        <w:rPr>
          <w:rFonts w:ascii="Times New Roman" w:hAnsi="Times New Roman" w:cs="Times New Roman"/>
        </w:rPr>
      </w:pPr>
      <w:r>
        <w:rPr>
          <w:rFonts w:ascii="Times New Roman" w:hAnsi="Times New Roman" w:cs="Times New Roman"/>
        </w:rPr>
        <w:t>Since there are few good measures of institutional quality on local level, I f</w:t>
      </w:r>
      <w:r w:rsidR="002A3C32">
        <w:rPr>
          <w:rFonts w:ascii="Times New Roman" w:hAnsi="Times New Roman" w:cs="Times New Roman"/>
        </w:rPr>
        <w:t>ind inspiration in</w:t>
      </w:r>
      <w:r>
        <w:rPr>
          <w:rFonts w:ascii="Times New Roman" w:hAnsi="Times New Roman" w:cs="Times New Roman"/>
        </w:rPr>
        <w:t xml:space="preserve"> </w:t>
      </w:r>
      <w:proofErr w:type="spellStart"/>
      <w:r>
        <w:rPr>
          <w:rFonts w:ascii="Times New Roman" w:hAnsi="Times New Roman" w:cs="Times New Roman"/>
        </w:rPr>
        <w:t>Broms</w:t>
      </w:r>
      <w:proofErr w:type="spellEnd"/>
      <w:r>
        <w:rPr>
          <w:rFonts w:ascii="Times New Roman" w:hAnsi="Times New Roman" w:cs="Times New Roman"/>
        </w:rPr>
        <w:t xml:space="preserve"> et al.</w:t>
      </w:r>
      <w:r w:rsidR="002A3C32">
        <w:rPr>
          <w:rFonts w:ascii="Times New Roman" w:hAnsi="Times New Roman" w:cs="Times New Roman"/>
        </w:rPr>
        <w:t xml:space="preserve"> </w:t>
      </w:r>
      <w:r w:rsidR="00C10CD1">
        <w:rPr>
          <w:rFonts w:ascii="Times New Roman" w:hAnsi="Times New Roman" w:cs="Times New Roman"/>
        </w:rPr>
        <w:fldChar w:fldCharType="begin"/>
      </w:r>
      <w:r w:rsidR="00C10CD1">
        <w:rPr>
          <w:rFonts w:ascii="Times New Roman" w:hAnsi="Times New Roman" w:cs="Times New Roman"/>
        </w:rPr>
        <w:instrText xml:space="preserve"> ADDIN ZOTERO_ITEM CSL_CITATION {"citationID":"F3YWCUxB","properties":{"formattedCitation":"(2019)","plainCitation":"(2019)","noteIndex":0},"citationItems":[{"id":640,"uris":["http://zotero.org/users/728808/items/IGRSW4KK"],"uri":["http://zotero.org/users/728808/items/IGRSW4KK"],"itemData":{"id":640,"type":"article-journal","abstract":"This article asks if low political competition is associated with more restricted public procurement processes. Using unique Swedish municipal data from 2009 to 2015, it demonstrates that when one party dominates local politics, noncompetitive outcomes from public procurement processes are more common. What is most striking is that the risk of receiving only one bid, on what is intended to be an open and competitive tender, considerably increases with long-standing one-party rule. The article contributes to a significant body of work on the detrimental effects of low political competition, and the results are particularly interesting from a comparative perspective because Sweden—an old democracy with a meritocratic bureaucracy, characterized by low levels of corruption and clientelism—is a highly unlikely case in which to find such tendencies.","container-title":"Comparative Political Studies","DOI":"10.1177/0010414019830723","ISSN":"0010-4140","issue":"9","journalAbbreviation":"Comparative Political Studies","language":"en","page":"1259-1292","source":"SAGE Journals","title":"Political Competition and Public Procurement Outcomes","volume":"52","author":[{"family":"Broms","given":"Rasmus"},{"family":"Dahlström","given":"Carl"},{"family":"Fazekas","given":"Mihály"}],"issued":{"date-parts":[["2019",8,1]]}},"suppress-author":true}],"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(2019)</w:t>
      </w:r>
      <w:r w:rsidR="00C10CD1">
        <w:rPr>
          <w:rFonts w:ascii="Times New Roman" w:hAnsi="Times New Roman" w:cs="Times New Roman"/>
        </w:rPr>
        <w:fldChar w:fldCharType="end"/>
      </w:r>
      <w:r>
        <w:rPr>
          <w:rFonts w:ascii="Times New Roman" w:hAnsi="Times New Roman" w:cs="Times New Roman"/>
        </w:rPr>
        <w:t>, who uses</w:t>
      </w:r>
      <w:r w:rsidR="00F976A7">
        <w:rPr>
          <w:rFonts w:ascii="Times New Roman" w:hAnsi="Times New Roman" w:cs="Times New Roman"/>
        </w:rPr>
        <w:t xml:space="preserve"> competition in procurement as a measure of</w:t>
      </w:r>
      <w:r>
        <w:rPr>
          <w:rFonts w:ascii="Times New Roman" w:hAnsi="Times New Roman" w:cs="Times New Roman"/>
        </w:rPr>
        <w:t xml:space="preserve"> </w:t>
      </w:r>
      <w:r w:rsidR="009352F4">
        <w:rPr>
          <w:rFonts w:ascii="Times New Roman" w:hAnsi="Times New Roman" w:cs="Times New Roman"/>
        </w:rPr>
        <w:t xml:space="preserve">how </w:t>
      </w:r>
      <w:r w:rsidR="000F5DB9">
        <w:rPr>
          <w:rFonts w:ascii="Times New Roman" w:hAnsi="Times New Roman" w:cs="Times New Roman"/>
        </w:rPr>
        <w:t xml:space="preserve">partial the bureaucracy is – in </w:t>
      </w:r>
      <w:proofErr w:type="spellStart"/>
      <w:r w:rsidR="000F5DB9">
        <w:rPr>
          <w:rFonts w:ascii="Times New Roman" w:hAnsi="Times New Roman" w:cs="Times New Roman"/>
        </w:rPr>
        <w:t>essens</w:t>
      </w:r>
      <w:proofErr w:type="spellEnd"/>
      <w:r w:rsidR="000F5DB9">
        <w:rPr>
          <w:rFonts w:ascii="Times New Roman" w:hAnsi="Times New Roman" w:cs="Times New Roman"/>
        </w:rPr>
        <w:t xml:space="preserve"> a measure of low QoG. </w:t>
      </w:r>
    </w:p>
    <w:p w14:paraId="2D4808AE" w14:textId="3F81BF65" w:rsidR="00ED5FA2" w:rsidRPr="003F54DD" w:rsidRDefault="00ED5FA2" w:rsidP="00D81216">
      <w:pPr>
        <w:spacing w:line="360" w:lineRule="auto"/>
        <w:rPr>
          <w:rFonts w:ascii="Times New Roman" w:hAnsi="Times New Roman" w:cs="Times New Roman"/>
        </w:rPr>
      </w:pPr>
    </w:p>
    <w:p w14:paraId="6F986AC4" w14:textId="332F5260" w:rsidR="00ED5FA2" w:rsidRPr="003F54DD" w:rsidRDefault="00ED5FA2" w:rsidP="00D81216">
      <w:pPr>
        <w:spacing w:line="360" w:lineRule="auto"/>
        <w:rPr>
          <w:rFonts w:ascii="Times New Roman" w:hAnsi="Times New Roman" w:cs="Times New Roman"/>
        </w:rPr>
      </w:pPr>
      <w:r w:rsidRPr="003F54DD">
        <w:rPr>
          <w:rFonts w:ascii="Times New Roman" w:hAnsi="Times New Roman" w:cs="Times New Roman"/>
          <w:b/>
          <w:bCs/>
        </w:rPr>
        <w:t>Hypothesis</w:t>
      </w:r>
      <w:r w:rsidRPr="003F54DD">
        <w:rPr>
          <w:rFonts w:ascii="Times New Roman" w:hAnsi="Times New Roman" w:cs="Times New Roman"/>
        </w:rPr>
        <w:t xml:space="preserve">: In low QoG-settings, populist parties gaining power will increase corruption/decrease QoG in the short term. In High QoG-settings, the institutions are so established that in short term, nothing will happen. </w:t>
      </w:r>
    </w:p>
    <w:p w14:paraId="3977F050" w14:textId="494AF2D2" w:rsidR="00F91D53" w:rsidRPr="003F54DD" w:rsidRDefault="00F91D53" w:rsidP="00D81216">
      <w:pPr>
        <w:spacing w:line="360" w:lineRule="auto"/>
        <w:rPr>
          <w:rFonts w:ascii="Times New Roman" w:hAnsi="Times New Roman" w:cs="Times New Roman"/>
        </w:rPr>
      </w:pPr>
    </w:p>
    <w:p w14:paraId="0A1B42A8" w14:textId="60B2E100" w:rsidR="00075B9B" w:rsidRPr="003F54DD" w:rsidRDefault="00F91D53" w:rsidP="00075B9B">
      <w:pPr>
        <w:spacing w:line="360" w:lineRule="auto"/>
        <w:rPr>
          <w:rFonts w:ascii="Times New Roman" w:hAnsi="Times New Roman" w:cs="Times New Roman"/>
        </w:rPr>
      </w:pPr>
      <w:r w:rsidRPr="003F54DD">
        <w:rPr>
          <w:rFonts w:ascii="Times New Roman" w:hAnsi="Times New Roman" w:cs="Times New Roman"/>
          <w:b/>
          <w:bCs/>
        </w:rPr>
        <w:t>Unit of analysis:</w:t>
      </w:r>
      <w:r w:rsidRPr="003F54DD">
        <w:rPr>
          <w:rFonts w:ascii="Times New Roman" w:hAnsi="Times New Roman" w:cs="Times New Roman"/>
        </w:rPr>
        <w:t xml:space="preserve"> </w:t>
      </w:r>
      <w:r w:rsidR="00D641C2">
        <w:rPr>
          <w:rFonts w:ascii="Times New Roman" w:hAnsi="Times New Roman" w:cs="Times New Roman"/>
        </w:rPr>
        <w:t xml:space="preserve">Danish or Nordic municipalities. </w:t>
      </w:r>
      <w:r w:rsidR="002F4E74">
        <w:rPr>
          <w:rFonts w:ascii="Times New Roman" w:hAnsi="Times New Roman" w:cs="Times New Roman"/>
        </w:rPr>
        <w:t xml:space="preserve">Could maybe also be made into a multi-level analysis, if I combine municipal, regional and state levels, but I’m not versed enough in multi-level analysis to know if that is feasible. </w:t>
      </w:r>
      <w:r w:rsidR="00AA1460" w:rsidRPr="003F54DD">
        <w:rPr>
          <w:rFonts w:ascii="Times New Roman" w:hAnsi="Times New Roman" w:cs="Times New Roman"/>
        </w:rPr>
        <w:t xml:space="preserve"> </w:t>
      </w:r>
    </w:p>
    <w:p w14:paraId="6DBA8ADE" w14:textId="1EF50B12" w:rsidR="00486A96" w:rsidRDefault="00486A96" w:rsidP="00075B9B">
      <w:pPr>
        <w:spacing w:line="360" w:lineRule="auto"/>
        <w:rPr>
          <w:rFonts w:ascii="Times New Roman" w:hAnsi="Times New Roman" w:cs="Times New Roman"/>
        </w:rPr>
      </w:pPr>
    </w:p>
    <w:p w14:paraId="6DC0F014" w14:textId="56BC39B8" w:rsidR="00867801" w:rsidRPr="003F54DD" w:rsidRDefault="00867801" w:rsidP="00075B9B">
      <w:pPr>
        <w:spacing w:line="360" w:lineRule="auto"/>
        <w:rPr>
          <w:rFonts w:ascii="Times New Roman" w:hAnsi="Times New Roman" w:cs="Times New Roman"/>
        </w:rPr>
      </w:pPr>
      <w:r w:rsidRPr="005D056A">
        <w:rPr>
          <w:rFonts w:ascii="Times New Roman" w:hAnsi="Times New Roman" w:cs="Times New Roman"/>
          <w:b/>
          <w:bCs/>
        </w:rPr>
        <w:t>Method:</w:t>
      </w:r>
      <w:r>
        <w:rPr>
          <w:rFonts w:ascii="Times New Roman" w:hAnsi="Times New Roman" w:cs="Times New Roman"/>
        </w:rPr>
        <w:t xml:space="preserve"> Panel</w:t>
      </w:r>
      <w:r w:rsidR="005D056A">
        <w:rPr>
          <w:rFonts w:ascii="Times New Roman" w:hAnsi="Times New Roman" w:cs="Times New Roman"/>
        </w:rPr>
        <w:t>-data regression analysis</w:t>
      </w:r>
    </w:p>
    <w:p w14:paraId="36282027" w14:textId="566FBE64" w:rsidR="00E26B18" w:rsidRPr="003F54DD" w:rsidRDefault="00E26B18" w:rsidP="00075B9B">
      <w:pPr>
        <w:spacing w:line="360" w:lineRule="auto"/>
        <w:rPr>
          <w:rFonts w:ascii="Times New Roman" w:hAnsi="Times New Roman" w:cs="Times New Roman"/>
        </w:rPr>
      </w:pPr>
      <w:r w:rsidRPr="00593369">
        <w:rPr>
          <w:rFonts w:ascii="Times New Roman" w:hAnsi="Times New Roman" w:cs="Times New Roman"/>
          <w:b/>
          <w:bCs/>
        </w:rPr>
        <w:t>IV:</w:t>
      </w:r>
      <w:r w:rsidRPr="003F54DD">
        <w:rPr>
          <w:rFonts w:ascii="Times New Roman" w:hAnsi="Times New Roman" w:cs="Times New Roman"/>
        </w:rPr>
        <w:t xml:space="preserve"> </w:t>
      </w:r>
      <w:r w:rsidR="009F5A45">
        <w:rPr>
          <w:rFonts w:ascii="Times New Roman" w:hAnsi="Times New Roman" w:cs="Times New Roman"/>
        </w:rPr>
        <w:t>Dummy variable,</w:t>
      </w:r>
      <w:r w:rsidR="00593369">
        <w:rPr>
          <w:rFonts w:ascii="Times New Roman" w:hAnsi="Times New Roman" w:cs="Times New Roman"/>
        </w:rPr>
        <w:t xml:space="preserve"> Populist party in power or not</w:t>
      </w:r>
    </w:p>
    <w:p w14:paraId="09CA8AE9" w14:textId="287BA086" w:rsidR="00E26B18" w:rsidRPr="003F54DD" w:rsidRDefault="00E26B18" w:rsidP="00075B9B">
      <w:pPr>
        <w:spacing w:line="360" w:lineRule="auto"/>
        <w:rPr>
          <w:rFonts w:ascii="Times New Roman" w:hAnsi="Times New Roman" w:cs="Times New Roman"/>
        </w:rPr>
      </w:pPr>
      <w:r w:rsidRPr="00593369">
        <w:rPr>
          <w:rFonts w:ascii="Times New Roman" w:hAnsi="Times New Roman" w:cs="Times New Roman"/>
          <w:b/>
          <w:bCs/>
        </w:rPr>
        <w:t>DV:</w:t>
      </w:r>
      <w:r w:rsidRPr="003F54DD">
        <w:rPr>
          <w:rFonts w:ascii="Times New Roman" w:hAnsi="Times New Roman" w:cs="Times New Roman"/>
        </w:rPr>
        <w:t xml:space="preserve"> </w:t>
      </w:r>
      <w:r w:rsidR="004F537D">
        <w:rPr>
          <w:rFonts w:ascii="Times New Roman" w:hAnsi="Times New Roman" w:cs="Times New Roman"/>
        </w:rPr>
        <w:t>Procurement data, lagged</w:t>
      </w:r>
      <w:r w:rsidR="002A3C32">
        <w:rPr>
          <w:rFonts w:ascii="Times New Roman" w:hAnsi="Times New Roman" w:cs="Times New Roman"/>
        </w:rPr>
        <w:t xml:space="preserve"> in years after populist party came to power. </w:t>
      </w:r>
    </w:p>
    <w:p w14:paraId="3EB3711C" w14:textId="391D3D05" w:rsidR="00ED5FA2" w:rsidRDefault="00ED5FA2" w:rsidP="00D81216">
      <w:pPr>
        <w:spacing w:line="360" w:lineRule="auto"/>
        <w:rPr>
          <w:rFonts w:ascii="Times New Roman" w:hAnsi="Times New Roman" w:cs="Times New Roman"/>
        </w:rPr>
      </w:pPr>
    </w:p>
    <w:p w14:paraId="31BACD12" w14:textId="665A06BA" w:rsidR="005A3AF6" w:rsidRDefault="005A3AF6" w:rsidP="00D81216">
      <w:pPr>
        <w:spacing w:line="360" w:lineRule="auto"/>
        <w:rPr>
          <w:rFonts w:ascii="Times New Roman" w:hAnsi="Times New Roman" w:cs="Times New Roman"/>
        </w:rPr>
      </w:pPr>
    </w:p>
    <w:p w14:paraId="26C0E996" w14:textId="77777777" w:rsidR="005A3AF6" w:rsidRPr="003F54DD" w:rsidRDefault="005A3AF6" w:rsidP="00D81216">
      <w:pPr>
        <w:spacing w:line="360" w:lineRule="auto"/>
        <w:rPr>
          <w:rFonts w:ascii="Times New Roman" w:hAnsi="Times New Roman" w:cs="Times New Roman"/>
        </w:rPr>
      </w:pPr>
    </w:p>
    <w:p w14:paraId="37F10FD7" w14:textId="77777777" w:rsidR="00ED5FA2" w:rsidRPr="003F54DD" w:rsidRDefault="00ED5FA2" w:rsidP="00D81216">
      <w:pPr>
        <w:spacing w:line="360" w:lineRule="auto"/>
        <w:rPr>
          <w:rFonts w:ascii="Times New Roman" w:hAnsi="Times New Roman" w:cs="Times New Roman"/>
        </w:rPr>
      </w:pPr>
      <w:r w:rsidRPr="003F54DD">
        <w:rPr>
          <w:rFonts w:ascii="Times New Roman" w:hAnsi="Times New Roman" w:cs="Times New Roman"/>
          <w:b/>
          <w:bCs/>
        </w:rPr>
        <w:lastRenderedPageBreak/>
        <w:t>Problems</w:t>
      </w:r>
      <w:r w:rsidRPr="003F54DD">
        <w:rPr>
          <w:rFonts w:ascii="Times New Roman" w:hAnsi="Times New Roman" w:cs="Times New Roman"/>
        </w:rPr>
        <w:t>:</w:t>
      </w:r>
    </w:p>
    <w:p w14:paraId="7E1E8340" w14:textId="603BF7FB" w:rsidR="00ED5FA2" w:rsidRPr="003F54DD" w:rsidRDefault="00ED5FA2" w:rsidP="00D81216">
      <w:pPr>
        <w:pStyle w:val="ListParagraph"/>
        <w:numPr>
          <w:ilvl w:val="0"/>
          <w:numId w:val="1"/>
        </w:numPr>
        <w:spacing w:line="360" w:lineRule="auto"/>
        <w:rPr>
          <w:rFonts w:ascii="Times New Roman" w:hAnsi="Times New Roman" w:cs="Times New Roman"/>
        </w:rPr>
      </w:pPr>
      <w:r w:rsidRPr="003F54DD">
        <w:rPr>
          <w:rFonts w:ascii="Times New Roman" w:hAnsi="Times New Roman" w:cs="Times New Roman"/>
        </w:rPr>
        <w:t>Hard to find good datasets on populist parties</w:t>
      </w:r>
      <w:r w:rsidR="001B63AB" w:rsidRPr="003F54DD">
        <w:rPr>
          <w:rFonts w:ascii="Times New Roman" w:hAnsi="Times New Roman" w:cs="Times New Roman"/>
        </w:rPr>
        <w:t>, especially on lower levels</w:t>
      </w:r>
    </w:p>
    <w:p w14:paraId="7A975462" w14:textId="1EFD5D3C" w:rsidR="00ED5FA2" w:rsidRPr="003F54DD" w:rsidRDefault="00ED5FA2" w:rsidP="001B63AB">
      <w:pPr>
        <w:pStyle w:val="ListParagraph"/>
        <w:numPr>
          <w:ilvl w:val="0"/>
          <w:numId w:val="1"/>
        </w:numPr>
        <w:spacing w:line="360" w:lineRule="auto"/>
        <w:rPr>
          <w:rFonts w:ascii="Times New Roman" w:hAnsi="Times New Roman" w:cs="Times New Roman"/>
        </w:rPr>
      </w:pPr>
      <w:r w:rsidRPr="003F54DD">
        <w:rPr>
          <w:rFonts w:ascii="Times New Roman" w:hAnsi="Times New Roman" w:cs="Times New Roman"/>
        </w:rPr>
        <w:t>Hard to establish when a populist party gains power</w:t>
      </w:r>
      <w:r w:rsidR="00122B78" w:rsidRPr="003F54DD">
        <w:rPr>
          <w:rFonts w:ascii="Times New Roman" w:hAnsi="Times New Roman" w:cs="Times New Roman"/>
        </w:rPr>
        <w:t>. Do they have to be in a governing coalition, or</w:t>
      </w:r>
      <w:r w:rsidR="00F13D64" w:rsidRPr="003F54DD">
        <w:rPr>
          <w:rFonts w:ascii="Times New Roman" w:hAnsi="Times New Roman" w:cs="Times New Roman"/>
        </w:rPr>
        <w:t xml:space="preserve"> govern by themselves?</w:t>
      </w:r>
    </w:p>
    <w:p w14:paraId="47110F22" w14:textId="51CDD511" w:rsidR="00D32366" w:rsidRDefault="00D32366" w:rsidP="00D81216">
      <w:pPr>
        <w:pStyle w:val="ListParagraph"/>
        <w:numPr>
          <w:ilvl w:val="0"/>
          <w:numId w:val="1"/>
        </w:numPr>
        <w:spacing w:line="360" w:lineRule="auto"/>
        <w:rPr>
          <w:rFonts w:ascii="Times New Roman" w:hAnsi="Times New Roman" w:cs="Times New Roman"/>
        </w:rPr>
      </w:pPr>
      <w:r w:rsidRPr="003F54DD">
        <w:rPr>
          <w:rFonts w:ascii="Times New Roman" w:hAnsi="Times New Roman" w:cs="Times New Roman"/>
        </w:rPr>
        <w:t>How to deal with “normal” parties with populist streaks?</w:t>
      </w:r>
    </w:p>
    <w:p w14:paraId="6073C225" w14:textId="4510F093" w:rsidR="005A3AF6" w:rsidRPr="003F54DD" w:rsidRDefault="005A3AF6" w:rsidP="00D81216">
      <w:pPr>
        <w:pStyle w:val="ListParagraph"/>
        <w:numPr>
          <w:ilvl w:val="0"/>
          <w:numId w:val="1"/>
        </w:numPr>
        <w:spacing w:line="360" w:lineRule="auto"/>
        <w:rPr>
          <w:rFonts w:ascii="Times New Roman" w:hAnsi="Times New Roman" w:cs="Times New Roman"/>
        </w:rPr>
      </w:pPr>
      <w:r>
        <w:rPr>
          <w:rFonts w:ascii="Times New Roman" w:hAnsi="Times New Roman" w:cs="Times New Roman"/>
        </w:rPr>
        <w:t>How to deal with</w:t>
      </w:r>
      <w:r w:rsidR="0014531C">
        <w:rPr>
          <w:rFonts w:ascii="Times New Roman" w:hAnsi="Times New Roman" w:cs="Times New Roman"/>
        </w:rPr>
        <w:t xml:space="preserve"> governing coalitions? On local level, the “deal” is often under the table.</w:t>
      </w:r>
    </w:p>
    <w:p w14:paraId="2F066EC8" w14:textId="75F42810" w:rsidR="00D32366" w:rsidRDefault="00D32366" w:rsidP="00D81216">
      <w:pPr>
        <w:spacing w:line="360" w:lineRule="auto"/>
        <w:rPr>
          <w:rFonts w:ascii="Times New Roman" w:hAnsi="Times New Roman" w:cs="Times New Roman"/>
        </w:rPr>
      </w:pPr>
      <w:bookmarkStart w:id="0" w:name="_GoBack"/>
      <w:bookmarkEnd w:id="0"/>
    </w:p>
    <w:p w14:paraId="47CAD690" w14:textId="77777777" w:rsidR="006E06ED" w:rsidRPr="003F54DD" w:rsidRDefault="006E06ED" w:rsidP="00D81216">
      <w:pPr>
        <w:spacing w:line="360" w:lineRule="auto"/>
        <w:rPr>
          <w:rFonts w:ascii="Times New Roman" w:hAnsi="Times New Roman" w:cs="Times New Roman"/>
        </w:rPr>
      </w:pPr>
    </w:p>
    <w:p w14:paraId="0DBE541F" w14:textId="21AD64EB" w:rsidR="00D32366" w:rsidRPr="003F54DD" w:rsidRDefault="00D32366" w:rsidP="00D81216">
      <w:pPr>
        <w:spacing w:line="360" w:lineRule="auto"/>
        <w:rPr>
          <w:rFonts w:ascii="Times New Roman" w:hAnsi="Times New Roman" w:cs="Times New Roman"/>
          <w:b/>
          <w:bCs/>
        </w:rPr>
      </w:pPr>
      <w:r w:rsidRPr="003F54DD">
        <w:rPr>
          <w:rFonts w:ascii="Times New Roman" w:hAnsi="Times New Roman" w:cs="Times New Roman"/>
          <w:b/>
          <w:bCs/>
        </w:rPr>
        <w:t>Previous research:</w:t>
      </w:r>
    </w:p>
    <w:p w14:paraId="31285CD9" w14:textId="080C30DC" w:rsidR="001B63AB" w:rsidRPr="003F54DD" w:rsidRDefault="00D32366" w:rsidP="00D81216">
      <w:pPr>
        <w:spacing w:line="360" w:lineRule="auto"/>
        <w:rPr>
          <w:rFonts w:ascii="Times New Roman" w:hAnsi="Times New Roman" w:cs="Times New Roman"/>
        </w:rPr>
      </w:pPr>
      <w:proofErr w:type="spellStart"/>
      <w:r w:rsidRPr="003F54DD">
        <w:rPr>
          <w:rFonts w:ascii="Times New Roman" w:hAnsi="Times New Roman" w:cs="Times New Roman"/>
        </w:rPr>
        <w:t>Agerberg</w:t>
      </w:r>
      <w:proofErr w:type="spellEnd"/>
      <w:r w:rsidRPr="003F54DD">
        <w:rPr>
          <w:rFonts w:ascii="Times New Roman" w:hAnsi="Times New Roman" w:cs="Times New Roman"/>
        </w:rPr>
        <w:t xml:space="preserve"> </w:t>
      </w:r>
      <w:r w:rsidR="00C10CD1">
        <w:rPr>
          <w:rFonts w:ascii="Times New Roman" w:hAnsi="Times New Roman" w:cs="Times New Roman"/>
        </w:rPr>
        <w:fldChar w:fldCharType="begin"/>
      </w:r>
      <w:r w:rsidR="00C10CD1">
        <w:rPr>
          <w:rFonts w:ascii="Times New Roman" w:hAnsi="Times New Roman" w:cs="Times New Roman"/>
        </w:rPr>
        <w:instrText xml:space="preserve"> ADDIN ZOTERO_ITEM CSL_CITATION {"citationID":"ENMCt0A8","properties":{"formattedCitation":"(2017)","plainCitation":"(2017)","noteIndex":0},"citationItems":[{"id":630,"uris":["http://zotero.org/users/728808/items/F6AIINUD"],"uri":["http://zotero.org/users/728808/items/F6AIINUD"],"itemData":{"id":630,"type":"article-journal","abstract":"This article addresses an issue previously neglected in the research on support for populist parties: How do perceptions of the local quality of government (QoG) and local service delivery affect voters’ propensity to vote for a populist party? It argues that personal experience with poor QoG makes voters more likely to support populist parties. The argument highlights the interplay between supply and demand factors in explaining populist support and discusses why populist parties have been particularly successful in certain regions in Europe. A unique dataset from the Quality of Government Institute that surveys citizens’ perception of QoG in their area is used to estimate both individual- and regional-level models of the link between perceived local QoG and populist support in Europe. The empirical results show a strong and robust association between within-country variation in QoG and support for populist parties.","container-title":"European Journal of Political Research","DOI":"10.1111/1475-6765.12203","ISSN":"1475-6765","issue":"3","language":"en","page":"578-600","source":"Wiley Online Library","title":"Failed expectations: Quality of government and support for populist parties in Europe","title-short":"Failed expectations","volume":"56","author":[{"family":"Agerberg","given":"Mattias"}],"issued":{"date-parts":[["2017"]]}},"suppress-author":true}],"schema":"https://github.com/citation-style-language/schema/raw/master/csl-citation.json"}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(2017)</w:t>
      </w:r>
      <w:r w:rsidR="00C10CD1">
        <w:rPr>
          <w:rFonts w:ascii="Times New Roman" w:hAnsi="Times New Roman" w:cs="Times New Roman"/>
        </w:rPr>
        <w:fldChar w:fldCharType="end"/>
      </w:r>
      <w:r w:rsidRPr="003F54DD">
        <w:rPr>
          <w:rFonts w:ascii="Times New Roman" w:hAnsi="Times New Roman" w:cs="Times New Roman"/>
        </w:rPr>
        <w:t xml:space="preserve"> argues that a perceived low QoG increases support for populist parties. However, as </w:t>
      </w:r>
      <w:proofErr w:type="spellStart"/>
      <w:r w:rsidRPr="003F54DD">
        <w:rPr>
          <w:rFonts w:ascii="Times New Roman" w:hAnsi="Times New Roman" w:cs="Times New Roman"/>
        </w:rPr>
        <w:t>Manucchi</w:t>
      </w:r>
      <w:proofErr w:type="spellEnd"/>
      <w:r w:rsidRPr="003F54DD">
        <w:rPr>
          <w:rFonts w:ascii="Times New Roman" w:hAnsi="Times New Roman" w:cs="Times New Roman"/>
        </w:rPr>
        <w:t xml:space="preserve"> &amp; </w:t>
      </w:r>
      <w:proofErr w:type="spellStart"/>
      <w:r w:rsidRPr="003F54DD">
        <w:rPr>
          <w:rFonts w:ascii="Times New Roman" w:hAnsi="Times New Roman" w:cs="Times New Roman"/>
        </w:rPr>
        <w:t>Amsler</w:t>
      </w:r>
      <w:proofErr w:type="spellEnd"/>
      <w:r w:rsidRPr="003F54DD">
        <w:rPr>
          <w:rFonts w:ascii="Times New Roman" w:hAnsi="Times New Roman" w:cs="Times New Roman"/>
        </w:rPr>
        <w:t xml:space="preserve"> </w:t>
      </w:r>
      <w:r w:rsidR="00C10CD1">
        <w:rPr>
          <w:rFonts w:ascii="Times New Roman" w:hAnsi="Times New Roman" w:cs="Times New Roman"/>
        </w:rPr>
        <w:fldChar w:fldCharType="begin"/>
      </w:r>
      <w:r w:rsidR="00C10CD1">
        <w:rPr>
          <w:rFonts w:ascii="Times New Roman" w:hAnsi="Times New Roman" w:cs="Times New Roman"/>
        </w:rPr>
        <w:instrText xml:space="preserve"> ADDIN ZOTERO_ITEM CSL_CITATION {"citationID":"oE2iwo9x","properties":{"formattedCitation":"(2018)","plainCitation":"(2018)","noteIndex":0},"citationItems":[{"id":633,"uris":["http://zotero.org/users/728808/items/57H4UIJC"],"uri":["http://zotero.org/users/728808/items/57H4UIJC"],"itemData":{"id":633,"type":"article-journal","abstract":"The paper focusses on the online political discourse of the Five Star Movement (5SM) and its strategic adaptability. The main goal of the analysis is to establish how salient several topics are over time in order to test the party’s ideological flexibility. Indeed, 5SM’s post-ideological approach and its emphasis on direct-democratic tools might constitute a winning formula for other populist parties willing to exploit the crisis of the mainstream parties and representation. The paper, through an automated content analysis, tracks the longitudinal evolution of the salience of the topics addressed by 5SM on the party’s blog. This allows us to establish which topics are at the core of the party’s message and which, on the other hand, have been raised strategically over time. Results show that 5SM’s discourse is very flexible and adaptable: it devotes a large space to the importance of direct democracy while flexibly addressing different topics depending on the political and social context.","container-title":"Italian Political Science Review / Rivista Italiana di Scienza Politica","DOI":"10.1017/ipo.2017.23","ISSN":"0048-8402, 2057-4908","issue":"1","language":"en","page":"109-132","source":"Cambridge Core","title":"Where the wind blows: Five Star Movement’s populism, direct democracy and ideological flexibility","title-short":"Where the wind blows","volume":"48","author":[{"family":"Manucci","given":"Luca"},{"family":"Amsler","given":"Michi"}],"issued":{"date-parts":[["2018",3]]}},"suppress-author":true}],"schema":"https://github.com/citation-style-language/schema/raw/master/csl-citation.json"}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(2018)</w:t>
      </w:r>
      <w:r w:rsidR="00C10CD1">
        <w:rPr>
          <w:rFonts w:ascii="Times New Roman" w:hAnsi="Times New Roman" w:cs="Times New Roman"/>
        </w:rPr>
        <w:fldChar w:fldCharType="end"/>
      </w:r>
      <w:r w:rsidRPr="003F54DD">
        <w:rPr>
          <w:rFonts w:ascii="Times New Roman" w:hAnsi="Times New Roman" w:cs="Times New Roman"/>
        </w:rPr>
        <w:t xml:space="preserve"> points out, populist parties not only look very different, they have different types of ideologies.  But common to all populist parties, the focus is on responsiveness to the electorate, while the bureaucracy have a stronger focus on responsibility, as argued by </w:t>
      </w:r>
      <w:proofErr w:type="spellStart"/>
      <w:r w:rsidRPr="003F54DD">
        <w:rPr>
          <w:rFonts w:ascii="Times New Roman" w:hAnsi="Times New Roman" w:cs="Times New Roman"/>
        </w:rPr>
        <w:t>Caramani</w:t>
      </w:r>
      <w:proofErr w:type="spellEnd"/>
      <w:r w:rsidRPr="003F54DD">
        <w:rPr>
          <w:rFonts w:ascii="Times New Roman" w:hAnsi="Times New Roman" w:cs="Times New Roman"/>
        </w:rPr>
        <w:t xml:space="preserve"> </w:t>
      </w:r>
      <w:r w:rsidR="00C10CD1">
        <w:rPr>
          <w:rFonts w:ascii="Times New Roman" w:hAnsi="Times New Roman" w:cs="Times New Roman"/>
        </w:rPr>
        <w:fldChar w:fldCharType="begin"/>
      </w:r>
      <w:r w:rsidR="00C10CD1">
        <w:rPr>
          <w:rFonts w:ascii="Times New Roman" w:hAnsi="Times New Roman" w:cs="Times New Roman"/>
        </w:rPr>
        <w:instrText xml:space="preserve"> ADDIN ZOTERO_ITEM CSL_CITATION {"citationID":"AH3r0gYJ","properties":{"formattedCitation":"(2017)","plainCitation":"(2017)","noteIndex":0},"citationItems":[{"id":636,"uris":["http://zotero.org/users/728808/items/HZQJLREK"],"uri":["http://zotero.org/users/728808/items/HZQJLREK"],"itemData":{"id":636,"type":"article-journal","abstract":"The article compares analytically populism and technocracy as alternative forms of political representation to party government. It argues that populist and technocratic principles of representation challenge fundamental features of party democracy. The two alternative forms of representation are addressed theoretically from the perspective of political representation. First, the article identifies the commonalities between the two forms of representation: both populism and technocracy are based on a unitary, nonpluralist, unmediated, and unaccountable vision of society's general interest. Second, it highlights their differences. Technocracy stresses responsibility and requires voters to entrust authority to experts who identify the general interest from rational speculation. Populism stresses responsiveness and requires voters to delegate authority to leaders who equate the general interest with a putative will of the people. While the populist form of representation has received considerable attention, the technocratic one has been neglected. The article presents a more complete picture of the analytical relationship between them.","container-title":"American Political Science Review","DOI":"10.1017/S0003055416000538","ISSN":"0003-0554, 1537-5943","issue":"1","language":"en","page":"54-67","source":"Cambridge Core","title":"Will vs. Reason: The Populist and Technocratic Forms of Political Representation and Their Critique to Party Government","title-short":"Will vs. Reason","volume":"111","author":[{"family":"Caramani","given":"Daniele"}],"issued":{"date-parts":[["2017",2]]}},"suppress-author":true}],"schema":"https://github.com/citation-style-language/schema/raw/master/csl-citation.json"}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(2017)</w:t>
      </w:r>
      <w:r w:rsidR="00C10CD1">
        <w:rPr>
          <w:rFonts w:ascii="Times New Roman" w:hAnsi="Times New Roman" w:cs="Times New Roman"/>
        </w:rPr>
        <w:fldChar w:fldCharType="end"/>
      </w:r>
      <w:r w:rsidRPr="003F54DD">
        <w:rPr>
          <w:rFonts w:ascii="Times New Roman" w:hAnsi="Times New Roman" w:cs="Times New Roman"/>
        </w:rPr>
        <w:t xml:space="preserve">. </w:t>
      </w:r>
      <w:r w:rsidR="001B63AB" w:rsidRPr="003F54DD">
        <w:rPr>
          <w:rFonts w:ascii="Times New Roman" w:hAnsi="Times New Roman" w:cs="Times New Roman"/>
        </w:rPr>
        <w:t xml:space="preserve">Cornell and Grimes </w:t>
      </w:r>
      <w:r w:rsidR="00C10CD1">
        <w:rPr>
          <w:rFonts w:ascii="Times New Roman" w:hAnsi="Times New Roman" w:cs="Times New Roman"/>
        </w:rPr>
        <w:fldChar w:fldCharType="begin"/>
      </w:r>
      <w:r w:rsidR="00C10CD1">
        <w:rPr>
          <w:rFonts w:ascii="Times New Roman" w:hAnsi="Times New Roman" w:cs="Times New Roman"/>
        </w:rPr>
        <w:instrText xml:space="preserve"> ADDIN ZOTERO_ITEM CSL_CITATION {"citationID":"XZ9tqHr3","properties":{"formattedCitation":"(2015)","plainCitation":"(2015)","noteIndex":0},"citationItems":[{"id":628,"uris":["http://zotero.org/users/728808/items/IS7UGP7L"],"uri":["http://zotero.org/users/728808/items/IS7UGP7L"],"itemData":{"id":628,"type":"article-journal","abstract":"This paper examines the link between political control of government bureaucracies and citizens’ likelihood to stage disruptive protests. A public administration heavily controlled by politicians, and staffed to a large extent with political appointees, allows politicians to intervene in policy implementation and favor some groups over others in terms of access to public services. Such a system may induce citizens or civic associations to resort to disruptive actions to express demands and demonstrate political relevance, and thereby secure access to public goods. The effects are hypothesized to be more pronounced where civil society is stronger. We test the arguments empirically on data from 19 countries in Latin America and the Caribbean, and the findings are consistent with the hypotheses.","container-title":"The Journal of Politics","DOI":"10.1086/681058","ISSN":"0022-3816","issue":"3","page":"664-678","source":"JSTOR","title":"Institutions as Incentives for Civic Action: Bureaucratic Structures, Civil Society, and Disruptive Protests","title-short":"Institutions as Incentives for Civic Action","volume":"77","author":[{"family":"Cornell","given":"Agnes"},{"family":"Grimes","given":"Marcia"}],"issued":{"date-parts":[["2015"]]}},"suppress-author":true}],"schema":"https://github.com/citation-style-language/schema/raw/master/csl-citation.json"} </w:instrText>
      </w:r>
      <w:r w:rsidR="00C10CD1">
        <w:rPr>
          <w:rFonts w:ascii="Times New Roman" w:hAnsi="Times New Roman" w:cs="Times New Roman"/>
        </w:rPr>
        <w:fldChar w:fldCharType="separate"/>
      </w:r>
      <w:r w:rsidR="00EC5429">
        <w:rPr>
          <w:rFonts w:ascii="Times New Roman" w:hAnsi="Times New Roman" w:cs="Times New Roman"/>
          <w:noProof/>
        </w:rPr>
        <w:t>(2015)</w:t>
      </w:r>
      <w:r w:rsidR="00C10CD1">
        <w:rPr>
          <w:rFonts w:ascii="Times New Roman" w:hAnsi="Times New Roman" w:cs="Times New Roman"/>
        </w:rPr>
        <w:fldChar w:fldCharType="end"/>
      </w:r>
      <w:r w:rsidR="001B63AB" w:rsidRPr="003F54DD">
        <w:rPr>
          <w:rFonts w:ascii="Times New Roman" w:hAnsi="Times New Roman" w:cs="Times New Roman"/>
        </w:rPr>
        <w:t xml:space="preserve"> points to the effects on civil society, and argues that when civil society organisations do not align with the ruling party in a highly politicised bureaucracy, they get disruptive with an increase in protests as a general tactic. </w:t>
      </w:r>
    </w:p>
    <w:p w14:paraId="3EA8005D" w14:textId="24509937" w:rsidR="001B63AB" w:rsidRPr="003F54DD" w:rsidRDefault="001B63AB" w:rsidP="00D81216">
      <w:pPr>
        <w:spacing w:line="360" w:lineRule="auto"/>
        <w:rPr>
          <w:rFonts w:ascii="Times New Roman" w:hAnsi="Times New Roman" w:cs="Times New Roman"/>
        </w:rPr>
      </w:pPr>
    </w:p>
    <w:p w14:paraId="3D537EE7" w14:textId="77777777" w:rsidR="00AA1460" w:rsidRPr="003F54DD" w:rsidRDefault="00AA1460">
      <w:pPr>
        <w:rPr>
          <w:rFonts w:ascii="Times New Roman" w:hAnsi="Times New Roman" w:cs="Times New Roman"/>
          <w:b/>
          <w:bCs/>
        </w:rPr>
      </w:pPr>
      <w:r w:rsidRPr="003F54DD">
        <w:rPr>
          <w:rFonts w:ascii="Times New Roman" w:hAnsi="Times New Roman" w:cs="Times New Roman"/>
          <w:b/>
          <w:bCs/>
        </w:rPr>
        <w:br w:type="page"/>
      </w:r>
    </w:p>
    <w:p w14:paraId="4312A181" w14:textId="14092169" w:rsidR="001B63AB" w:rsidRPr="003F54DD" w:rsidRDefault="001B63AB" w:rsidP="00D81216">
      <w:pPr>
        <w:spacing w:line="360" w:lineRule="auto"/>
        <w:rPr>
          <w:rFonts w:ascii="Times New Roman" w:hAnsi="Times New Roman" w:cs="Times New Roman"/>
          <w:b/>
          <w:bCs/>
        </w:rPr>
      </w:pPr>
      <w:proofErr w:type="spellStart"/>
      <w:r w:rsidRPr="003F54DD">
        <w:rPr>
          <w:rFonts w:ascii="Times New Roman" w:hAnsi="Times New Roman" w:cs="Times New Roman"/>
          <w:b/>
          <w:bCs/>
        </w:rPr>
        <w:lastRenderedPageBreak/>
        <w:t>Litterature</w:t>
      </w:r>
      <w:proofErr w:type="spellEnd"/>
    </w:p>
    <w:p w14:paraId="7FC8B366" w14:textId="77777777" w:rsidR="00EC5429" w:rsidRPr="00EC5429" w:rsidRDefault="001B63AB" w:rsidP="00EC5429">
      <w:pPr>
        <w:pStyle w:val="Bibliography"/>
        <w:rPr>
          <w:rFonts w:ascii="Times New Roman" w:hAnsi="Times New Roman" w:cs="Times New Roman"/>
        </w:rPr>
      </w:pPr>
      <w:r w:rsidRPr="003F54DD">
        <w:fldChar w:fldCharType="begin"/>
      </w:r>
      <w:r w:rsidR="00EC5429">
        <w:instrText xml:space="preserve"> ADDIN ZOTERO_BIBL {"uncited":[],"omitted":[],"custom":[]} CSL_BIBLIOGRAPHY </w:instrText>
      </w:r>
      <w:r w:rsidRPr="003F54DD">
        <w:fldChar w:fldCharType="separate"/>
      </w:r>
      <w:r w:rsidR="00EC5429" w:rsidRPr="00EC5429">
        <w:rPr>
          <w:rFonts w:ascii="Times New Roman" w:hAnsi="Times New Roman" w:cs="Times New Roman"/>
        </w:rPr>
        <w:t xml:space="preserve">Acemoglu, Daron, Simon Johnson, and James A. Robinson. 2002. ‘Reversal of Fortune: Geography and Institutions in the Making of the Modern World Income Distribution’. </w:t>
      </w:r>
      <w:r w:rsidR="00EC5429" w:rsidRPr="00EC5429">
        <w:rPr>
          <w:rFonts w:ascii="Times New Roman" w:hAnsi="Times New Roman" w:cs="Times New Roman"/>
          <w:i/>
          <w:iCs/>
        </w:rPr>
        <w:t>The Quarterly Journal of Economics</w:t>
      </w:r>
      <w:r w:rsidR="00EC5429" w:rsidRPr="00EC5429">
        <w:rPr>
          <w:rFonts w:ascii="Times New Roman" w:hAnsi="Times New Roman" w:cs="Times New Roman"/>
        </w:rPr>
        <w:t xml:space="preserve"> 117 (4): 1231–1294. https://doi.org/10.1162/003355302320935025.</w:t>
      </w:r>
    </w:p>
    <w:p w14:paraId="5197488A"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Agerberg, Mattias. 2017. ‘Failed Expectations: Quality of Government and Support for Populist Parties in Europe’. </w:t>
      </w:r>
      <w:r w:rsidRPr="00EC5429">
        <w:rPr>
          <w:rFonts w:ascii="Times New Roman" w:hAnsi="Times New Roman" w:cs="Times New Roman"/>
          <w:i/>
          <w:iCs/>
        </w:rPr>
        <w:t>European Journal of Political Research</w:t>
      </w:r>
      <w:r w:rsidRPr="00EC5429">
        <w:rPr>
          <w:rFonts w:ascii="Times New Roman" w:hAnsi="Times New Roman" w:cs="Times New Roman"/>
        </w:rPr>
        <w:t xml:space="preserve"> 56 (3): 578–600. https://doi.org/10.1111/1475-6765.12203.</w:t>
      </w:r>
    </w:p>
    <w:p w14:paraId="33C6B2F8"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Broms, Rasmus, Carl Dahlström, and Mihály Fazekas. 2019. ‘Political Competition and Public Procurement Outcomes’. </w:t>
      </w:r>
      <w:r w:rsidRPr="00EC5429">
        <w:rPr>
          <w:rFonts w:ascii="Times New Roman" w:hAnsi="Times New Roman" w:cs="Times New Roman"/>
          <w:i/>
          <w:iCs/>
        </w:rPr>
        <w:t>Comparative Political Studies</w:t>
      </w:r>
      <w:r w:rsidRPr="00EC5429">
        <w:rPr>
          <w:rFonts w:ascii="Times New Roman" w:hAnsi="Times New Roman" w:cs="Times New Roman"/>
        </w:rPr>
        <w:t xml:space="preserve"> 52 (9): 1259–92. https://doi.org/10.1177/0010414019830723.</w:t>
      </w:r>
    </w:p>
    <w:p w14:paraId="68CCAFF4"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Caramani, Daniele. 2017. ‘Will vs. Reason: The Populist and Technocratic Forms of Political Representation and Their Critique to Party Government’. </w:t>
      </w:r>
      <w:r w:rsidRPr="00EC5429">
        <w:rPr>
          <w:rFonts w:ascii="Times New Roman" w:hAnsi="Times New Roman" w:cs="Times New Roman"/>
          <w:i/>
          <w:iCs/>
        </w:rPr>
        <w:t>American Political Science Review</w:t>
      </w:r>
      <w:r w:rsidRPr="00EC5429">
        <w:rPr>
          <w:rFonts w:ascii="Times New Roman" w:hAnsi="Times New Roman" w:cs="Times New Roman"/>
        </w:rPr>
        <w:t xml:space="preserve"> 111 (1): 54–67. https://doi.org/10.1017/S0003055416000538.</w:t>
      </w:r>
    </w:p>
    <w:p w14:paraId="0F871802"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Cornell, Agnes, and Marcia Grimes. 2015. ‘Institutions as Incentives for Civic Action: Bureaucratic Structures, Civil Society, and Disruptive Protests’. </w:t>
      </w:r>
      <w:r w:rsidRPr="00EC5429">
        <w:rPr>
          <w:rFonts w:ascii="Times New Roman" w:hAnsi="Times New Roman" w:cs="Times New Roman"/>
          <w:i/>
          <w:iCs/>
        </w:rPr>
        <w:t>The Journal of Politics</w:t>
      </w:r>
      <w:r w:rsidRPr="00EC5429">
        <w:rPr>
          <w:rFonts w:ascii="Times New Roman" w:hAnsi="Times New Roman" w:cs="Times New Roman"/>
        </w:rPr>
        <w:t xml:space="preserve"> 77 (3): 664–78. https://doi.org/10.1086/681058.</w:t>
      </w:r>
    </w:p>
    <w:p w14:paraId="4CB0BB93"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Dahlström, Carl, Victor Lapuente, and Jan Teorell. 2012. ‘The Merit of Meritocratization: Politics, Bureaucracy, and the Institutional Deterrents of Corruption’. </w:t>
      </w:r>
      <w:r w:rsidRPr="00EC5429">
        <w:rPr>
          <w:rFonts w:ascii="Times New Roman" w:hAnsi="Times New Roman" w:cs="Times New Roman"/>
          <w:i/>
          <w:iCs/>
        </w:rPr>
        <w:t>Political Research Quarterly</w:t>
      </w:r>
      <w:r w:rsidRPr="00EC5429">
        <w:rPr>
          <w:rFonts w:ascii="Times New Roman" w:hAnsi="Times New Roman" w:cs="Times New Roman"/>
        </w:rPr>
        <w:t xml:space="preserve"> 65 (3): 656–68. https://doi.org/10.1177/1065912911408109.</w:t>
      </w:r>
    </w:p>
    <w:p w14:paraId="3318CEBE"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Manucci, Luca, and Michi Amsler. 2018. ‘Where the Wind Blows: Five Star Movement’s Populism, Direct Democracy and Ideological Flexibility’. </w:t>
      </w:r>
      <w:r w:rsidRPr="00EC5429">
        <w:rPr>
          <w:rFonts w:ascii="Times New Roman" w:hAnsi="Times New Roman" w:cs="Times New Roman"/>
          <w:i/>
          <w:iCs/>
        </w:rPr>
        <w:t>Italian Political Science Review / Rivista Italiana Di Scienza Politica</w:t>
      </w:r>
      <w:r w:rsidRPr="00EC5429">
        <w:rPr>
          <w:rFonts w:ascii="Times New Roman" w:hAnsi="Times New Roman" w:cs="Times New Roman"/>
        </w:rPr>
        <w:t xml:space="preserve"> 48 (1): 109–32. https://doi.org/10.1017/ipo.2017.23.</w:t>
      </w:r>
    </w:p>
    <w:p w14:paraId="59C02EC8" w14:textId="77777777" w:rsidR="00EC5429" w:rsidRPr="00EC5429" w:rsidRDefault="00EC5429" w:rsidP="00EC5429">
      <w:pPr>
        <w:pStyle w:val="Bibliography"/>
        <w:rPr>
          <w:rFonts w:ascii="Times New Roman" w:hAnsi="Times New Roman" w:cs="Times New Roman"/>
        </w:rPr>
      </w:pPr>
      <w:r w:rsidRPr="00EC5429">
        <w:rPr>
          <w:rFonts w:ascii="Times New Roman" w:hAnsi="Times New Roman" w:cs="Times New Roman"/>
        </w:rPr>
        <w:t xml:space="preserve">Nistotskaya, Marina, and Luciana Cingolani. 2016. ‘Bureaucratic Structure, Regulatory Quality, and Entrepreneurship in a Comparative Perspective: Cross-Sectional and Panel Data Evidence’. </w:t>
      </w:r>
      <w:r w:rsidRPr="00EC5429">
        <w:rPr>
          <w:rFonts w:ascii="Times New Roman" w:hAnsi="Times New Roman" w:cs="Times New Roman"/>
          <w:i/>
          <w:iCs/>
        </w:rPr>
        <w:t>Journal of Public Administration Research and Theory</w:t>
      </w:r>
      <w:r w:rsidRPr="00EC5429">
        <w:rPr>
          <w:rFonts w:ascii="Times New Roman" w:hAnsi="Times New Roman" w:cs="Times New Roman"/>
        </w:rPr>
        <w:t xml:space="preserve"> 26 (3): 519–34. https://doi.org/10.1093/jopart/muv026.</w:t>
      </w:r>
    </w:p>
    <w:p w14:paraId="14055687" w14:textId="7928E352" w:rsidR="00D32366" w:rsidRPr="003F54DD" w:rsidRDefault="001B63AB" w:rsidP="00D81216">
      <w:pPr>
        <w:spacing w:line="360" w:lineRule="auto"/>
        <w:rPr>
          <w:rFonts w:ascii="Times New Roman" w:hAnsi="Times New Roman" w:cs="Times New Roman"/>
        </w:rPr>
      </w:pPr>
      <w:r w:rsidRPr="003F54DD">
        <w:rPr>
          <w:rFonts w:ascii="Times New Roman" w:hAnsi="Times New Roman" w:cs="Times New Roman"/>
        </w:rPr>
        <w:fldChar w:fldCharType="end"/>
      </w:r>
    </w:p>
    <w:sectPr w:rsidR="00D32366" w:rsidRPr="003F54DD" w:rsidSect="00CD6E4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A0ADC" w14:textId="77777777" w:rsidR="00BB263F" w:rsidRDefault="00BB263F" w:rsidP="00AA1460">
      <w:r>
        <w:separator/>
      </w:r>
    </w:p>
  </w:endnote>
  <w:endnote w:type="continuationSeparator" w:id="0">
    <w:p w14:paraId="25185976" w14:textId="77777777" w:rsidR="00BB263F" w:rsidRDefault="00BB263F" w:rsidP="00AA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21BFA" w14:textId="77777777" w:rsidR="00BB263F" w:rsidRDefault="00BB263F" w:rsidP="00AA1460">
      <w:r>
        <w:separator/>
      </w:r>
    </w:p>
  </w:footnote>
  <w:footnote w:type="continuationSeparator" w:id="0">
    <w:p w14:paraId="3ECDC7AF" w14:textId="77777777" w:rsidR="00BB263F" w:rsidRDefault="00BB263F" w:rsidP="00AA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9236B" w14:textId="47FDC2B5" w:rsidR="00AA1460" w:rsidRDefault="00AA1460" w:rsidP="00AA1460">
    <w:pPr>
      <w:pStyle w:val="Header"/>
      <w:jc w:val="right"/>
      <w:rPr>
        <w:lang w:val="sv-SE"/>
      </w:rPr>
    </w:pPr>
    <w:r>
      <w:rPr>
        <w:lang w:val="sv-SE"/>
      </w:rPr>
      <w:t>Leo Carlsson</w:t>
    </w:r>
  </w:p>
  <w:p w14:paraId="6D23656E" w14:textId="6F6EE163" w:rsidR="00CE79E4" w:rsidRPr="00AA1460" w:rsidRDefault="00CE79E4" w:rsidP="00AA1460">
    <w:pPr>
      <w:pStyle w:val="Header"/>
      <w:jc w:val="right"/>
      <w:rPr>
        <w:lang w:val="sv-SE"/>
      </w:rPr>
    </w:pPr>
    <w:r>
      <w:rPr>
        <w:lang w:val="sv-SE"/>
      </w:rPr>
      <w:t>leo@leocarlsson.se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2543"/>
    <w:multiLevelType w:val="hybridMultilevel"/>
    <w:tmpl w:val="8982CDA6"/>
    <w:lvl w:ilvl="0" w:tplc="01D6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A2"/>
    <w:rsid w:val="00050AE4"/>
    <w:rsid w:val="00075B9B"/>
    <w:rsid w:val="000A510B"/>
    <w:rsid w:val="000F5DB9"/>
    <w:rsid w:val="00120701"/>
    <w:rsid w:val="00122B78"/>
    <w:rsid w:val="0014531C"/>
    <w:rsid w:val="001B63AB"/>
    <w:rsid w:val="001D2654"/>
    <w:rsid w:val="001D5BF4"/>
    <w:rsid w:val="00200542"/>
    <w:rsid w:val="00234AEF"/>
    <w:rsid w:val="002A3C32"/>
    <w:rsid w:val="002B2532"/>
    <w:rsid w:val="002F4E74"/>
    <w:rsid w:val="002F70C3"/>
    <w:rsid w:val="00385946"/>
    <w:rsid w:val="003A72B7"/>
    <w:rsid w:val="003F54DD"/>
    <w:rsid w:val="004104B5"/>
    <w:rsid w:val="0043475A"/>
    <w:rsid w:val="00475427"/>
    <w:rsid w:val="00483920"/>
    <w:rsid w:val="00486A96"/>
    <w:rsid w:val="00494305"/>
    <w:rsid w:val="004A509E"/>
    <w:rsid w:val="004A7A09"/>
    <w:rsid w:val="004C439C"/>
    <w:rsid w:val="004D6C8B"/>
    <w:rsid w:val="004F537D"/>
    <w:rsid w:val="0051700A"/>
    <w:rsid w:val="005476AE"/>
    <w:rsid w:val="00593369"/>
    <w:rsid w:val="005A3AF6"/>
    <w:rsid w:val="005D056A"/>
    <w:rsid w:val="005F14D8"/>
    <w:rsid w:val="006B7CBD"/>
    <w:rsid w:val="006E06ED"/>
    <w:rsid w:val="00744E00"/>
    <w:rsid w:val="007D000A"/>
    <w:rsid w:val="008015C7"/>
    <w:rsid w:val="00867801"/>
    <w:rsid w:val="00881EAB"/>
    <w:rsid w:val="008A57FF"/>
    <w:rsid w:val="008B5CF7"/>
    <w:rsid w:val="00900B02"/>
    <w:rsid w:val="0093283E"/>
    <w:rsid w:val="009352F4"/>
    <w:rsid w:val="00973397"/>
    <w:rsid w:val="009E47D6"/>
    <w:rsid w:val="009F5A45"/>
    <w:rsid w:val="00AA1460"/>
    <w:rsid w:val="00AD128D"/>
    <w:rsid w:val="00BB263F"/>
    <w:rsid w:val="00BD6232"/>
    <w:rsid w:val="00C10CD1"/>
    <w:rsid w:val="00C367B0"/>
    <w:rsid w:val="00CB6A79"/>
    <w:rsid w:val="00CD6E4F"/>
    <w:rsid w:val="00CE79E4"/>
    <w:rsid w:val="00D03CFF"/>
    <w:rsid w:val="00D13EF0"/>
    <w:rsid w:val="00D243D7"/>
    <w:rsid w:val="00D32366"/>
    <w:rsid w:val="00D641C2"/>
    <w:rsid w:val="00D81216"/>
    <w:rsid w:val="00DA23C3"/>
    <w:rsid w:val="00DB3968"/>
    <w:rsid w:val="00DB4E53"/>
    <w:rsid w:val="00E22B4A"/>
    <w:rsid w:val="00E26B18"/>
    <w:rsid w:val="00E4327F"/>
    <w:rsid w:val="00E43C8C"/>
    <w:rsid w:val="00E96013"/>
    <w:rsid w:val="00EC5429"/>
    <w:rsid w:val="00ED5FA2"/>
    <w:rsid w:val="00EE052B"/>
    <w:rsid w:val="00F13D64"/>
    <w:rsid w:val="00F15951"/>
    <w:rsid w:val="00F33AD9"/>
    <w:rsid w:val="00F416A0"/>
    <w:rsid w:val="00F61656"/>
    <w:rsid w:val="00F91D53"/>
    <w:rsid w:val="00F976A7"/>
    <w:rsid w:val="00FE0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7C15"/>
  <w14:defaultImageDpi w14:val="32767"/>
  <w15:chartTrackingRefBased/>
  <w15:docId w15:val="{A143F469-C47A-0E40-805A-570D710B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A2"/>
    <w:pPr>
      <w:ind w:left="720"/>
      <w:contextualSpacing/>
    </w:pPr>
  </w:style>
  <w:style w:type="paragraph" w:styleId="BalloonText">
    <w:name w:val="Balloon Text"/>
    <w:basedOn w:val="Normal"/>
    <w:link w:val="BalloonTextChar"/>
    <w:uiPriority w:val="99"/>
    <w:semiHidden/>
    <w:unhideWhenUsed/>
    <w:rsid w:val="008A57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57FF"/>
    <w:rPr>
      <w:rFonts w:ascii="Times New Roman" w:hAnsi="Times New Roman" w:cs="Times New Roman"/>
      <w:sz w:val="18"/>
      <w:szCs w:val="18"/>
      <w:lang w:val="en-GB"/>
    </w:rPr>
  </w:style>
  <w:style w:type="paragraph" w:styleId="Bibliography">
    <w:name w:val="Bibliography"/>
    <w:basedOn w:val="Normal"/>
    <w:next w:val="Normal"/>
    <w:uiPriority w:val="37"/>
    <w:unhideWhenUsed/>
    <w:rsid w:val="001B63AB"/>
    <w:pPr>
      <w:ind w:left="720" w:hanging="720"/>
    </w:pPr>
  </w:style>
  <w:style w:type="character" w:styleId="CommentReference">
    <w:name w:val="annotation reference"/>
    <w:basedOn w:val="DefaultParagraphFont"/>
    <w:uiPriority w:val="99"/>
    <w:semiHidden/>
    <w:unhideWhenUsed/>
    <w:rsid w:val="008015C7"/>
    <w:rPr>
      <w:sz w:val="16"/>
      <w:szCs w:val="16"/>
    </w:rPr>
  </w:style>
  <w:style w:type="paragraph" w:styleId="CommentText">
    <w:name w:val="annotation text"/>
    <w:basedOn w:val="Normal"/>
    <w:link w:val="CommentTextChar"/>
    <w:uiPriority w:val="99"/>
    <w:semiHidden/>
    <w:unhideWhenUsed/>
    <w:rsid w:val="008015C7"/>
    <w:rPr>
      <w:sz w:val="20"/>
      <w:szCs w:val="20"/>
    </w:rPr>
  </w:style>
  <w:style w:type="character" w:customStyle="1" w:styleId="CommentTextChar">
    <w:name w:val="Comment Text Char"/>
    <w:basedOn w:val="DefaultParagraphFont"/>
    <w:link w:val="CommentText"/>
    <w:uiPriority w:val="99"/>
    <w:semiHidden/>
    <w:rsid w:val="008015C7"/>
    <w:rPr>
      <w:sz w:val="20"/>
      <w:szCs w:val="20"/>
      <w:lang w:val="en-GB"/>
    </w:rPr>
  </w:style>
  <w:style w:type="paragraph" w:styleId="CommentSubject">
    <w:name w:val="annotation subject"/>
    <w:basedOn w:val="CommentText"/>
    <w:next w:val="CommentText"/>
    <w:link w:val="CommentSubjectChar"/>
    <w:uiPriority w:val="99"/>
    <w:semiHidden/>
    <w:unhideWhenUsed/>
    <w:rsid w:val="008015C7"/>
    <w:rPr>
      <w:b/>
      <w:bCs/>
    </w:rPr>
  </w:style>
  <w:style w:type="character" w:customStyle="1" w:styleId="CommentSubjectChar">
    <w:name w:val="Comment Subject Char"/>
    <w:basedOn w:val="CommentTextChar"/>
    <w:link w:val="CommentSubject"/>
    <w:uiPriority w:val="99"/>
    <w:semiHidden/>
    <w:rsid w:val="008015C7"/>
    <w:rPr>
      <w:b/>
      <w:bCs/>
      <w:sz w:val="20"/>
      <w:szCs w:val="20"/>
      <w:lang w:val="en-GB"/>
    </w:rPr>
  </w:style>
  <w:style w:type="paragraph" w:styleId="Header">
    <w:name w:val="header"/>
    <w:basedOn w:val="Normal"/>
    <w:link w:val="HeaderChar"/>
    <w:uiPriority w:val="99"/>
    <w:unhideWhenUsed/>
    <w:rsid w:val="00AA1460"/>
    <w:pPr>
      <w:tabs>
        <w:tab w:val="center" w:pos="4536"/>
        <w:tab w:val="right" w:pos="9072"/>
      </w:tabs>
    </w:pPr>
  </w:style>
  <w:style w:type="character" w:customStyle="1" w:styleId="HeaderChar">
    <w:name w:val="Header Char"/>
    <w:basedOn w:val="DefaultParagraphFont"/>
    <w:link w:val="Header"/>
    <w:uiPriority w:val="99"/>
    <w:rsid w:val="00AA1460"/>
    <w:rPr>
      <w:lang w:val="en-GB"/>
    </w:rPr>
  </w:style>
  <w:style w:type="paragraph" w:styleId="Footer">
    <w:name w:val="footer"/>
    <w:basedOn w:val="Normal"/>
    <w:link w:val="FooterChar"/>
    <w:uiPriority w:val="99"/>
    <w:unhideWhenUsed/>
    <w:rsid w:val="00AA1460"/>
    <w:pPr>
      <w:tabs>
        <w:tab w:val="center" w:pos="4536"/>
        <w:tab w:val="right" w:pos="9072"/>
      </w:tabs>
    </w:pPr>
  </w:style>
  <w:style w:type="character" w:customStyle="1" w:styleId="FooterChar">
    <w:name w:val="Footer Char"/>
    <w:basedOn w:val="DefaultParagraphFont"/>
    <w:link w:val="Footer"/>
    <w:uiPriority w:val="99"/>
    <w:rsid w:val="00AA1460"/>
    <w:rPr>
      <w:lang w:val="en-GB"/>
    </w:rPr>
  </w:style>
  <w:style w:type="paragraph" w:styleId="FootnoteText">
    <w:name w:val="footnote text"/>
    <w:basedOn w:val="Normal"/>
    <w:link w:val="FootnoteTextChar"/>
    <w:uiPriority w:val="99"/>
    <w:semiHidden/>
    <w:unhideWhenUsed/>
    <w:rsid w:val="00FE0968"/>
    <w:rPr>
      <w:sz w:val="20"/>
      <w:szCs w:val="20"/>
    </w:rPr>
  </w:style>
  <w:style w:type="character" w:customStyle="1" w:styleId="FootnoteTextChar">
    <w:name w:val="Footnote Text Char"/>
    <w:basedOn w:val="DefaultParagraphFont"/>
    <w:link w:val="FootnoteText"/>
    <w:uiPriority w:val="99"/>
    <w:semiHidden/>
    <w:rsid w:val="00FE0968"/>
    <w:rPr>
      <w:sz w:val="20"/>
      <w:szCs w:val="20"/>
      <w:lang w:val="en-GB"/>
    </w:rPr>
  </w:style>
  <w:style w:type="character" w:styleId="FootnoteReference">
    <w:name w:val="footnote reference"/>
    <w:basedOn w:val="DefaultParagraphFont"/>
    <w:uiPriority w:val="99"/>
    <w:semiHidden/>
    <w:unhideWhenUsed/>
    <w:rsid w:val="00FE09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1303">
      <w:bodyDiv w:val="1"/>
      <w:marLeft w:val="0"/>
      <w:marRight w:val="0"/>
      <w:marTop w:val="0"/>
      <w:marBottom w:val="0"/>
      <w:divBdr>
        <w:top w:val="none" w:sz="0" w:space="0" w:color="auto"/>
        <w:left w:val="none" w:sz="0" w:space="0" w:color="auto"/>
        <w:bottom w:val="none" w:sz="0" w:space="0" w:color="auto"/>
        <w:right w:val="none" w:sz="0" w:space="0" w:color="auto"/>
      </w:divBdr>
    </w:div>
    <w:div w:id="498619427">
      <w:bodyDiv w:val="1"/>
      <w:marLeft w:val="0"/>
      <w:marRight w:val="0"/>
      <w:marTop w:val="0"/>
      <w:marBottom w:val="0"/>
      <w:divBdr>
        <w:top w:val="none" w:sz="0" w:space="0" w:color="auto"/>
        <w:left w:val="none" w:sz="0" w:space="0" w:color="auto"/>
        <w:bottom w:val="none" w:sz="0" w:space="0" w:color="auto"/>
        <w:right w:val="none" w:sz="0" w:space="0" w:color="auto"/>
      </w:divBdr>
    </w:div>
    <w:div w:id="21458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Carlsson</dc:creator>
  <cp:keywords/>
  <dc:description/>
  <cp:lastModifiedBy>Leo Karlsson</cp:lastModifiedBy>
  <cp:revision>58</cp:revision>
  <cp:lastPrinted>2019-12-12T08:35:00Z</cp:lastPrinted>
  <dcterms:created xsi:type="dcterms:W3CDTF">2019-11-18T14:16:00Z</dcterms:created>
  <dcterms:modified xsi:type="dcterms:W3CDTF">2020-01-23T15:14:00Z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id="jeZ2pK5v"/&gt;&lt;style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