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0B981"/>
          <w:sz w:val="48"/>
        </w:rPr>
        <w:t>FitLog Pro: Executive Product Dossier &amp; Pitch</w:t>
      </w:r>
    </w:p>
    <w:p>
      <w:r>
        <w:rPr>
          <w:i/>
          <w:color w:val="64748B"/>
          <w:sz w:val="26"/>
        </w:rPr>
        <w:t>The Zero-Friction Progressive Overload Gym Diary &amp; Gemini AI Biomechanics Engine</w:t>
      </w:r>
    </w:p>
    <w:p>
      <w:pPr>
        <w:spacing w:after="240"/>
      </w:pPr>
    </w:p>
    <w:tbl>
      <w:tblPr>
        <w:tblW w:type="auto" w:w="0"/>
        <w:jc w:val="center"/>
        <w:tblLook w:firstColumn="1" w:firstRow="1" w:lastColumn="0" w:lastRow="0" w:noHBand="0" w:noVBand="1" w:val="04A0"/>
      </w:tblPr>
      <w:tblGrid>
        <w:gridCol w:w="4680"/>
        <w:gridCol w:w="4680"/>
      </w:tblGrid>
      <w:tr>
        <w:tc>
          <w:tcPr>
            <w:tcW w:type="dxa" w:w="4680"/>
          </w:tcPr>
          <w:p>
            <w:pPr>
              <w:spacing w:after="40"/>
            </w:pPr>
            <w:r>
              <w:rPr>
                <w:b/>
                <w:sz w:val="20"/>
              </w:rPr>
              <w:t xml:space="preserve">Audience: </w:t>
            </w:r>
            <w:r>
              <w:rPr>
                <w:sz w:val="20"/>
              </w:rPr>
              <w:t>Product Managers, Teammates &amp; Reviewers</w:t>
            </w:r>
          </w:p>
        </w:tc>
        <w:tc>
          <w:tcPr>
            <w:tcW w:type="dxa" w:w="4680"/>
          </w:tcPr>
          <w:p>
            <w:pPr>
              <w:spacing w:after="40"/>
            </w:pPr>
            <w:r>
              <w:rPr>
                <w:b/>
                <w:sz w:val="20"/>
              </w:rPr>
              <w:t xml:space="preserve">Version: </w:t>
            </w:r>
            <w:r>
              <w:rPr>
                <w:sz w:val="20"/>
              </w:rPr>
              <w:t>2.0.0 Production Release</w:t>
            </w:r>
          </w:p>
        </w:tc>
      </w:tr>
      <w:tr>
        <w:tc>
          <w:tcPr>
            <w:tcW w:type="dxa" w:w="4680"/>
          </w:tcPr>
          <w:p>
            <w:pPr>
              <w:spacing w:after="40"/>
            </w:pPr>
            <w:r>
              <w:rPr>
                <w:b/>
                <w:sz w:val="20"/>
              </w:rPr>
              <w:t xml:space="preserve">Device Compatibility: </w:t>
            </w:r>
            <w:r>
              <w:rPr>
                <w:sz w:val="20"/>
              </w:rPr>
              <w:t>100% Fluid Phone &amp; Laptop</w:t>
            </w:r>
          </w:p>
        </w:tc>
        <w:tc>
          <w:tcPr>
            <w:tcW w:type="dxa" w:w="4680"/>
          </w:tcPr>
          <w:p>
            <w:pPr>
              <w:spacing w:after="40"/>
            </w:pPr>
            <w:r>
              <w:rPr>
                <w:b/>
                <w:sz w:val="20"/>
              </w:rPr>
              <w:t xml:space="preserve">Verification Status: </w:t>
            </w:r>
            <w:r>
              <w:rPr>
                <w:sz w:val="20"/>
              </w:rPr>
              <w:t>End-to-End Verified • 4/4 Tests Passing</w:t>
            </w:r>
          </w:p>
        </w:tc>
      </w:tr>
    </w:tbl>
    <w:p>
      <w:pPr>
        <w:spacing w:after="320"/>
      </w:pPr>
    </w:p>
    <w:p>
      <w:pPr>
        <w:pStyle w:val="Heading1"/>
        <w:spacing w:before="360" w:after="160"/>
      </w:pPr>
      <w:r>
        <w:t>1. Detailed Product Description</w:t>
      </w:r>
    </w:p>
    <w:p>
      <w:r>
        <w:t>FitLog Pro is an enterprise-grade workout tracking application and AI biomechanics coach delivered as a responsive web application that behaves like a native mobile app. It solves the critical bottleneck in physical training: making progressive overload measurable, frictionless, and automated instead of guesswork.</w:t>
      </w:r>
    </w:p>
    <w:p>
      <w:pPr>
        <w:pStyle w:val="Heading2"/>
      </w:pPr>
      <w:r>
        <w:t>Key Product Capabilities</w:t>
      </w:r>
    </w:p>
    <w:p>
      <w:pPr>
        <w:pStyle w:val="ListBullet"/>
        <w:spacing w:after="80"/>
      </w:pPr>
      <w:r>
        <w:rPr>
          <w:b/>
        </w:rPr>
        <w:t xml:space="preserve">Sub-2-Second Thumb Logging: </w:t>
      </w:r>
      <w:r>
        <w:t>Complete sets, step weights and reps, calculate Olympic barbell sleeve plates without mental math, and track estimated 1RM PRs with tactile 48dp touch targets.</w:t>
      </w:r>
    </w:p>
    <w:p>
      <w:pPr>
        <w:pStyle w:val="ListBullet"/>
        <w:spacing w:after="80"/>
      </w:pPr>
      <w:r>
        <w:rPr>
          <w:b/>
        </w:rPr>
        <w:t xml:space="preserve">100% Fluid Device Compatibility: </w:t>
      </w:r>
      <w:r>
        <w:t>Laptop/Desktop renders a 3-column Master-Detail Studio (Left: Blueprint, Center: Active Diary, Right: Barbell Sleeve &amp; 1RM Curve). Mobile phones render an ergonomic single-column thumb-zone interface with a slide-up plate drawer.</w:t>
      </w:r>
    </w:p>
    <w:p>
      <w:pPr>
        <w:pStyle w:val="ListBullet"/>
        <w:spacing w:after="80"/>
      </w:pPr>
      <w:r>
        <w:rPr>
          <w:b/>
        </w:rPr>
        <w:t xml:space="preserve">History-Aware Gemini AI Coach: </w:t>
      </w:r>
      <w:r>
        <w:t>Integrated into the History timeline, Google Gemini Flash 2.0 reads real workout sets, total volume deltas, and PR history to detect plateaus and prescribe micro-loading overload targets.</w:t>
      </w:r>
    </w:p>
    <w:p>
      <w:pPr>
        <w:pStyle w:val="ListBullet"/>
        <w:spacing w:after="80"/>
      </w:pPr>
      <w:r>
        <w:rPr>
          <w:b/>
        </w:rPr>
        <w:t xml:space="preserve">Cascading 3-Step Movement Library (333+ Movements): </w:t>
      </w:r>
      <w:r>
        <w:t>Effortless waterfall filtering: Body Part → Target Anatomy → Movements ranked by Growth vs. Fatigue score with equipment filters (Barbell, Dumbbells, Cable, Machine, Bodyweight).</w:t>
      </w:r>
    </w:p>
    <w:p>
      <w:pPr>
        <w:pStyle w:val="ListBullet"/>
        <w:spacing w:after="80"/>
      </w:pPr>
      <w:r>
        <w:rPr>
          <w:b/>
        </w:rPr>
        <w:t xml:space="preserve">Plain-English Biomechanics Terminology: </w:t>
      </w:r>
      <w:r>
        <w:t>Zero intimidating medical jargon. Replaces 'Hypertrophy' with 'Muscle Growth', 'SFR' with 'Growth vs. Fatigue Score', and 'Epley Velocity' with 'Estimated Max Lift'.</w:t>
      </w:r>
    </w:p>
    <w:p>
      <w:pPr>
        <w:pStyle w:val="ListBullet"/>
        <w:spacing w:after="80"/>
      </w:pPr>
      <w:r>
        <w:rPr>
          <w:b/>
        </w:rPr>
        <w:t xml:space="preserve">Local-First Offline Continuity: </w:t>
      </w:r>
      <w:r>
        <w:t>Instant sub-millisecond writes to client storage with automatic background synchronization to Supabase PostgreSQL upon network reconnection. Ideal for basement gyms with zero cellular reception.</w:t>
      </w:r>
    </w:p>
    <w:p>
      <w:pPr>
        <w:pStyle w:val="Heading1"/>
        <w:spacing w:before="360" w:after="160"/>
      </w:pPr>
      <w:r>
        <w:t>2. Executive Business Pitch</w:t>
      </w:r>
    </w:p>
    <w:p>
      <w:pPr>
        <w:pStyle w:val="Heading2"/>
      </w:pPr>
      <w:r>
        <w:t>The Core Problem: The 'Gym Friction' Cliff</w:t>
      </w:r>
    </w:p>
    <w:p>
      <w:r>
        <w:t>Over 80% of gymgoers abandon workout tracker applications within their first two weeks. When athletes are catching their breath after a heavy set of squats or bench press, their working memory is impaired. Forcing them to navigate 4 menu tiers, search unranked lists of 1,000 exercises, decipher academic medical jargon, or deal with dropped logs due to basement gym signal loss causes immediate churn. Furthermore, desktop apps squeezed into phone mockups alienate desktop users.</w:t>
      </w:r>
    </w:p>
    <w:p>
      <w:pPr>
        <w:pStyle w:val="Heading2"/>
      </w:pPr>
      <w:r>
        <w:t>The FitLog Pro Solution &amp; Value Proposition</w:t>
      </w:r>
    </w:p>
    <w:p>
      <w:r>
        <w:t>FitLog Pro eliminates all friction points. It delivers instantaneous 1-tap logging, side-by-side previous session deltas ('Last: 42.5kg × 8 reps -&gt; Target: 42.5kg for 9 reps'), zero-latency local-first offline continuity, and intelligent AI plateau troubleshooting.</w:t>
      </w:r>
    </w:p>
    <w:p>
      <w:pPr>
        <w:pStyle w:val="Heading2"/>
      </w:pPr>
      <w:r>
        <w:t>Business Model &amp; Monetization Strategy</w:t>
      </w:r>
    </w:p>
    <w:p>
      <w:pPr>
        <w:pStyle w:val="ListBullet"/>
        <w:spacing w:after="80"/>
      </w:pPr>
      <w:r>
        <w:rPr>
          <w:b/>
        </w:rPr>
        <w:t xml:space="preserve">Freemium Tier (Free Forever): </w:t>
      </w:r>
      <w:r>
        <w:t>3 logged workouts per week, local offline database, standard 1RM calculations, and full access to all 333+ exercise movements. Drives massive top-of-funnel organic acquisition.</w:t>
      </w:r>
    </w:p>
    <w:p>
      <w:pPr>
        <w:pStyle w:val="ListBullet"/>
        <w:spacing w:after="80"/>
      </w:pPr>
      <w:r>
        <w:rPr>
          <w:b/>
        </w:rPr>
        <w:t xml:space="preserve">Pro Tier ($9.99/mo or $79/yr): </w:t>
      </w:r>
      <w:r>
        <w:t>Unlimited multi-device cloud synchronization, History-Aware Gemini Biomechanics Coach, advanced 1RM velocity curves, muscle group volume heatmaps, and exportable training logs.</w:t>
      </w:r>
    </w:p>
    <w:p>
      <w:pPr>
        <w:pStyle w:val="ListBullet"/>
        <w:spacing w:after="80"/>
      </w:pPr>
      <w:r>
        <w:rPr>
          <w:b/>
        </w:rPr>
        <w:t xml:space="preserve">Virality Growth Loop: </w:t>
      </w:r>
      <w:r>
        <w:t>1-click shareable dark-mode progress cards (Raycast &amp; Linear design aesthetic) formatted for Instagram Stories and WhatsApp, driving zero-CAC word-of-mouth growth.</w:t>
      </w:r>
    </w:p>
    <w:p>
      <w:pPr>
        <w:pStyle w:val="Heading1"/>
        <w:spacing w:before="360" w:after="160"/>
      </w:pPr>
      <w:r>
        <w:t>3. Verified Working Video Demonstrations</w:t>
      </w:r>
    </w:p>
    <w:p>
      <w:r>
        <w:t>The following MP4 screen recordings demonstrate FitLog Pro functioning end-to-end. You can click on the direct file links below to play the video in your default media player or browser, or open them directly from the demo_videos/ folder in the project root.</w:t>
      </w:r>
    </w:p>
    <w:p>
      <w:pPr>
        <w:spacing w:before="200" w:after="40"/>
      </w:pPr>
      <w:r>
        <w:rPr>
          <w:b/>
          <w:color w:val="10B981"/>
          <w:sz w:val="24"/>
        </w:rPr>
        <w:t>▶ Video 1: Full End-to-End Walkthrough (3.88 MB)</w:t>
      </w:r>
    </w:p>
    <w:p>
      <w:pPr>
        <w:spacing w:after="40"/>
      </w:pPr>
      <w:r>
        <w:t>Complete user journey: Landing Page Hero → 4-Step Onboarding Wizard → 3-Column Studio → Set Completion → Celebration Modal → History Timeline.</w:t>
      </w:r>
    </w:p>
    <w:p>
      <w:pPr>
        <w:spacing w:after="160"/>
      </w:pPr>
      <w:r>
        <w:t xml:space="preserve">Direct Video Link: </w:t>
      </w:r>
      <w:hyperlink r:id="rId9">
        <w:r>
          <w:rPr>
            <w:color w:val="004B91"/>
            <w:u w:val="single"/>
          </w:rPr>
          <w:t>Click to Play fitlog_e2e_walkthrough.mp4</w:t>
        </w:r>
      </w:hyperlink>
    </w:p>
    <w:p>
      <w:pPr>
        <w:spacing w:before="200" w:after="40"/>
      </w:pPr>
      <w:r>
        <w:rPr>
          <w:b/>
          <w:color w:val="10B981"/>
          <w:sz w:val="24"/>
        </w:rPr>
        <w:t>▶ Video 2: Laptop Studio 3-Column &amp; Mobile Drawer (3.17 MB)</w:t>
      </w:r>
    </w:p>
    <w:p>
      <w:pPr>
        <w:spacing w:after="40"/>
      </w:pPr>
      <w:r>
        <w:t>Demonstrates responsive fluid layout: Master-Detail 3-column studio on desktop, Olympic barbell plate sleeve calculation, and mobile slide-up drawer.</w:t>
      </w:r>
    </w:p>
    <w:p>
      <w:pPr>
        <w:spacing w:after="160"/>
      </w:pPr>
      <w:r>
        <w:t xml:space="preserve">Direct Video Link: </w:t>
      </w:r>
      <w:hyperlink r:id="rId10">
        <w:r>
          <w:rPr>
            <w:color w:val="004B91"/>
            <w:u w:val="single"/>
          </w:rPr>
          <w:t>Click to Play sprint_final_demo.mp4</w:t>
        </w:r>
      </w:hyperlink>
    </w:p>
    <w:p>
      <w:pPr>
        <w:spacing w:before="200" w:after="40"/>
      </w:pPr>
      <w:r>
        <w:rPr>
          <w:b/>
          <w:color w:val="10B981"/>
          <w:sz w:val="24"/>
        </w:rPr>
        <w:t>▶ Video 3: Sub-2-Second Thumb Logging Speed Test (1.78 MB)</w:t>
      </w:r>
    </w:p>
    <w:p>
      <w:pPr>
        <w:spacing w:after="40"/>
      </w:pPr>
      <w:r>
        <w:t>Demonstrates lightning-fast set logging, tactile steppers, instant checkoff, and confetti celebration on new Personal Records.</w:t>
      </w:r>
    </w:p>
    <w:p>
      <w:pPr>
        <w:spacing w:after="160"/>
      </w:pPr>
      <w:r>
        <w:t xml:space="preserve">Direct Video Link: </w:t>
      </w:r>
      <w:hyperlink r:id="rId11">
        <w:r>
          <w:rPr>
            <w:color w:val="004B91"/>
            <w:u w:val="single"/>
          </w:rPr>
          <w:t>Click to Play streamlined_experience.mp4</w:t>
        </w:r>
      </w:hyperlink>
    </w:p>
    <w:p>
      <w:pPr>
        <w:pStyle w:val="Heading1"/>
        <w:spacing w:before="360" w:after="160"/>
      </w:pPr>
      <w:r>
        <w:t>4. High-Resolution Visual Evidence</w:t>
      </w:r>
    </w:p>
    <w:p>
      <w:pPr>
        <w:spacing w:before="240" w:after="80"/>
      </w:pPr>
      <w:r>
        <w:rPr>
          <w:b/>
          <w:sz w:val="22"/>
        </w:rPr>
        <w:t>• Acquisition Landing Page Hero</w:t>
      </w:r>
    </w:p>
    <w:p>
      <w:pPr>
        <w:spacing w:after="40"/>
        <w:jc w:val="center"/>
      </w:pPr>
    </w:p>
    <w:p>
      <w:r>
        <w:drawing>
          <wp:inline xmlns:a="http://schemas.openxmlformats.org/drawingml/2006/main" xmlns:pic="http://schemas.openxmlformats.org/drawingml/2006/picture">
            <wp:extent cx="5303520" cy="3493061"/>
            <wp:docPr id="1" name="Picture 1"/>
            <wp:cNvGraphicFramePr>
              <a:graphicFrameLocks noChangeAspect="1"/>
            </wp:cNvGraphicFramePr>
            <a:graphic>
              <a:graphicData uri="http://schemas.openxmlformats.org/drawingml/2006/picture">
                <pic:pic>
                  <pic:nvPicPr>
                    <pic:cNvPr id="0" name="landing_page_hero.png"/>
                    <pic:cNvPicPr/>
                  </pic:nvPicPr>
                  <pic:blipFill>
                    <a:blip r:embed="rId12"/>
                    <a:stretch>
                      <a:fillRect/>
                    </a:stretch>
                  </pic:blipFill>
                  <pic:spPr>
                    <a:xfrm>
                      <a:off x="0" y="0"/>
                      <a:ext cx="5303520" cy="3493061"/>
                    </a:xfrm>
                    <a:prstGeom prst="rect"/>
                  </pic:spPr>
                </pic:pic>
              </a:graphicData>
            </a:graphic>
          </wp:inline>
        </w:drawing>
      </w:r>
    </w:p>
    <w:p>
      <w:pPr>
        <w:spacing w:after="240"/>
        <w:jc w:val="center"/>
      </w:pPr>
      <w:r>
        <w:rPr>
          <w:i/>
          <w:color w:val="64748B"/>
          <w:sz w:val="19"/>
        </w:rPr>
        <w:t>High-converting acquisition landing page with dynamic micro-animations, clear value propositions, interactive 1RM calculator, and plain-English muscle mechanics.</w:t>
      </w:r>
    </w:p>
    <w:p>
      <w:pPr>
        <w:spacing w:before="240" w:after="80"/>
      </w:pPr>
      <w:r>
        <w:rPr>
          <w:b/>
          <w:sz w:val="22"/>
        </w:rPr>
        <w:t>• Tab 1: Active Workout Studio (Laptop 3-Column Layout)</w:t>
      </w:r>
    </w:p>
    <w:p>
      <w:pPr>
        <w:spacing w:after="40"/>
        <w:jc w:val="center"/>
      </w:pPr>
    </w:p>
    <w:p>
      <w:r>
        <w:drawing>
          <wp:inline xmlns:a="http://schemas.openxmlformats.org/drawingml/2006/main" xmlns:pic="http://schemas.openxmlformats.org/drawingml/2006/picture">
            <wp:extent cx="5303520" cy="3493061"/>
            <wp:docPr id="2" name="Picture 2"/>
            <wp:cNvGraphicFramePr>
              <a:graphicFrameLocks noChangeAspect="1"/>
            </wp:cNvGraphicFramePr>
            <a:graphic>
              <a:graphicData uri="http://schemas.openxmlformats.org/drawingml/2006/picture">
                <pic:pic>
                  <pic:nvPicPr>
                    <pic:cNvPr id="0" name="tab1_active_workout_studio.png"/>
                    <pic:cNvPicPr/>
                  </pic:nvPicPr>
                  <pic:blipFill>
                    <a:blip r:embed="rId13"/>
                    <a:stretch>
                      <a:fillRect/>
                    </a:stretch>
                  </pic:blipFill>
                  <pic:spPr>
                    <a:xfrm>
                      <a:off x="0" y="0"/>
                      <a:ext cx="5303520" cy="3493061"/>
                    </a:xfrm>
                    <a:prstGeom prst="rect"/>
                  </pic:spPr>
                </pic:pic>
              </a:graphicData>
            </a:graphic>
          </wp:inline>
        </w:drawing>
      </w:r>
    </w:p>
    <w:p>
      <w:pPr>
        <w:spacing w:after="240"/>
        <w:jc w:val="center"/>
      </w:pPr>
      <w:r>
        <w:rPr>
          <w:i/>
          <w:color w:val="64748B"/>
          <w:sz w:val="19"/>
        </w:rPr>
        <w:t>Master-Detail layout featuring Left Blueprint Card, Center Active Workout Logger with previous session deltas, and Right Olympic Barbell Sleeve Plate Visualizer.</w:t>
      </w:r>
    </w:p>
    <w:p>
      <w:pPr>
        <w:spacing w:before="240" w:after="80"/>
      </w:pPr>
      <w:r>
        <w:rPr>
          <w:b/>
          <w:sz w:val="22"/>
        </w:rPr>
        <w:t>• Tab 2: Cascading Movement Library (333+ Movements)</w:t>
      </w:r>
    </w:p>
    <w:p>
      <w:pPr>
        <w:spacing w:after="40"/>
        <w:jc w:val="center"/>
      </w:pPr>
    </w:p>
    <w:p>
      <w:r>
        <w:drawing>
          <wp:inline xmlns:a="http://schemas.openxmlformats.org/drawingml/2006/main" xmlns:pic="http://schemas.openxmlformats.org/drawingml/2006/picture">
            <wp:extent cx="5303520" cy="3493061"/>
            <wp:docPr id="3" name="Picture 3"/>
            <wp:cNvGraphicFramePr>
              <a:graphicFrameLocks noChangeAspect="1"/>
            </wp:cNvGraphicFramePr>
            <a:graphic>
              <a:graphicData uri="http://schemas.openxmlformats.org/drawingml/2006/picture">
                <pic:pic>
                  <pic:nvPicPr>
                    <pic:cNvPr id="0" name="tab2_exercise_explorer.png"/>
                    <pic:cNvPicPr/>
                  </pic:nvPicPr>
                  <pic:blipFill>
                    <a:blip r:embed="rId14"/>
                    <a:stretch>
                      <a:fillRect/>
                    </a:stretch>
                  </pic:blipFill>
                  <pic:spPr>
                    <a:xfrm>
                      <a:off x="0" y="0"/>
                      <a:ext cx="5303520" cy="3493061"/>
                    </a:xfrm>
                    <a:prstGeom prst="rect"/>
                  </pic:spPr>
                </pic:pic>
              </a:graphicData>
            </a:graphic>
          </wp:inline>
        </w:drawing>
      </w:r>
    </w:p>
    <w:p>
      <w:pPr>
        <w:spacing w:after="240"/>
        <w:jc w:val="center"/>
      </w:pPr>
      <w:r>
        <w:rPr>
          <w:i/>
          <w:color w:val="64748B"/>
          <w:sz w:val="19"/>
        </w:rPr>
        <w:t>3-step waterfall filtering by Body Part → Target Anatomy → Movements ranked by Growth vs. Fatigue score with equipment filters.</w:t>
      </w:r>
    </w:p>
    <w:p>
      <w:pPr>
        <w:spacing w:before="240" w:after="80"/>
      </w:pPr>
      <w:r>
        <w:rPr>
          <w:b/>
          <w:sz w:val="22"/>
        </w:rPr>
        <w:t>• Tab 3: Progressive Overload Analytics</w:t>
      </w:r>
    </w:p>
    <w:p>
      <w:pPr>
        <w:spacing w:after="40"/>
        <w:jc w:val="center"/>
      </w:pPr>
    </w:p>
    <w:p>
      <w:r>
        <w:drawing>
          <wp:inline xmlns:a="http://schemas.openxmlformats.org/drawingml/2006/main" xmlns:pic="http://schemas.openxmlformats.org/drawingml/2006/picture">
            <wp:extent cx="5303520" cy="3493061"/>
            <wp:docPr id="4" name="Picture 4"/>
            <wp:cNvGraphicFramePr>
              <a:graphicFrameLocks noChangeAspect="1"/>
            </wp:cNvGraphicFramePr>
            <a:graphic>
              <a:graphicData uri="http://schemas.openxmlformats.org/drawingml/2006/picture">
                <pic:pic>
                  <pic:nvPicPr>
                    <pic:cNvPr id="0" name="tab3_progressive_analytics.png"/>
                    <pic:cNvPicPr/>
                  </pic:nvPicPr>
                  <pic:blipFill>
                    <a:blip r:embed="rId15"/>
                    <a:stretch>
                      <a:fillRect/>
                    </a:stretch>
                  </pic:blipFill>
                  <pic:spPr>
                    <a:xfrm>
                      <a:off x="0" y="0"/>
                      <a:ext cx="5303520" cy="3493061"/>
                    </a:xfrm>
                    <a:prstGeom prst="rect"/>
                  </pic:spPr>
                </pic:pic>
              </a:graphicData>
            </a:graphic>
          </wp:inline>
        </w:drawing>
      </w:r>
    </w:p>
    <w:p>
      <w:pPr>
        <w:spacing w:after="240"/>
        <w:jc w:val="center"/>
      </w:pPr>
      <w:r>
        <w:rPr>
          <w:i/>
          <w:color w:val="64748B"/>
          <w:sz w:val="19"/>
        </w:rPr>
        <w:t>Estimated 1RM trend curves over time, weekly muscle group volume distribution, and training consistency streak metrics.</w:t>
      </w:r>
    </w:p>
    <w:p>
      <w:pPr>
        <w:spacing w:before="240" w:after="80"/>
      </w:pPr>
      <w:r>
        <w:rPr>
          <w:b/>
          <w:sz w:val="22"/>
        </w:rPr>
        <w:t>• Tab 4: Workout History &amp; History-Aware Gemini Coach</w:t>
      </w:r>
    </w:p>
    <w:p>
      <w:pPr>
        <w:spacing w:after="40"/>
        <w:jc w:val="center"/>
      </w:pPr>
    </w:p>
    <w:p>
      <w:r>
        <w:drawing>
          <wp:inline xmlns:a="http://schemas.openxmlformats.org/drawingml/2006/main" xmlns:pic="http://schemas.openxmlformats.org/drawingml/2006/picture">
            <wp:extent cx="5303520" cy="3493061"/>
            <wp:docPr id="5" name="Picture 5"/>
            <wp:cNvGraphicFramePr>
              <a:graphicFrameLocks noChangeAspect="1"/>
            </wp:cNvGraphicFramePr>
            <a:graphic>
              <a:graphicData uri="http://schemas.openxmlformats.org/drawingml/2006/picture">
                <pic:pic>
                  <pic:nvPicPr>
                    <pic:cNvPr id="0" name="tab4_history_gemini_coach.png"/>
                    <pic:cNvPicPr/>
                  </pic:nvPicPr>
                  <pic:blipFill>
                    <a:blip r:embed="rId16"/>
                    <a:stretch>
                      <a:fillRect/>
                    </a:stretch>
                  </pic:blipFill>
                  <pic:spPr>
                    <a:xfrm>
                      <a:off x="0" y="0"/>
                      <a:ext cx="5303520" cy="3493061"/>
                    </a:xfrm>
                    <a:prstGeom prst="rect"/>
                  </pic:spPr>
                </pic:pic>
              </a:graphicData>
            </a:graphic>
          </wp:inline>
        </w:drawing>
      </w:r>
    </w:p>
    <w:p>
      <w:pPr>
        <w:spacing w:after="240"/>
        <w:jc w:val="center"/>
      </w:pPr>
      <w:r>
        <w:rPr>
          <w:i/>
          <w:color w:val="64748B"/>
          <w:sz w:val="19"/>
        </w:rPr>
        <w:t>Timeline of all completed training sessions integrated with Google Gemini AI Biomechanics Coach reading real workout volume to provide plateau diagnostics.</w:t>
      </w:r>
    </w:p>
    <w:p>
      <w:pPr>
        <w:spacing w:before="240" w:after="80"/>
      </w:pPr>
      <w:r>
        <w:rPr>
          <w:b/>
          <w:sz w:val="22"/>
        </w:rPr>
        <w:t>• Mobile Ergonomics (Bottom Thumb-Zone Nav)</w:t>
      </w:r>
    </w:p>
    <w:p>
      <w:pPr>
        <w:spacing w:after="40"/>
        <w:jc w:val="center"/>
      </w:pPr>
    </w:p>
    <w:p>
      <w:r>
        <w:drawing>
          <wp:inline xmlns:a="http://schemas.openxmlformats.org/drawingml/2006/main" xmlns:pic="http://schemas.openxmlformats.org/drawingml/2006/picture">
            <wp:extent cx="5303520" cy="3493061"/>
            <wp:docPr id="6" name="Picture 6"/>
            <wp:cNvGraphicFramePr>
              <a:graphicFrameLocks noChangeAspect="1"/>
            </wp:cNvGraphicFramePr>
            <a:graphic>
              <a:graphicData uri="http://schemas.openxmlformats.org/drawingml/2006/picture">
                <pic:pic>
                  <pic:nvPicPr>
                    <pic:cNvPr id="0" name="mobile_thumb_zone.png"/>
                    <pic:cNvPicPr/>
                  </pic:nvPicPr>
                  <pic:blipFill>
                    <a:blip r:embed="rId17"/>
                    <a:stretch>
                      <a:fillRect/>
                    </a:stretch>
                  </pic:blipFill>
                  <pic:spPr>
                    <a:xfrm>
                      <a:off x="0" y="0"/>
                      <a:ext cx="5303520" cy="3493061"/>
                    </a:xfrm>
                    <a:prstGeom prst="rect"/>
                  </pic:spPr>
                </pic:pic>
              </a:graphicData>
            </a:graphic>
          </wp:inline>
        </w:drawing>
      </w:r>
    </w:p>
    <w:p>
      <w:pPr>
        <w:spacing w:after="240"/>
        <w:jc w:val="center"/>
      </w:pPr>
      <w:r>
        <w:rPr>
          <w:i/>
          <w:color w:val="64748B"/>
          <w:sz w:val="19"/>
        </w:rPr>
        <w:t>Mobile interface (&lt;1024px) with 48dp minimum touch targets, sticky bottom navigation, and quick logging steppers.</w:t>
      </w:r>
    </w:p>
    <w:p>
      <w:pPr>
        <w:spacing w:before="240" w:after="80"/>
      </w:pPr>
      <w:r>
        <w:rPr>
          <w:b/>
          <w:sz w:val="22"/>
        </w:rPr>
        <w:t>• Slide-Up Barbell Plate Drawer (Mobile)</w:t>
      </w:r>
    </w:p>
    <w:p>
      <w:pPr>
        <w:spacing w:after="40"/>
        <w:jc w:val="center"/>
      </w:pPr>
    </w:p>
    <w:p>
      <w:r>
        <w:drawing>
          <wp:inline xmlns:a="http://schemas.openxmlformats.org/drawingml/2006/main" xmlns:pic="http://schemas.openxmlformats.org/drawingml/2006/picture">
            <wp:extent cx="5303520" cy="3493061"/>
            <wp:docPr id="7" name="Picture 7"/>
            <wp:cNvGraphicFramePr>
              <a:graphicFrameLocks noChangeAspect="1"/>
            </wp:cNvGraphicFramePr>
            <a:graphic>
              <a:graphicData uri="http://schemas.openxmlformats.org/drawingml/2006/picture">
                <pic:pic>
                  <pic:nvPicPr>
                    <pic:cNvPr id="0" name="mobile_plate_drawer.png"/>
                    <pic:cNvPicPr/>
                  </pic:nvPicPr>
                  <pic:blipFill>
                    <a:blip r:embed="rId18"/>
                    <a:stretch>
                      <a:fillRect/>
                    </a:stretch>
                  </pic:blipFill>
                  <pic:spPr>
                    <a:xfrm>
                      <a:off x="0" y="0"/>
                      <a:ext cx="5303520" cy="3493061"/>
                    </a:xfrm>
                    <a:prstGeom prst="rect"/>
                  </pic:spPr>
                </pic:pic>
              </a:graphicData>
            </a:graphic>
          </wp:inline>
        </w:drawing>
      </w:r>
    </w:p>
    <w:p>
      <w:pPr>
        <w:spacing w:after="240"/>
        <w:jc w:val="center"/>
      </w:pPr>
      <w:r>
        <w:rPr>
          <w:i/>
          <w:color w:val="64748B"/>
          <w:sz w:val="19"/>
        </w:rPr>
        <w:t>Slide-up drawer calculating Olympic barbell sleeve plates and displaying biomechanical form cues.</w:t>
      </w:r>
    </w:p>
    <w:p>
      <w:pPr>
        <w:spacing w:before="240" w:after="80"/>
      </w:pPr>
      <w:r>
        <w:rPr>
          <w:b/>
          <w:sz w:val="22"/>
        </w:rPr>
        <w:t>• Workout Celebration Modal</w:t>
      </w:r>
    </w:p>
    <w:p>
      <w:pPr>
        <w:spacing w:after="40"/>
        <w:jc w:val="center"/>
      </w:pPr>
    </w:p>
    <w:p>
      <w:r>
        <w:drawing>
          <wp:inline xmlns:a="http://schemas.openxmlformats.org/drawingml/2006/main" xmlns:pic="http://schemas.openxmlformats.org/drawingml/2006/picture">
            <wp:extent cx="5303520" cy="3493061"/>
            <wp:docPr id="8" name="Picture 8"/>
            <wp:cNvGraphicFramePr>
              <a:graphicFrameLocks noChangeAspect="1"/>
            </wp:cNvGraphicFramePr>
            <a:graphic>
              <a:graphicData uri="http://schemas.openxmlformats.org/drawingml/2006/picture">
                <pic:pic>
                  <pic:nvPicPr>
                    <pic:cNvPr id="0" name="workout_complete_modal.png"/>
                    <pic:cNvPicPr/>
                  </pic:nvPicPr>
                  <pic:blipFill>
                    <a:blip r:embed="rId19"/>
                    <a:stretch>
                      <a:fillRect/>
                    </a:stretch>
                  </pic:blipFill>
                  <pic:spPr>
                    <a:xfrm>
                      <a:off x="0" y="0"/>
                      <a:ext cx="5303520" cy="3493061"/>
                    </a:xfrm>
                    <a:prstGeom prst="rect"/>
                  </pic:spPr>
                </pic:pic>
              </a:graphicData>
            </a:graphic>
          </wp:inline>
        </w:drawing>
      </w:r>
    </w:p>
    <w:p>
      <w:pPr>
        <w:spacing w:after="240"/>
        <w:jc w:val="center"/>
      </w:pPr>
      <w:r>
        <w:rPr>
          <w:i/>
          <w:color w:val="64748B"/>
          <w:sz w:val="19"/>
        </w:rPr>
        <w:t>Celebration modal summarizing total volume lifted, sets completed, and newly broken Personal Records with 1-tap save to History.</w:t>
      </w:r>
    </w:p>
    <w:p>
      <w:pPr>
        <w:pStyle w:val="Heading1"/>
        <w:spacing w:before="360" w:after="160"/>
      </w:pPr>
      <w:r>
        <w:t>5. Product Manager &amp; Team Verification Playbook</w:t>
      </w:r>
    </w:p>
    <w:p>
      <w:r>
        <w:t>To run and test FitLog Pro locally, follow these simple steps:</w:t>
      </w:r>
    </w:p>
    <w:p>
      <w:pPr>
        <w:pStyle w:val="ListBullet"/>
        <w:spacing w:after="80"/>
      </w:pPr>
      <w:r>
        <w:rPr>
          <w:b/>
        </w:rPr>
        <w:t xml:space="preserve">1. Navigate to Web App: </w:t>
      </w:r>
      <w:r>
        <w:t>cd web</w:t>
      </w:r>
    </w:p>
    <w:p>
      <w:pPr>
        <w:pStyle w:val="ListBullet"/>
        <w:spacing w:after="80"/>
      </w:pPr>
      <w:r>
        <w:rPr>
          <w:b/>
        </w:rPr>
        <w:t xml:space="preserve">2. Run Automated Domain Tests: </w:t>
      </w:r>
      <w:r>
        <w:t>npm test  (Verifies 1RM formulas, overload engine, cascading library, and sync architecture. 4/4 passing)</w:t>
      </w:r>
    </w:p>
    <w:p>
      <w:pPr>
        <w:pStyle w:val="ListBullet"/>
        <w:spacing w:after="80"/>
      </w:pPr>
      <w:r>
        <w:rPr>
          <w:b/>
        </w:rPr>
        <w:t xml:space="preserve">3. Compile Production Bundle: </w:t>
      </w:r>
      <w:r>
        <w:t>npm run build  (Vite compiles production assets in 3.06s with zero errors)</w:t>
      </w:r>
    </w:p>
    <w:p>
      <w:pPr>
        <w:pStyle w:val="ListBullet"/>
        <w:spacing w:after="80"/>
      </w:pPr>
      <w:r>
        <w:rPr>
          <w:b/>
        </w:rPr>
        <w:t xml:space="preserve">4. Start Development Server: </w:t>
      </w:r>
      <w:r>
        <w:t>npm run dev  (Application goes live at http://localhost:5173)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C:/Users/user/OneDrive/Desktop/fitnessfreak/demo_videos/fitlog_e2e_walkthrough.mp4" TargetMode="External"/><Relationship Id="rId10" Type="http://schemas.openxmlformats.org/officeDocument/2006/relationships/hyperlink" Target="file:///C:/Users/user/OneDrive/Desktop/fitnessfreak/demo_videos/sprint_final_demo.mp4" TargetMode="External"/><Relationship Id="rId11" Type="http://schemas.openxmlformats.org/officeDocument/2006/relationships/hyperlink" Target="file:///C:/Users/user/OneDrive/Desktop/fitnessfreak/demo_videos/streamlined_experience.mp4"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