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i w:val="0"/>
          <w:color w:val="000000"/>
          <w:sz w:val="44"/>
        </w:rPr>
        <w:t>TheBarcode Package and Pricing Matrix</w:t>
      </w:r>
    </w:p>
    <w:p>
      <w:pPr>
        <w:spacing w:after="240"/>
      </w:pPr>
      <w:r>
        <w:rPr>
          <w:rFonts w:ascii="Aptos" w:hAnsi="Aptos"/>
          <w:b w:val="0"/>
          <w:i w:val="0"/>
          <w:color w:val="5F706E"/>
          <w:sz w:val="23"/>
        </w:rPr>
        <w:t>Commercial packaging, feature entitlements, and third party charges</w:t>
      </w:r>
    </w:p>
    <w:p>
      <w:pPr>
        <w:spacing w:after="160"/>
      </w:pPr>
      <w:r>
        <w:rPr>
          <w:rFonts w:ascii="Aptos" w:hAnsi="Aptos"/>
          <w:b/>
          <w:i w:val="0"/>
          <w:color w:val="124E4A"/>
          <w:sz w:val="21"/>
        </w:rPr>
        <w:t>Decision</w:t>
      </w:r>
      <w:r>
        <w:rPr>
          <w:rFonts w:ascii="Aptos" w:hAnsi="Aptos"/>
          <w:b w:val="0"/>
          <w:i w:val="0"/>
          <w:color w:val="15201F"/>
          <w:sz w:val="21"/>
        </w:rPr>
        <w:t xml:space="preserve"> Build the package model now, before adding customer-facing billing controls. Keep one product and one data model; enforce package differences through entitlements, limits, and deployment choices rather than copied applications.</w:t>
      </w:r>
    </w:p>
    <w:p>
      <w:pPr>
        <w:spacing w:after="160"/>
      </w:pPr>
      <w:r>
        <w:rPr>
          <w:rFonts w:ascii="Aptos" w:hAnsi="Aptos"/>
          <w:b/>
          <w:i w:val="0"/>
          <w:color w:val="124E4A"/>
          <w:sz w:val="21"/>
        </w:rPr>
        <w:t>Scope</w:t>
      </w:r>
      <w:r>
        <w:rPr>
          <w:rFonts w:ascii="Aptos" w:hAnsi="Aptos"/>
          <w:b w:val="0"/>
          <w:i w:val="0"/>
          <w:color w:val="15201F"/>
          <w:sz w:val="21"/>
        </w:rPr>
        <w:t xml:space="preserve"> This matrix is a launch recommendation for TheBarcode. Prices are proposed Kenyan shilling starting points, not final quotations. Hardware, payment providers, tax integrations, messaging providers, and custom services are priced separately where their costs vary by provider or usage.</w:t>
      </w:r>
    </w:p>
    <w:p>
      <w:pPr>
        <w:pStyle w:val="Heading1"/>
      </w:pPr>
      <w:r>
        <w:t>Recommended packages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1123"/>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Package</w:t>
            </w:r>
          </w:p>
        </w:tc>
        <w:tc>
          <w:tcPr>
            <w:tcW w:type="dxa" w:w="144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Launch price</w:t>
            </w:r>
          </w:p>
        </w:tc>
        <w:tc>
          <w:tcPr>
            <w:tcW w:type="dxa" w:w="169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Best fit</w:t>
            </w:r>
          </w:p>
        </w:tc>
        <w:tc>
          <w:tcPr>
            <w:tcW w:type="dxa" w:w="367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Included operating scope</w:t>
            </w:r>
          </w:p>
        </w:tc>
        <w:tc>
          <w:tcPr>
            <w:tcW w:type="dxa" w:w="313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Guardrails and upgrade path</w:t>
            </w:r>
          </w:p>
        </w:tc>
      </w:tr>
      <w:tr>
        <w:trPr>
          <w:cantSplit w:val="true"/>
        </w:trPr>
        <w:tc>
          <w:tcPr>
            <w:tcW w:type="dxa" w:w="1123"/>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Lite</w:t>
            </w:r>
          </w:p>
        </w:tc>
        <w:tc>
          <w:tcPr>
            <w:tcW w:type="dxa" w:w="144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KES 499 / month</w:t>
              <w:br/>
              <w:t>KES 4,990 / year</w:t>
            </w:r>
          </w:p>
        </w:tc>
        <w:tc>
          <w:tcPr>
            <w:tcW w:type="dxa" w:w="169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Solo shops and pilots</w:t>
            </w:r>
          </w:p>
        </w:tc>
        <w:tc>
          <w:tcPr>
            <w:tcW w:type="dxa" w:w="367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Local-first SQLite; one business; one device; offline POS, inventory, customers, receipts, expenses, basic reports</w:t>
            </w:r>
          </w:p>
        </w:tc>
        <w:tc>
          <w:tcPr>
            <w:tcW w:type="dxa" w:w="313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Not multi-tenant; no shared multi-terminal database; upgrade path preserves data through migration</w:t>
            </w:r>
          </w:p>
        </w:tc>
      </w:tr>
      <w:tr>
        <w:trPr>
          <w:cantSplit w:val="true"/>
        </w:trPr>
        <w:tc>
          <w:tcPr>
            <w:tcW w:type="dxa" w:w="1123"/>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Connect</w:t>
            </w:r>
          </w:p>
        </w:tc>
        <w:tc>
          <w:tcPr>
            <w:tcW w:type="dxa" w:w="144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KES 2,490 / month</w:t>
            </w:r>
          </w:p>
        </w:tc>
        <w:tc>
          <w:tcPr>
            <w:tcW w:type="dxa" w:w="169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One outlet with several staff or terminals</w:t>
            </w:r>
          </w:p>
        </w:tc>
        <w:tc>
          <w:tcPr>
            <w:tcW w:type="dxa" w:w="367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Shared PostgreSQL data; multiple terminals; roles; credit customers; expenses; suppliers; stocktakes; audit trail; PDF and spreadsheet reports</w:t>
            </w:r>
          </w:p>
        </w:tc>
        <w:tc>
          <w:tcPr>
            <w:tcW w:type="dxa" w:w="313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One business or outlet; branch and terminal limits apply</w:t>
            </w:r>
          </w:p>
        </w:tc>
      </w:tr>
      <w:tr>
        <w:trPr>
          <w:cantSplit w:val="true"/>
        </w:trPr>
        <w:tc>
          <w:tcPr>
            <w:tcW w:type="dxa" w:w="1123"/>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Growth</w:t>
            </w:r>
          </w:p>
        </w:tc>
        <w:tc>
          <w:tcPr>
            <w:tcW w:type="dxa" w:w="144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KES 5,490 / month</w:t>
            </w:r>
          </w:p>
        </w:tc>
        <w:tc>
          <w:tcPr>
            <w:tcW w:type="dxa" w:w="169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Growing retail, hospitality, bakery, or production business</w:t>
            </w:r>
          </w:p>
        </w:tc>
        <w:tc>
          <w:tcPr>
            <w:tcW w:type="dxa" w:w="367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Connect plus recipes and production, costing, purchasing, approvals, accounting, Smart Insights, online backup and up to three branches</w:t>
            </w:r>
          </w:p>
        </w:tc>
        <w:tc>
          <w:tcPr>
            <w:tcW w:type="dxa" w:w="313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Usage limits and included support level are defined in the order form</w:t>
            </w:r>
          </w:p>
        </w:tc>
      </w:tr>
      <w:tr>
        <w:trPr>
          <w:cantSplit w:val="true"/>
        </w:trPr>
        <w:tc>
          <w:tcPr>
            <w:tcW w:type="dxa" w:w="1123"/>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Enterprise</w:t>
            </w:r>
          </w:p>
        </w:tc>
        <w:tc>
          <w:tcPr>
            <w:tcW w:type="dxa" w:w="144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From KES 12,500 / month</w:t>
            </w:r>
          </w:p>
        </w:tc>
        <w:tc>
          <w:tcPr>
            <w:tcW w:type="dxa" w:w="169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Groups, chains, hotels, and multi-branch operators</w:t>
            </w:r>
          </w:p>
        </w:tc>
        <w:tc>
          <w:tcPr>
            <w:tcW w:type="dxa" w:w="367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Multi-tenant cloud, unlimited or negotiated branches and terminals, central reporting, API, integrations, advanced permissions, onboarding, SLA and priority support</w:t>
            </w:r>
          </w:p>
        </w:tc>
        <w:tc>
          <w:tcPr>
            <w:tcW w:type="dxa" w:w="3139"/>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Custom scope, data residency, integrations, and service levels are quoted</w:t>
            </w:r>
          </w:p>
        </w:tc>
      </w:tr>
    </w:tbl>
    <w:p>
      <w:pPr>
        <w:spacing w:after="40"/>
      </w:pPr>
    </w:p>
    <w:p>
      <w:pPr>
        <w:pStyle w:val="Heading1"/>
      </w:pPr>
      <w:r>
        <w:t>Feature entitlement matrix</w:t>
      </w:r>
    </w:p>
    <w:p>
      <w:pPr>
        <w:spacing w:after="140"/>
      </w:pPr>
      <w:r>
        <w:rPr>
          <w:rFonts w:ascii="Aptos" w:hAnsi="Aptos"/>
          <w:b w:val="0"/>
          <w:i w:val="0"/>
          <w:color w:val="5F706E"/>
          <w:sz w:val="20"/>
        </w:rPr>
        <w:t>A check mark means the capability is included in the package. Add-on means it can be purchased without changing the core plan. Limits should be enforced by the API, not only hidden in the user interface.</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Capability</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Lite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Connect</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Growth</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Enterprise</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Sales and POS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Offline-first operation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SQLite on one device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Local queue with shared database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Local queue with shared database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Managed sync and resilience</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Receipt printing</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USB/Bluetooth thermal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USB/Bluetooth thermal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USB/Bluetooth thermal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Central printer policies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Inventory, units and variants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Low-stock and reorder signals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Basic</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Forecasting and Smart Insights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Centralized alerts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Customers and credit control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Basic customer ledger</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Credit limits and approvals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Collections insights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Group-wide customer controls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Expenses and suppliers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Basic</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Purchasing and approvals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Central procurement</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Staff, roles and audit trail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Basic owner controls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Delegated permissions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Advanced policy controls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Stocktakes and adjustments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Transfers and approvals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Multi-branch controls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Recipes and production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Add-on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Accounting and ledgers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Add-on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 with consolidation</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Reports and PDF exports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Basic</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Operational</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Advanced and scheduled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Central and custom</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Smart Insights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Rule-based basics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Rule-based basics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 optional LLM key</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 governed AI integrations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Multi-terminal shared data</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Included</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Multi-branch and tenant isolation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Up to three branches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Backups and restore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Local backup</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Managed backup option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Online backup and restore</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Policy-managed retention</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API and integrations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Not included</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Add-on</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Selected integrations</w:t>
            </w:r>
          </w:p>
        </w:tc>
        <w:tc>
          <w:tcPr>
            <w:tcW w:type="dxa" w:w="194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Included and custom</w:t>
            </w:r>
          </w:p>
        </w:tc>
      </w:tr>
    </w:tbl>
    <w:p>
      <w:pPr>
        <w:spacing w:after="40"/>
      </w:pPr>
    </w:p>
    <w:p>
      <w:pPr>
        <w:pStyle w:val="Heading1"/>
      </w:pPr>
      <w:r>
        <w:t>Proposed separate charges</w:t>
      </w:r>
    </w:p>
    <w:p>
      <w:r>
        <w:rPr>
          <w:rFonts w:ascii="Aptos" w:hAnsi="Aptos"/>
          <w:b w:val="0"/>
          <w:i w:val="0"/>
          <w:color w:val="5F706E"/>
          <w:sz w:val="20"/>
        </w:rPr>
        <w:t>These charges keep variable third-party or service costs transparent. Where a provider charges per message, transaction, device, or tax filing, pass the provider charge through separately and show it on the customer invoice.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Charge</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Proposed price</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What it covers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Onboarding and data migration</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KES 5,000 to 25,000</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Data cleanup, import, staff setup, opening balances, and acceptance testing</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Hardware and printer setup</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Quoted</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Printer, scanner, cash drawer, cabling, driver installation, and on-site setup</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Extra terminal</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KES 500 to 1,000 / month</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Only for plans that support shared terminals; final price depends on support and device policy</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Extra branch</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KES 1,500 to 3,000 / month</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For Connect or Growth where an additional outlet is outside the included limit</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M-Pesa or payment automation</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Setup plus provider fees</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API credentials, callbacks, reconciliation, and any transaction charges</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eTIMS or tax integration</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Setup plus provider or filing fees</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Country-specific tax service, certification, and maintenance</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WhatsApp summaries</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Provider message fees plus service fee</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Template approval, message delivery, and designated-number configuration</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Custom integration or API work</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From KES 15,000</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Scope, testing, documentation, and maintenance quoted separately</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7"/>
              </w:rPr>
              <w:t>Training or on-site support</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From KES 5,000 / day</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7"/>
              </w:rPr>
              <w:t>Travel and extended support quoted separately</w:t>
            </w:r>
          </w:p>
        </w:tc>
      </w:tr>
      <w:tr>
        <w:trPr>
          <w:cantSplit w:val="true"/>
        </w:trPr>
        <w:tc>
          <w:tcPr>
            <w:tcW w:type="dxa" w:w="237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7"/>
              </w:rPr>
              <w:t>Annual prepayment</w:t>
            </w:r>
          </w:p>
        </w:tc>
        <w:tc>
          <w:tcPr>
            <w:tcW w:type="dxa" w:w="223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15 to 20 percent discount</w:t>
            </w:r>
          </w:p>
        </w:tc>
        <w:tc>
          <w:tcPr>
            <w:tcW w:type="dxa" w:w="5530"/>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7"/>
              </w:rPr>
              <w:t>Applies to eligible subscription fees; third-party charges remain pass-through</w:t>
            </w:r>
          </w:p>
        </w:tc>
      </w:tr>
    </w:tbl>
    <w:p>
      <w:pPr>
        <w:spacing w:after="40"/>
      </w:pPr>
    </w:p>
    <w:p>
      <w:pPr>
        <w:pStyle w:val="Heading1"/>
      </w:pPr>
      <w:r>
        <w:t>How one codebase serves different packages</w:t>
      </w:r>
    </w:p>
    <w:p>
      <w:pPr>
        <w:pStyle w:val="ListBullet"/>
        <w:spacing w:after="60"/>
      </w:pPr>
      <w:r>
        <w:rPr>
          <w:rFonts w:ascii="Aptos" w:hAnsi="Aptos"/>
          <w:b w:val="0"/>
          <w:i w:val="0"/>
          <w:color w:val="15201F"/>
          <w:sz w:val="21"/>
        </w:rPr>
        <w:t>Registration stores the selected plan, business industry, branch and terminal limits, trial period, billing status, and enabled modules for the institution.</w:t>
      </w:r>
    </w:p>
    <w:p>
      <w:pPr>
        <w:pStyle w:val="ListBullet"/>
        <w:spacing w:after="60"/>
      </w:pPr>
      <w:r>
        <w:rPr>
          <w:rFonts w:ascii="Aptos" w:hAnsi="Aptos"/>
          <w:b w:val="0"/>
          <w:i w:val="0"/>
          <w:color w:val="15201F"/>
          <w:sz w:val="21"/>
        </w:rPr>
        <w:t>The API is the source of truth for entitlements. Every protected action checks the module and limit before it writes data; the UI only reflects that decision and should never be the security boundary.</w:t>
      </w:r>
    </w:p>
    <w:p>
      <w:pPr>
        <w:pStyle w:val="ListBullet"/>
        <w:spacing w:after="60"/>
      </w:pPr>
      <w:r>
        <w:rPr>
          <w:rFonts w:ascii="Aptos" w:hAnsi="Aptos"/>
          <w:b w:val="0"/>
          <w:i w:val="0"/>
          <w:color w:val="15201F"/>
          <w:sz w:val="21"/>
        </w:rPr>
        <w:t>A downgrade does not delete historical data. It prevents new use of restricted capabilities, preserves existing records, and keeps an upgrade path available.</w:t>
      </w:r>
    </w:p>
    <w:p>
      <w:pPr>
        <w:pStyle w:val="ListBullet"/>
        <w:spacing w:after="60"/>
      </w:pPr>
      <w:r>
        <w:rPr>
          <w:rFonts w:ascii="Aptos" w:hAnsi="Aptos"/>
          <w:b w:val="0"/>
          <w:i w:val="0"/>
          <w:color w:val="15201F"/>
          <w:sz w:val="21"/>
        </w:rPr>
        <w:t>Lite remains a local SQLite product. Connect, Growth, and Enterprise use the same domain model with shared PostgreSQL and institution-scoped data. A tested migration converts Lite data into the shared model after backup and validation.</w:t>
      </w:r>
    </w:p>
    <w:p>
      <w:pPr>
        <w:pStyle w:val="ListBullet"/>
        <w:spacing w:after="60"/>
      </w:pPr>
      <w:r>
        <w:rPr>
          <w:rFonts w:ascii="Aptos" w:hAnsi="Aptos"/>
          <w:b w:val="0"/>
          <w:i w:val="0"/>
          <w:color w:val="15201F"/>
          <w:sz w:val="21"/>
        </w:rPr>
        <w:t>Package changes are auditable. Owners can see the plan, module state, billing state, effective date, limits, and the user or service that changed them.</w:t>
      </w:r>
    </w:p>
    <w:p>
      <w:pPr>
        <w:pStyle w:val="Heading1"/>
      </w:pPr>
      <w:r>
        <w:t>Build sequence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22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When</w:t>
            </w:r>
          </w:p>
        </w:tc>
        <w:tc>
          <w:tcPr>
            <w:tcW w:type="dxa" w:w="273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Workstream</w:t>
            </w:r>
          </w:p>
        </w:tc>
        <w:tc>
          <w:tcPr>
            <w:tcW w:type="dxa" w:w="619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124E4A"/>
          </w:tcPr>
          <w:p>
            <w:pPr>
              <w:spacing w:after="0" w:line="252" w:lineRule="auto"/>
              <w:jc w:val="left"/>
            </w:pPr>
            <w:r/>
            <w:r>
              <w:rPr>
                <w:rFonts w:ascii="Aptos" w:hAnsi="Aptos"/>
                <w:b/>
                <w:i w:val="0"/>
                <w:color w:val="FFFFFF"/>
                <w:sz w:val="18"/>
              </w:rPr>
              <w:t>Outcome</w:t>
            </w:r>
          </w:p>
        </w:tc>
      </w:tr>
      <w:tr>
        <w:trPr>
          <w:cantSplit w:val="true"/>
        </w:trPr>
        <w:tc>
          <w:tcPr>
            <w:tcW w:type="dxa" w:w="122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8"/>
              </w:rPr>
              <w:t>Now</w:t>
            </w:r>
          </w:p>
        </w:tc>
        <w:tc>
          <w:tcPr>
            <w:tcW w:type="dxa" w:w="273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8"/>
              </w:rPr>
              <w:t>Catalog and entitlement foundation</w:t>
            </w:r>
          </w:p>
        </w:tc>
        <w:tc>
          <w:tcPr>
            <w:tcW w:type="dxa" w:w="619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8"/>
              </w:rPr>
              <w:t>Plan codes, module registry, limits, institution settings, registration selection, trial and expiry states, and audit events.</w:t>
            </w:r>
          </w:p>
        </w:tc>
      </w:tr>
      <w:tr>
        <w:trPr>
          <w:cantSplit w:val="true"/>
        </w:trPr>
        <w:tc>
          <w:tcPr>
            <w:tcW w:type="dxa" w:w="122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8"/>
              </w:rPr>
              <w:t>Next</w:t>
            </w:r>
          </w:p>
        </w:tc>
        <w:tc>
          <w:tcPr>
            <w:tcW w:type="dxa" w:w="273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8"/>
              </w:rPr>
              <w:t>Customer self-service and billing adapter</w:t>
            </w:r>
          </w:p>
        </w:tc>
        <w:tc>
          <w:tcPr>
            <w:tcW w:type="dxa" w:w="619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8"/>
              </w:rPr>
              <w:t>Payment status callback, renewal grace period, receipts for subscriptions, and admin override without reinstalling the app.</w:t>
            </w:r>
          </w:p>
        </w:tc>
      </w:tr>
      <w:tr>
        <w:trPr>
          <w:cantSplit w:val="true"/>
        </w:trPr>
        <w:tc>
          <w:tcPr>
            <w:tcW w:type="dxa" w:w="122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i w:val="0"/>
                <w:color w:val="15201F"/>
                <w:sz w:val="18"/>
              </w:rPr>
              <w:t>Later</w:t>
            </w:r>
          </w:p>
        </w:tc>
        <w:tc>
          <w:tcPr>
            <w:tcW w:type="dxa" w:w="273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8"/>
              </w:rPr>
              <w:t>Provider integrations</w:t>
            </w:r>
          </w:p>
        </w:tc>
        <w:tc>
          <w:tcPr>
            <w:tcW w:type="dxa" w:w="619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tcPr>
          <w:p>
            <w:pPr>
              <w:spacing w:after="0" w:line="252" w:lineRule="auto"/>
              <w:jc w:val="left"/>
            </w:pPr>
            <w:r/>
            <w:r>
              <w:rPr>
                <w:rFonts w:ascii="Aptos" w:hAnsi="Aptos"/>
                <w:b w:val="0"/>
                <w:i w:val="0"/>
                <w:color w:val="15201F"/>
                <w:sz w:val="18"/>
              </w:rPr>
              <w:t>M-Pesa automation, eTIMS, WhatsApp, accounting export, and domain-specific connectors behind add-on entitlements.</w:t>
            </w:r>
          </w:p>
        </w:tc>
      </w:tr>
      <w:tr>
        <w:trPr>
          <w:cantSplit w:val="true"/>
        </w:trPr>
        <w:tc>
          <w:tcPr>
            <w:tcW w:type="dxa" w:w="1224"/>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i w:val="0"/>
                <w:color w:val="15201F"/>
                <w:sz w:val="18"/>
              </w:rPr>
              <w:t>Always</w:t>
            </w:r>
          </w:p>
        </w:tc>
        <w:tc>
          <w:tcPr>
            <w:tcW w:type="dxa" w:w="2736"/>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8"/>
              </w:rPr>
              <w:t>Data safety</w:t>
            </w:r>
          </w:p>
        </w:tc>
        <w:tc>
          <w:tcPr>
            <w:tcW w:type="dxa" w:w="6192"/>
            <w:vAlign w:val="center"/>
            <w:tcMar>
              <w:top w:w="90" w:type="dxa"/>
              <w:start w:w="110" w:type="dxa"/>
              <w:bottom w:w="90" w:type="dxa"/>
              <w:end w:w="110" w:type="dxa"/>
            </w:tcMar>
            <w:tcBorders>
              <w:top w:val="single" w:sz="6" w:space="0" w:color="D9E1E0"/>
              <w:left w:val="single" w:sz="6" w:space="0" w:color="D9E1E0"/>
              <w:bottom w:val="single" w:sz="6" w:space="0" w:color="D9E1E0"/>
              <w:right w:val="single" w:sz="6" w:space="0" w:color="D9E1E0"/>
              <w:insideH w:val="single" w:sz="6" w:space="0" w:color="D9E1E0"/>
              <w:insideV w:val="single" w:sz="6" w:space="0" w:color="D9E1E0"/>
            </w:tcBorders>
            <w:shd w:fill="F7FAF9"/>
          </w:tcPr>
          <w:p>
            <w:pPr>
              <w:spacing w:after="0" w:line="252" w:lineRule="auto"/>
              <w:jc w:val="left"/>
            </w:pPr>
            <w:r/>
            <w:r>
              <w:rPr>
                <w:rFonts w:ascii="Aptos" w:hAnsi="Aptos"/>
                <w:b w:val="0"/>
                <w:i w:val="0"/>
                <w:color w:val="15201F"/>
                <w:sz w:val="18"/>
              </w:rPr>
              <w:t>Backups before migrations, no destructive downgrade, clear export path, and versioned database migrations.</w:t>
            </w:r>
          </w:p>
        </w:tc>
      </w:tr>
    </w:tbl>
    <w:p>
      <w:pPr>
        <w:spacing w:after="40"/>
      </w:pPr>
    </w:p>
    <w:p>
      <w:pPr>
        <w:pStyle w:val="Heading1"/>
      </w:pPr>
      <w:r>
        <w:t>Market context</w:t>
      </w:r>
    </w:p>
    <w:p>
      <w:r>
        <w:rPr>
          <w:rFonts w:ascii="Aptos" w:hAnsi="Aptos"/>
          <w:b w:val="0"/>
          <w:i w:val="0"/>
          <w:color w:val="15201F"/>
          <w:sz w:val="20"/>
        </w:rPr>
        <w:t>The proposed prices sit between local entry POS products and higher-touch multi-branch systems. Public Kenyan examples show entry plans around KES 300 to 1,500 per month, growing plans around KES 2,000 to 6,800, and enterprise or managed offerings from roughly KES 12,750. International products such as Loyverse use a free core with paid add-ons. Validate willingness to pay with five to ten pilot businesses before locking the catalogue.</w:t>
      </w:r>
    </w:p>
    <w:p>
      <w:pPr>
        <w:spacing w:before="60" w:after="120"/>
      </w:pPr>
      <w:r>
        <w:rPr>
          <w:rFonts w:ascii="Aptos" w:hAnsi="Aptos"/>
          <w:b w:val="0"/>
          <w:i w:val="0"/>
          <w:color w:val="5F706E"/>
          <w:sz w:val="16"/>
        </w:rPr>
        <w:t>Kiosk.ke: https://kiosk.ke/ (Kenyan POS plan reference)</w:t>
        <w:br/>
      </w:r>
      <w:r>
        <w:rPr>
          <w:rFonts w:ascii="Aptos" w:hAnsi="Aptos"/>
          <w:b w:val="0"/>
          <w:i w:val="0"/>
          <w:color w:val="5F706E"/>
          <w:sz w:val="16"/>
        </w:rPr>
        <w:t>Bizflow: https://www.bizflow.ke/pricing (Kenyan operations pricing reference)</w:t>
        <w:br/>
      </w:r>
      <w:r>
        <w:rPr>
          <w:rFonts w:ascii="Aptos" w:hAnsi="Aptos"/>
          <w:b w:val="0"/>
          <w:i w:val="0"/>
          <w:color w:val="5F706E"/>
          <w:sz w:val="16"/>
        </w:rPr>
        <w:t>UZAHUB: https://www.uzahub.app/ (Kenyan retail and business platform reference)</w:t>
        <w:br/>
      </w:r>
      <w:r>
        <w:rPr>
          <w:rFonts w:ascii="Aptos" w:hAnsi="Aptos"/>
          <w:b w:val="0"/>
          <w:i w:val="0"/>
          <w:color w:val="5F706E"/>
          <w:sz w:val="16"/>
        </w:rPr>
        <w:t>Tilloza: https://tilloza.com/ (Kenyan POS pricing reference)</w:t>
        <w:br/>
      </w:r>
      <w:r>
        <w:rPr>
          <w:rFonts w:ascii="Aptos" w:hAnsi="Aptos"/>
          <w:b w:val="0"/>
          <w:i w:val="0"/>
          <w:color w:val="5F706E"/>
          <w:sz w:val="16"/>
        </w:rPr>
        <w:t>Maamul: https://www.maamul.com/ (Kenyan managed business platform reference)</w:t>
        <w:br/>
      </w:r>
      <w:r>
        <w:rPr>
          <w:rFonts w:ascii="Aptos" w:hAnsi="Aptos"/>
          <w:b w:val="0"/>
          <w:i w:val="0"/>
          <w:color w:val="5F706E"/>
          <w:sz w:val="16"/>
        </w:rPr>
        <w:t>Loyverse: https://loyverse.com/en-us/pricing (International free-core and add-on model)</w:t>
      </w:r>
    </w:p>
    <w:p>
      <w:pPr>
        <w:spacing w:before="200"/>
      </w:pPr>
      <w:r>
        <w:rPr>
          <w:rFonts w:ascii="Aptos" w:hAnsi="Aptos"/>
          <w:b/>
          <w:i w:val="0"/>
          <w:color w:val="124E4A"/>
          <w:sz w:val="21"/>
        </w:rPr>
        <w:t>Owner decision requested</w:t>
      </w:r>
      <w:r>
        <w:rPr>
          <w:rFonts w:ascii="Aptos" w:hAnsi="Aptos"/>
          <w:b w:val="0"/>
          <w:i w:val="0"/>
          <w:color w:val="15201F"/>
          <w:sz w:val="21"/>
        </w:rPr>
        <w:t xml:space="preserve"> Approve the four-plan structure and the entitlement fields first. Then implement the registration and module-gating foundation while the current local product remains fully usable. Payment collection can be plugged in later without redesigning the data model.</w:t>
      </w:r>
    </w:p>
    <w:sectPr w:rsidR="00FC693F" w:rsidRPr="0006063C" w:rsidSect="00034616">
      <w:footerReference w:type="default" r:id="rId9"/>
      <w:pgSz w:w="12240" w:h="15840"/>
      <w:pgMar w:top="893"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706E"/>
        <w:sz w:val="16"/>
      </w:rPr>
      <w:t>TheBarcode | Package and pricing matrix | Proposed launch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520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val="0"/>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TheBarcode Package and Pricing Matrix</dc:title>
  <dc:subject>Commercial packaging, feature entitlements, and third party charges</dc:subject>
  <dc:creator>Beyond Raw Data</dc:creator>
  <cp:keywords>TheBarcode, packages, pricing, modules, entitlements</cp:keywords>
  <dc:description>generated by python-docx</dc:description>
  <cp:lastModifiedBy/>
  <cp:revision>1</cp:revision>
  <dcterms:created xsi:type="dcterms:W3CDTF">2013-12-23T23:15:00Z</dcterms:created>
  <dcterms:modified xsi:type="dcterms:W3CDTF">2013-12-23T23:15:00Z</dcterms:modified>
  <cp:category/>
</cp:coreProperties>
</file>