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71D" w:rsidRDefault="00FF7A78">
      <w:pPr>
        <w:spacing w:after="80"/>
      </w:pPr>
      <w:r>
        <w:rPr>
          <w:b/>
          <w:bCs/>
          <w:color w:val="1A3A4D"/>
          <w:sz w:val="44"/>
          <w:szCs w:val="44"/>
        </w:rPr>
        <w:t>EV Charging Station Maintenance</w:t>
      </w:r>
    </w:p>
    <w:p w:rsidR="0017671D" w:rsidRDefault="00FF7A78">
      <w:pPr>
        <w:spacing w:after="360"/>
      </w:pPr>
      <w:r>
        <w:rPr>
          <w:color w:val="2C5F7C"/>
          <w:sz w:val="28"/>
          <w:szCs w:val="28"/>
        </w:rPr>
        <w:t>Optimizing Technician Dispatch — A Longitudinal Analysis</w:t>
      </w:r>
    </w:p>
    <w:p w:rsidR="0017671D" w:rsidRDefault="00FF7A78">
      <w:pPr>
        <w:pStyle w:val="Heading1"/>
      </w:pPr>
      <w:r>
        <w:t>Executive Summary</w:t>
      </w:r>
    </w:p>
    <w:p w:rsidR="0017671D" w:rsidRDefault="00FF7A78">
      <w:pPr>
        <w:spacing w:after="160"/>
      </w:pPr>
      <w:r>
        <w:rPr>
          <w:i/>
          <w:iCs/>
          <w:color w:val="888888"/>
        </w:rPr>
        <w:t>To be written last, once all analyses are complete.</w:t>
      </w:r>
    </w:p>
    <w:p w:rsidR="0017671D" w:rsidRDefault="00FF7A78">
      <w:pPr>
        <w:pStyle w:val="Heading1"/>
      </w:pPr>
      <w:r>
        <w:t>1. Background</w:t>
      </w:r>
    </w:p>
    <w:p w:rsidR="0017671D" w:rsidRDefault="00FF7A78">
      <w:pPr>
        <w:spacing w:after="160" w:line="320" w:lineRule="auto"/>
        <w:jc w:val="both"/>
      </w:pPr>
      <w:r>
        <w:t>A network of 638 electric-vehicle charging stations is currently operated under a uniform maintenance policy: a technician visits every station every two to four weeks, regardless of how heavily the station is used or what time of year it is.</w:t>
      </w:r>
    </w:p>
    <w:p w:rsidR="0017671D" w:rsidRDefault="00FF7A78">
      <w:pPr>
        <w:spacing w:after="160" w:line="320" w:lineRule="auto"/>
        <w:jc w:val="both"/>
      </w:pPr>
      <w:r>
        <w:t xml:space="preserve">The operator </w:t>
      </w:r>
      <w:r>
        <w:t>wants to know whether this fixed cycle should be adapted. Two operational hypotheses are on the table:</w:t>
      </w:r>
    </w:p>
    <w:p w:rsidR="0017671D" w:rsidRDefault="00FF7A78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Utilization-based scheduling. </w:t>
      </w:r>
      <w:r>
        <w:t xml:space="preserve">Stations with heavier traffic may wear out faster and warrant more frequent visits, while quieter stations could be safely </w:t>
      </w:r>
      <w:r>
        <w:t>visited less often.</w:t>
      </w:r>
    </w:p>
    <w:p w:rsidR="0017671D" w:rsidRDefault="00FF7A78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Seasonal scheduling. </w:t>
      </w:r>
      <w:r>
        <w:t>Failure rates may rise in spring or summer due to higher usage and weather stress, justifying a tighter cycle in those months.</w:t>
      </w:r>
    </w:p>
    <w:p w:rsidR="0017671D" w:rsidRDefault="00FF7A78">
      <w:pPr>
        <w:spacing w:after="160" w:line="320" w:lineRule="auto"/>
        <w:jc w:val="both"/>
      </w:pPr>
      <w:r>
        <w:t>The goal is twofold: maintain network reliability (few incidents) while reducing unneces</w:t>
      </w:r>
      <w:r>
        <w:t>sary technician deployments. This report analyzes six months of operational data to evaluate both hypotheses.</w:t>
      </w:r>
    </w:p>
    <w:p w:rsidR="0017671D" w:rsidRDefault="00FF7A78">
      <w:pPr>
        <w:pStyle w:val="Heading1"/>
      </w:pPr>
      <w:r>
        <w:t>2. Data</w:t>
      </w:r>
    </w:p>
    <w:p w:rsidR="0017671D" w:rsidRDefault="00FF7A78">
      <w:pPr>
        <w:pStyle w:val="Heading2"/>
      </w:pPr>
      <w:r>
        <w:t>2.1 Source and structure</w:t>
      </w:r>
    </w:p>
    <w:p w:rsidR="0017671D" w:rsidRDefault="00FF7A78">
      <w:pPr>
        <w:spacing w:after="160" w:line="320" w:lineRule="auto"/>
        <w:jc w:val="both"/>
      </w:pPr>
      <w:r>
        <w:t>The dataset covers 638 charging locations over six months (January to June 2024) and is organized across three da</w:t>
      </w:r>
      <w:r>
        <w:t>ta sheets at the (location, month) level:</w:t>
      </w:r>
    </w:p>
    <w:p w:rsidR="0017671D" w:rsidRDefault="00FF7A78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Sessions </w:t>
      </w:r>
      <w:r>
        <w:t>records charging activity per location and month, including the number of charging points (</w:t>
      </w:r>
      <w:r>
        <w:rPr>
          <w:i/>
          <w:iCs/>
        </w:rPr>
        <w:t>evse_count</w:t>
      </w:r>
      <w:r>
        <w:t>), the total number of charging sessions (</w:t>
      </w:r>
      <w:r>
        <w:rPr>
          <w:i/>
          <w:iCs/>
        </w:rPr>
        <w:t>session_count</w:t>
      </w:r>
      <w:r>
        <w:t>), the per-charging-point session count (</w:t>
      </w:r>
      <w:r>
        <w:rPr>
          <w:i/>
          <w:iCs/>
        </w:rPr>
        <w:t>sessions</w:t>
      </w:r>
      <w:r>
        <w:rPr>
          <w:i/>
          <w:iCs/>
        </w:rPr>
        <w:t>_per_evse</w:t>
      </w:r>
      <w:r>
        <w:t>), and the average session duration in seconds.</w:t>
      </w:r>
    </w:p>
    <w:p w:rsidR="0017671D" w:rsidRDefault="00FF7A78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Tasks </w:t>
      </w:r>
      <w:r>
        <w:t>records the number of completed technician visits per location and month (</w:t>
      </w:r>
      <w:r>
        <w:rPr>
          <w:i/>
          <w:iCs/>
        </w:rPr>
        <w:t>tasks_solved</w:t>
      </w:r>
      <w:r>
        <w:t>). A task corresponds to a scheduled inspection visit during which the technician checks the equipment.</w:t>
      </w:r>
    </w:p>
    <w:p w:rsidR="0017671D" w:rsidRDefault="00FF7A78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lastRenderedPageBreak/>
        <w:t>Inc</w:t>
      </w:r>
      <w:r>
        <w:rPr>
          <w:b/>
          <w:bCs/>
        </w:rPr>
        <w:t xml:space="preserve">idents </w:t>
      </w:r>
      <w:r>
        <w:t>records the number of defects documented during these visits per location and month (</w:t>
      </w:r>
      <w:r>
        <w:rPr>
          <w:i/>
          <w:iCs/>
        </w:rPr>
        <w:t>incidents_created</w:t>
      </w:r>
      <w:r>
        <w:t xml:space="preserve">). An incident is a noticeable hardware issue — for example, a defective plug or a broken display — observed and logged by the technician during a </w:t>
      </w:r>
      <w:r>
        <w:t>task.</w:t>
      </w:r>
    </w:p>
    <w:p w:rsidR="0017671D" w:rsidRDefault="00FF7A78">
      <w:pPr>
        <w:spacing w:after="160" w:line="320" w:lineRule="auto"/>
        <w:jc w:val="both"/>
      </w:pPr>
      <w:r>
        <w:t xml:space="preserve">A key structural property of the data: incidents can only be reported during a task. There is no mechanism for an incident to be recorded outside of a technician visit. This dependency between tasks and incidents is central to the analytical framing </w:t>
      </w:r>
      <w:r>
        <w:t>developed in Section 3.</w:t>
      </w:r>
    </w:p>
    <w:p w:rsidR="0017671D" w:rsidRDefault="00FF7A78">
      <w:pPr>
        <w:pStyle w:val="Heading2"/>
      </w:pPr>
      <w:r>
        <w:t>2.2 Coverage and missing data</w:t>
      </w:r>
    </w:p>
    <w:p w:rsidR="0017671D" w:rsidRDefault="00FF7A78">
      <w:pPr>
        <w:spacing w:after="160" w:line="320" w:lineRule="auto"/>
        <w:jc w:val="both"/>
      </w:pPr>
      <w:r>
        <w:t>Coverage of the three sheets is uneven. The Sessions sheet is the most complete: charging activity was recorded for 3,661 (location, month) cells across the six-month window, covering all 638 unique loc</w:t>
      </w:r>
      <w:r>
        <w:t>ations. The Tasks sheet contains 2,407 records covering 572 locations, meaning approximately 35% of (location, month) cells with charging activity have no associated technician visit recorded. The Incidents sheet contains 1,040 records covering 454 locatio</w:t>
      </w:r>
      <w:r>
        <w:t>ns, meaning approximately 72% of cells have no incident record.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2600"/>
      </w:tblGrid>
      <w:tr w:rsidR="0017671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b/>
                <w:bCs/>
                <w:sz w:val="20"/>
                <w:szCs w:val="20"/>
              </w:rPr>
              <w:t>Sheet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Rows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Unique locations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Cell-level coverage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3,661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638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100%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Tasks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2,407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572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65.4%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Incidents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1,040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454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28.1%</w:t>
            </w:r>
          </w:p>
        </w:tc>
      </w:tr>
    </w:tbl>
    <w:p w:rsidR="0017671D" w:rsidRDefault="00FF7A78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Table 1. Recording coverage across the three data sheets.</w:t>
      </w:r>
    </w:p>
    <w:p w:rsidR="0017671D" w:rsidRDefault="00FF7A78">
      <w:pPr>
        <w:spacing w:after="160" w:line="320" w:lineRule="auto"/>
        <w:jc w:val="both"/>
      </w:pPr>
      <w:r>
        <w:t>The monthly breakdown reveals a notable operational pattern: the number of recorded technician visits rises substantially over the period, from 302 in January to 482 in June. This 60% increase is unlikely to reflect a sudden change in maintenance policy an</w:t>
      </w:r>
      <w:r>
        <w:t>d more plausibly indicates a ramp-up in operational data recording during the early months of the year. This pattern matters when interpreting January results in the seasonality analysis (Section 5.2).</w:t>
      </w:r>
    </w:p>
    <w:p w:rsidR="0017671D" w:rsidRDefault="00FF7A7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143500" cy="2514600"/>
            <wp:effectExtent l="0" t="0" r="0" b="0"/>
            <wp:docPr id="1" name="coverage_by_month.png" descr="coverage_by_month.png" title="coverage_by_mon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1D" w:rsidRDefault="00FF7A78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1. Number of (location, month) cells with a r</w:t>
      </w:r>
      <w:r>
        <w:rPr>
          <w:i/>
          <w:iCs/>
          <w:color w:val="555555"/>
          <w:sz w:val="20"/>
          <w:szCs w:val="20"/>
        </w:rPr>
        <w:t>ecorded technician visit, by month.</w:t>
      </w:r>
    </w:p>
    <w:p w:rsidR="0017671D" w:rsidRDefault="00FF7A78">
      <w:pPr>
        <w:spacing w:after="160" w:line="320" w:lineRule="auto"/>
        <w:jc w:val="both"/>
      </w:pPr>
      <w:r>
        <w:t>The interpretation of missing values in the Incidents sheet requires care. A (location, month) cell with no incident record can mean either that the technician visited and found no defects, or that the visit did not happ</w:t>
      </w:r>
      <w:r>
        <w:t>en and no record was created. These two interpretations lead to materially different incident-rate estimates. To address this ambiguity, all analyses are run under both assumptions:</w:t>
      </w:r>
    </w:p>
    <w:p w:rsidR="0017671D" w:rsidRDefault="00FF7A78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>Missing as zero</w:t>
      </w:r>
      <w:r>
        <w:t>: where a technician visit was recorded but no incident row</w:t>
      </w:r>
      <w:r>
        <w:t xml:space="preserve"> exists, we treat the incident count as zero. Under this assumption, the analysis sample contains 2,396 (location, month) observations with a mean incident rate of approximately 10%.</w:t>
      </w:r>
    </w:p>
    <w:p w:rsidR="0017671D" w:rsidRDefault="00FF7A78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>Missing as unknown</w:t>
      </w:r>
      <w:r>
        <w:t>: rows with missing incident or task values are exclude</w:t>
      </w:r>
      <w:r>
        <w:t>d entirely. This conservative subset contains 1,030 observations with a mean incident rate of approximately 24%.</w:t>
      </w:r>
    </w:p>
    <w:p w:rsidR="0017671D" w:rsidRDefault="00FF7A78">
      <w:pPr>
        <w:spacing w:after="160" w:line="320" w:lineRule="auto"/>
        <w:jc w:val="both"/>
      </w:pPr>
      <w:r>
        <w:t>The primary analysis uses the missing as zero assumption, which aligns with the operator’s data-collection process: every station is on a fixed</w:t>
      </w:r>
      <w:r>
        <w:t xml:space="preserve"> inspection cycle, so the standard outcome of a visit is "no incident found." The missing as unknown assumption is used as a robustness check in Section 6 to confirm that conclusions do not depend on this choice.</w:t>
      </w:r>
    </w:p>
    <w:p w:rsidR="0017671D" w:rsidRDefault="00FF7A78">
      <w:pPr>
        <w:pStyle w:val="Heading2"/>
      </w:pPr>
      <w:r>
        <w:t>2.3 Descriptive statistics</w:t>
      </w:r>
    </w:p>
    <w:p w:rsidR="0017671D" w:rsidRDefault="00FF7A78">
      <w:pPr>
        <w:spacing w:after="160" w:line="320" w:lineRule="auto"/>
        <w:jc w:val="both"/>
      </w:pPr>
      <w:r>
        <w:t>The following ta</w:t>
      </w:r>
      <w:r>
        <w:t>ble summarizes the key variables on the analysis sample (2,396 (location, month) cells under the missing-as-zero assumption). Three properties of the data shape the modelling decisions in the next section: utilization is positive and right-skewed, the coun</w:t>
      </w:r>
      <w:r>
        <w:t>t variables (tasks_solved, incidents_created) are bounded below by zero with long upper tails, and the outcome of interest — the incident rate — has a heavy mass at zero.</w:t>
      </w:r>
    </w:p>
    <w:p w:rsidR="00F83E66" w:rsidRDefault="00F83E66">
      <w:pPr>
        <w:spacing w:after="160" w:line="320" w:lineRule="auto"/>
        <w:jc w:val="both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000"/>
        <w:gridCol w:w="1100"/>
        <w:gridCol w:w="900"/>
        <w:gridCol w:w="900"/>
        <w:gridCol w:w="1300"/>
        <w:gridCol w:w="1100"/>
      </w:tblGrid>
      <w:tr w:rsidR="001767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b/>
                <w:bCs/>
                <w:sz w:val="20"/>
                <w:szCs w:val="20"/>
              </w:rPr>
              <w:lastRenderedPageBreak/>
              <w:t>Variable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Mean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Median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Std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Max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% zeros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utilization (sessions/EVSE)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155.3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123.2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111.2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704.7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0%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session_count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959.8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801.0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716.3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3.0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6510.0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0%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evse_count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6.7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6.0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27.0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0%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tasks_solved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11.9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12.0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72.0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0%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incidents_created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1.8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25.0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57%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incident_rate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0.24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6.00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57%</w:t>
            </w:r>
          </w:p>
        </w:tc>
      </w:tr>
    </w:tbl>
    <w:p w:rsidR="0017671D" w:rsidRDefault="00FF7A78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Table 2. Descriptive statistics for the analysis sample (n = 2,396).</w:t>
      </w:r>
    </w:p>
    <w:p w:rsidR="0017671D" w:rsidRDefault="00FF7A78">
      <w:pPr>
        <w:spacing w:after="160" w:line="320" w:lineRule="auto"/>
        <w:jc w:val="both"/>
      </w:pPr>
      <w:r>
        <w:t>The distributions of the four variables that will enter the model are shown below. Utilization, plotted on a log scale, is approximately log-normal — bell-shaped on the log axis. Tasks_so</w:t>
      </w:r>
      <w:r>
        <w:t>lved is roughly unimodal around 12 visits per location-month, with a long tail. Incidents_created and the incident rate are dominated by zero values: 57% of observations have no incident at all, with the rest concentrated below 0.4 incidents per task and a</w:t>
      </w:r>
      <w:r>
        <w:t xml:space="preserve"> small handful of outliers.</w:t>
      </w:r>
    </w:p>
    <w:p w:rsidR="0017671D" w:rsidRDefault="00FF7A78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143500" cy="3524250"/>
            <wp:effectExtent l="0" t="0" r="0" b="0"/>
            <wp:docPr id="2" name="distributions.png" descr="distributions.png" title="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1D" w:rsidRDefault="00FF7A78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2. Distributions of the four key modelling variables.</w:t>
      </w:r>
    </w:p>
    <w:p w:rsidR="0017671D" w:rsidRDefault="00FF7A78">
      <w:pPr>
        <w:spacing w:after="160" w:line="320" w:lineRule="auto"/>
        <w:jc w:val="both"/>
      </w:pPr>
      <w:r>
        <w:t>Two consequences for the analysis follow directly. First, because utilization is log-normal, the joint model in Section 5.3 uses log(utilization) rather than the raw</w:t>
      </w:r>
      <w:r>
        <w:t xml:space="preserve"> value — this normalizes the scale and makes the multiplicative interpretation natural. Second, because the incident rate is zero-heavy, we use a Poisson-</w:t>
      </w:r>
      <w:r>
        <w:lastRenderedPageBreak/>
        <w:t xml:space="preserve">family model rather than a Gaussian regression: Poisson is well-suited to non-negative count outcomes </w:t>
      </w:r>
      <w:r>
        <w:t>with concentrations at zero.</w:t>
      </w:r>
    </w:p>
    <w:p w:rsidR="0017671D" w:rsidRDefault="00FF7A78">
      <w:pPr>
        <w:pStyle w:val="Heading1"/>
      </w:pPr>
      <w:r>
        <w:t>3. Analytical Framing</w:t>
      </w:r>
    </w:p>
    <w:p w:rsidR="0017671D" w:rsidRDefault="00FF7A78">
      <w:pPr>
        <w:spacing w:after="160" w:line="320" w:lineRule="auto"/>
        <w:jc w:val="both"/>
      </w:pPr>
      <w:r>
        <w:t>The most important methodological choice in this analysis concerns the unit of analysis. The intuitive approach to the operator’s question is to model the raw number of incidents as a function of utilization: do busier stations log more incidents? But this</w:t>
      </w:r>
      <w:r>
        <w:t xml:space="preserve"> approach has a subtle confound that, if uncorrected, leads to misleading conclusions.</w:t>
      </w:r>
    </w:p>
    <w:p w:rsidR="0017671D" w:rsidRDefault="00FF7A78">
      <w:pPr>
        <w:spacing w:after="160" w:line="320" w:lineRule="auto"/>
        <w:jc w:val="both"/>
      </w:pPr>
      <w:r>
        <w:rPr>
          <w:b/>
          <w:bCs/>
        </w:rPr>
        <w:t xml:space="preserve">The confound. </w:t>
      </w:r>
      <w:r>
        <w:t>An incident can only be recorded during a technician visit. The number of incidents at a given station in a given month is therefore the product of two fac</w:t>
      </w:r>
      <w:r>
        <w:t>tors:</w:t>
      </w:r>
    </w:p>
    <w:p w:rsidR="0017671D" w:rsidRDefault="00FF7A78">
      <w:pPr>
        <w:spacing w:after="160" w:line="320" w:lineRule="auto"/>
        <w:jc w:val="center"/>
      </w:pPr>
      <w:r>
        <w:rPr>
          <w:i/>
          <w:iCs/>
        </w:rPr>
        <w:t>incidents = tasks × (incidents per task)</w:t>
      </w:r>
    </w:p>
    <w:p w:rsidR="0017671D" w:rsidRDefault="00FF7A78">
      <w:pPr>
        <w:spacing w:after="160" w:line="320" w:lineRule="auto"/>
        <w:jc w:val="both"/>
      </w:pPr>
      <w:r>
        <w:t>A regression of raw incident counts on utilization (or on tasks) is unable to separate these two factors. A positive coefficient may reflect either that busy stations actually fail more (the question of intere</w:t>
      </w:r>
      <w:r>
        <w:t>st) or simply that busy stations are inspected more thoroughly and therefore accumulate more recorded defects (a mechanical artefact of the inspection process). The two are statistically indistinguishable in a model that does not condition on inspection vo</w:t>
      </w:r>
      <w:r>
        <w:t>lume.</w:t>
      </w:r>
    </w:p>
    <w:p w:rsidR="0017671D" w:rsidRDefault="00FF7A78">
      <w:pPr>
        <w:spacing w:after="160" w:line="320" w:lineRule="auto"/>
        <w:jc w:val="both"/>
      </w:pPr>
      <w:r>
        <w:rPr>
          <w:b/>
          <w:bCs/>
        </w:rPr>
        <w:t xml:space="preserve">The fix. </w:t>
      </w:r>
      <w:r>
        <w:t xml:space="preserve">Throughout this report, the unit of analysis is the </w:t>
      </w:r>
      <w:r>
        <w:rPr>
          <w:b/>
          <w:bCs/>
        </w:rPr>
        <w:t>incident rate</w:t>
      </w:r>
      <w:r>
        <w:t xml:space="preserve"> — the number of incidents found per technician visit. The rate answers the operator’s actual question directly: </w:t>
      </w:r>
      <w:r>
        <w:rPr>
          <w:i/>
          <w:iCs/>
        </w:rPr>
        <w:t>given that we visit a station, how often do we find something b</w:t>
      </w:r>
      <w:r>
        <w:rPr>
          <w:i/>
          <w:iCs/>
        </w:rPr>
        <w:t>roken?</w:t>
      </w:r>
      <w:r>
        <w:t xml:space="preserve"> Modelling the rate isolates station condition from inspection frequency and removes the confound described above.</w:t>
      </w:r>
    </w:p>
    <w:p w:rsidR="0017671D" w:rsidRDefault="00FF7A78">
      <w:pPr>
        <w:spacing w:after="160" w:line="320" w:lineRule="auto"/>
        <w:jc w:val="both"/>
      </w:pPr>
      <w:r>
        <w:t>The descriptive picture already strongly suggests where the answer will land. The figure below plots the incident rate against utilizat</w:t>
      </w:r>
      <w:r>
        <w:t xml:space="preserve">ion, with a LOWESS smoother fit through all 2,396 observations. The smoother is essentially flat: across more than two orders of magnitude in utilization (from a handful of sessions per charging point to several hundred), the local mean rate stays between </w:t>
      </w:r>
      <w:r>
        <w:t>2% and 5%. There is no visible monotone trend.</w:t>
      </w:r>
    </w:p>
    <w:p w:rsidR="0017671D" w:rsidRDefault="00FF7A7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143500" cy="3048000"/>
            <wp:effectExtent l="0" t="0" r="0" b="0"/>
            <wp:docPr id="3" name="utilization_vs_incident_rate.png" descr="utilization_vs_incident_rate.png" title="utilization_vs_incident_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1D" w:rsidRDefault="00FF7A78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3. Utilization vs incident rate, with LOWESS smoother. The flat smoother at the descriptive level previews the formal result of the joint model in Section 5.3.</w:t>
      </w:r>
    </w:p>
    <w:p w:rsidR="0017671D" w:rsidRDefault="00FF7A78">
      <w:pPr>
        <w:spacing w:after="160" w:line="320" w:lineRule="auto"/>
        <w:jc w:val="both"/>
      </w:pPr>
      <w:r>
        <w:t>This is the descriptive precursor of the</w:t>
      </w:r>
      <w:r>
        <w:t xml:space="preserve"> result that the joint model in Section 5.3 will quantify with confidence intervals. Among station-month observations there is no evidence that higher utilization is associated with a higher per-visit failure rate — the operator’s first hypothesis is unlik</w:t>
      </w:r>
      <w:r>
        <w:t>ely to be supported.</w:t>
      </w:r>
    </w:p>
    <w:p w:rsidR="0017671D" w:rsidRDefault="00FF7A78">
      <w:pPr>
        <w:spacing w:after="160" w:line="320" w:lineRule="auto"/>
        <w:jc w:val="both"/>
      </w:pPr>
      <w:r>
        <w:rPr>
          <w:b/>
          <w:bCs/>
        </w:rPr>
        <w:t xml:space="preserve">A note on zero-inflation. </w:t>
      </w:r>
      <w:r>
        <w:t>The incident rate has a 57% zero mass. We retain a standard Poisson family for the joint model rather than moving to a zero-inflated variant: at the very low mean rate observed here (roughly 0.10), Poisson nat</w:t>
      </w:r>
      <w:r>
        <w:t>urally produces a high zero probability and the simpler family is sufficient. We test this assumption explicitly via residual diagnostics in Section 6 — if overdispersion is detected, the appropriate next step would be a negative binomial generalization ra</w:t>
      </w:r>
      <w:r>
        <w:t>ther than zero-inflation.</w:t>
      </w:r>
    </w:p>
    <w:p w:rsidR="0017671D" w:rsidRDefault="00FF7A78">
      <w:pPr>
        <w:pStyle w:val="Heading1"/>
      </w:pPr>
      <w:r>
        <w:t>4. Methods</w:t>
      </w:r>
    </w:p>
    <w:p w:rsidR="0017671D" w:rsidRDefault="00FF7A78">
      <w:pPr>
        <w:spacing w:after="160" w:line="320" w:lineRule="auto"/>
        <w:jc w:val="both"/>
      </w:pPr>
      <w:r>
        <w:t>Three complementary statistical approaches are used to evaluate the operator’s two hypotheses. Each is chosen for its fit with the structure of the data — non-negative count outcomes, repeated measures within station, and a heavily skewed predictor.</w:t>
      </w:r>
    </w:p>
    <w:p w:rsidR="0017671D" w:rsidRDefault="00FF7A78">
      <w:pPr>
        <w:pStyle w:val="Heading2"/>
      </w:pPr>
      <w:r>
        <w:t>4.1 Ti</w:t>
      </w:r>
      <w:r>
        <w:t>er comparison (utilization hypothesis)</w:t>
      </w:r>
    </w:p>
    <w:p w:rsidR="0017671D" w:rsidRDefault="00FF7A78">
      <w:pPr>
        <w:spacing w:after="160" w:line="320" w:lineRule="auto"/>
        <w:jc w:val="both"/>
      </w:pPr>
      <w:r>
        <w:t>Stations are grouped into three utilization tiers (Low / Medium / High) using tertiles of their per-station mean utilization across the six observed months. Tertiles, rather than raw values or quartiles, map naturally</w:t>
      </w:r>
      <w:r>
        <w:t xml:space="preserve"> onto the operator’s decision lever: a three-speed inspection cycle (longer / standard / shorter). </w:t>
      </w:r>
      <w:r>
        <w:lastRenderedPageBreak/>
        <w:t>Per-station means are used rather than per-row utilization so that a single physical station does not move between tiers month to month — the tier itself bec</w:t>
      </w:r>
      <w:r>
        <w:t>omes a stable property of the station.</w:t>
      </w:r>
    </w:p>
    <w:p w:rsidR="0017671D" w:rsidRDefault="00FF7A78">
      <w:pPr>
        <w:spacing w:after="160" w:line="320" w:lineRule="auto"/>
        <w:jc w:val="both"/>
      </w:pPr>
      <w:r>
        <w:t>Differences in incident rate across tiers are tested with the Kruskal-Wallis rank test, a non-parametric ANOVA-equivalent that does not assume normality and is robust to the outliers present in the data. A complementa</w:t>
      </w:r>
      <w:r>
        <w:t>ry station-level Spearman rank correlation between mean utilization and mean incident rate provides a direct test of monotone trend.</w:t>
      </w:r>
    </w:p>
    <w:p w:rsidR="0017671D" w:rsidRDefault="00FF7A78">
      <w:pPr>
        <w:pStyle w:val="Heading2"/>
      </w:pPr>
      <w:r>
        <w:t>4.2 Seasonality test</w:t>
      </w:r>
    </w:p>
    <w:p w:rsidR="0017671D" w:rsidRDefault="00FF7A78">
      <w:pPr>
        <w:spacing w:after="160" w:line="320" w:lineRule="auto"/>
        <w:jc w:val="both"/>
      </w:pPr>
      <w:r>
        <w:t>Differences in incident rate across the six calendar months are tested with the same Kruskal-Wallis fr</w:t>
      </w:r>
      <w:r>
        <w:t>amework, applied to the per-month distributions of incident rate. The test treats the rate as the unit of comparison — not the raw incident count — so the result is not confounded by month-to-month differences in inspection volume.</w:t>
      </w:r>
    </w:p>
    <w:p w:rsidR="0017671D" w:rsidRDefault="00FF7A78">
      <w:pPr>
        <w:pStyle w:val="Heading2"/>
      </w:pPr>
      <w:r>
        <w:t>4.3 Joint Poisson model</w:t>
      </w:r>
    </w:p>
    <w:p w:rsidR="0017671D" w:rsidRDefault="00FF7A78">
      <w:pPr>
        <w:spacing w:after="160" w:line="320" w:lineRule="auto"/>
        <w:jc w:val="both"/>
      </w:pPr>
      <w:r>
        <w:t>The descriptive tests above are univariate. To estimate the utilization and seasonality effects simultaneously while accounting for repeated measures within station, the analysis uses a generalized estimating equations (GEE) model with a Poisson family.</w:t>
      </w:r>
    </w:p>
    <w:p w:rsidR="0017671D" w:rsidRDefault="00FF7A78">
      <w:pPr>
        <w:spacing w:after="160" w:line="320" w:lineRule="auto"/>
        <w:jc w:val="both"/>
      </w:pPr>
      <w:r>
        <w:t>Th</w:t>
      </w:r>
      <w:r>
        <w:t>e model specification is:</w:t>
      </w:r>
    </w:p>
    <w:p w:rsidR="0017671D" w:rsidRDefault="00FF7A78">
      <w:pPr>
        <w:spacing w:after="160" w:line="320" w:lineRule="auto"/>
        <w:jc w:val="center"/>
      </w:pPr>
      <w:r>
        <w:rPr>
          <w:i/>
          <w:iCs/>
        </w:rPr>
        <w:t>log E[incidents] = β₀ + β₁ · log(utilization) + γ · month + log(tasks)</w:t>
      </w:r>
    </w:p>
    <w:p w:rsidR="0017671D" w:rsidRDefault="00FF7A78">
      <w:pPr>
        <w:spacing w:after="160" w:line="320" w:lineRule="auto"/>
        <w:jc w:val="both"/>
      </w:pPr>
      <w:r>
        <w:t>Three details make this model the right tool for the job:</w:t>
      </w:r>
    </w:p>
    <w:p w:rsidR="0017671D" w:rsidRDefault="00FF7A78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log(tasks) enters as an offset, not a covariate. </w:t>
      </w:r>
      <w:r>
        <w:t>Forcing its coefficient to one converts the regression of expected counts into a regression of expected rates per task. The exponentiated coefficients on the other variables are therefore directly interpretable as multiplicative effects on the incident-per</w:t>
      </w:r>
      <w:r>
        <w:t>-visit rate, which is the quantity of operational interest.</w:t>
      </w:r>
    </w:p>
    <w:p w:rsidR="0017671D" w:rsidRDefault="00FF7A78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GEE rather than mixed effects. </w:t>
      </w:r>
      <w:r>
        <w:t>GEE estimates population-averaged effects (the average rate ratio across the network), which corresponds to the operator’s decision question. A station-level mixed-e</w:t>
      </w:r>
      <w:r>
        <w:t>ffects (subject-specific) interpretation would be less direct. GEE is also more robust to misspecification of the within-station correlation structure.</w:t>
      </w:r>
    </w:p>
    <w:p w:rsidR="0017671D" w:rsidRDefault="00FF7A78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Exchangeable working correlation. </w:t>
      </w:r>
      <w:r>
        <w:t>Observations within a station are treated as equally correlated regard</w:t>
      </w:r>
      <w:r>
        <w:t>less of the time gap between months — a defensible default for a six-month panel where a richer time structure is not separately identifiable from the data.</w:t>
      </w:r>
    </w:p>
    <w:p w:rsidR="0017671D" w:rsidRDefault="00FF7A78">
      <w:pPr>
        <w:spacing w:after="160" w:line="320" w:lineRule="auto"/>
        <w:jc w:val="both"/>
      </w:pPr>
      <w:r>
        <w:t>Coefficients are exponentiated to rate ratios, with 95% confidence intervals from robust ("sandwich</w:t>
      </w:r>
      <w:r>
        <w:t xml:space="preserve">") standard errors. A rate ratio of 1.0 indicates no effect on the incident rate; values above 1 indicate </w:t>
      </w:r>
      <w:r>
        <w:lastRenderedPageBreak/>
        <w:t>elevation, below 1 indicate reduction. Two robustness checks (Section 6) re-fit the model under the alternative missing-data assumption and assess Poi</w:t>
      </w:r>
      <w:r>
        <w:t>sson distributional fit via the dispersion ratio of Pearson residuals.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000"/>
      </w:tblGrid>
      <w:tr w:rsidR="001767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b/>
                <w:bCs/>
                <w:sz w:val="20"/>
                <w:szCs w:val="20"/>
              </w:rPr>
              <w:t>Where used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b/>
                <w:bCs/>
                <w:sz w:val="20"/>
                <w:szCs w:val="20"/>
              </w:rPr>
              <w:t>What it answers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Kruskal-Wallis test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Sections 5.1, 5.2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Do incident-rate distributions differ across utilization tiers, or across calendar months?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Spearman rank correlation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Section 5.1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Is there a monotone relationship between station-level utilization and incident rate?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Bootstrap (1000 resamples)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Section 5.1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How precise are the per-tier mean estimates? (95% CIs)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GEE Poisson with offset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Section 5.3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What are the rate-ratio effects of utilization and seasonality on the incident rate, controlling for repeated measures within station?</w:t>
            </w:r>
          </w:p>
        </w:tc>
      </w:tr>
    </w:tbl>
    <w:p w:rsidR="0017671D" w:rsidRDefault="00FF7A78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Table 4. Statistical methods used in the analysis at a glance.</w:t>
      </w:r>
    </w:p>
    <w:p w:rsidR="0017671D" w:rsidRDefault="00FF7A78">
      <w:pPr>
        <w:pStyle w:val="Heading1"/>
      </w:pPr>
      <w:r>
        <w:t>5. Results</w:t>
      </w:r>
    </w:p>
    <w:p w:rsidR="0017671D" w:rsidRDefault="00FF7A78">
      <w:pPr>
        <w:pStyle w:val="Heading2"/>
      </w:pPr>
      <w:r>
        <w:t>5.1 Utilization analysis</w:t>
      </w:r>
    </w:p>
    <w:p w:rsidR="0017671D" w:rsidRDefault="00FF7A78">
      <w:pPr>
        <w:spacing w:after="160" w:line="320" w:lineRule="auto"/>
        <w:jc w:val="both"/>
      </w:pPr>
      <w:r>
        <w:t>This section evaluates the operator’s first hypothesis: do stations with heavier traffic have higher per-visit incident rates than quieter ones? The analysis aggregates each of the 571 stations to its mean monthly utilization and mean incident rate, groups</w:t>
      </w:r>
      <w:r>
        <w:t xml:space="preserve"> stations into three utilization tiers using tertiles of mean utilization, and tests for differences across tiers.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"/>
        <w:gridCol w:w="1200"/>
        <w:gridCol w:w="1000"/>
        <w:gridCol w:w="900"/>
        <w:gridCol w:w="1700"/>
        <w:gridCol w:w="2000"/>
      </w:tblGrid>
      <w:tr w:rsidR="0017671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Mean rate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Median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Std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95% CI of mean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b/>
                <w:bCs/>
                <w:sz w:val="20"/>
                <w:szCs w:val="20"/>
              </w:rPr>
              <w:t>Utilization range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191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0.103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0.056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0.157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[0.082, 0.127]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3.3 – 82.6 sess/EVSE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0.126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0.083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0.181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[0.101, 0.152]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82.8 – 161.4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0.088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0.075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0.086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[0.076, 0.100]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162.3 – 694.8</w:t>
            </w:r>
          </w:p>
        </w:tc>
      </w:tr>
    </w:tbl>
    <w:p w:rsidR="0017671D" w:rsidRDefault="00FF7A78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Table 3. Mean incident rate by utilization tier, with 95% bootstrap confidence intervals (n = 571 stations).</w:t>
      </w:r>
    </w:p>
    <w:p w:rsidR="0017671D" w:rsidRDefault="00FF7A78">
      <w:pPr>
        <w:spacing w:after="160" w:line="320" w:lineRule="auto"/>
        <w:jc w:val="both"/>
      </w:pPr>
      <w:r>
        <w:t>The pattern is not what the hypothesis predicts. Under "more usage means more wear-and-tear," the mean incident rate should rise from Low to Medium to High. Instead, the High tier — the most heavily-used stations — has the lowest mean rate (0.088) and is a</w:t>
      </w:r>
      <w:r>
        <w:t>lso the most consistent across stations (standard deviation 0.086 vs. 0.157–0.181 for Low and Medium). Medium-tier stations show a slight elevation (0.126), but the 95% confidence intervals overlap substantially with both other tiers, so this difference is</w:t>
      </w:r>
      <w:r>
        <w:t xml:space="preserve"> not stable.</w:t>
      </w:r>
    </w:p>
    <w:p w:rsidR="0017671D" w:rsidRDefault="00FF7A7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715000" cy="2333625"/>
            <wp:effectExtent l="0" t="0" r="0" b="0"/>
            <wp:docPr id="4" name="tier_analysis.png" descr="tier_analysis.png" title="tier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1D" w:rsidRDefault="00FF7A78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4. Mean incident rate per tier with 95% bootstrap CIs (left) and the full station-level distribution per tier (right). The Low and Medium tiers are right-skewed; the High tier is more compact.</w:t>
      </w:r>
    </w:p>
    <w:p w:rsidR="0017671D" w:rsidRDefault="00FF7A78">
      <w:pPr>
        <w:spacing w:after="160" w:line="320" w:lineRule="auto"/>
        <w:jc w:val="both"/>
      </w:pPr>
      <w:r>
        <w:t>Two formal tests confirm the visual reading: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700"/>
        <w:gridCol w:w="2800"/>
      </w:tblGrid>
      <w:tr w:rsidR="001767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Statistic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b/>
                <w:bCs/>
                <w:sz w:val="20"/>
                <w:szCs w:val="20"/>
              </w:rPr>
              <w:t>Interpretation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Kruskal-Wallis (across tiers)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H = 5.21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0.074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Not significant at α = 0.05</w:t>
            </w:r>
          </w:p>
        </w:tc>
      </w:tr>
      <w:tr w:rsidR="001767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Spearman (utilization vs rate)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ρ = 0.038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pPr>
              <w:jc w:val="right"/>
            </w:pPr>
            <w:r>
              <w:rPr>
                <w:sz w:val="20"/>
                <w:szCs w:val="20"/>
              </w:rPr>
              <w:t>0.369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71D" w:rsidRDefault="00FF7A78">
            <w:r>
              <w:rPr>
                <w:sz w:val="20"/>
                <w:szCs w:val="20"/>
              </w:rPr>
              <w:t>No monotone trend</w:t>
            </w:r>
          </w:p>
        </w:tc>
      </w:tr>
    </w:tbl>
    <w:p w:rsidR="0017671D" w:rsidRDefault="00FF7A78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Table 5. Statistical tests of the utilization hypothesis.</w:t>
      </w:r>
    </w:p>
    <w:p w:rsidR="0017671D" w:rsidRDefault="00FF7A78">
      <w:pPr>
        <w:spacing w:after="160" w:line="320" w:lineRule="auto"/>
        <w:jc w:val="both"/>
      </w:pPr>
      <w:r>
        <w:t>Neither test detects an effect. The Kruskal-Wallis test does not reject equality of distributions across tiers at the 5% level. The Spearman rank correlation — which directly tests for a monotone tr</w:t>
      </w:r>
      <w:r>
        <w:t>end at the station level — is essentially zero, with a p-value far from significance.</w:t>
      </w:r>
    </w:p>
    <w:p w:rsidR="0017671D" w:rsidRDefault="00FF7A78">
      <w:pPr>
        <w:spacing w:after="160" w:line="320" w:lineRule="auto"/>
        <w:jc w:val="both"/>
      </w:pPr>
      <w:r>
        <w:rPr>
          <w:b/>
          <w:bCs/>
        </w:rPr>
        <w:t xml:space="preserve">Conclusion. </w:t>
      </w:r>
      <w:r>
        <w:t>The data do not support utilization-based scheduling. Across two orders of magnitude in utilization (from 3 to nearly 700 sessions per charging point), the per-visit incident rate is essentially flat. Heavily-used stations are not more failure-prone than q</w:t>
      </w:r>
      <w:r>
        <w:t>uieter ones — if anything, the High tier is slightly more reliable and more consistent. This descriptive finding is consistent with the LOWESS smoother shown in Section 3 and will be confirmed with confidence intervals by the joint Poisson model in Section</w:t>
      </w:r>
      <w:r>
        <w:t xml:space="preserve"> 5.3.</w:t>
      </w:r>
    </w:p>
    <w:p w:rsidR="0017671D" w:rsidRDefault="00FF7A78">
      <w:pPr>
        <w:spacing w:after="160" w:line="320" w:lineRule="auto"/>
        <w:jc w:val="both"/>
      </w:pPr>
      <w:r>
        <w:rPr>
          <w:b/>
          <w:bCs/>
        </w:rPr>
        <w:t xml:space="preserve">A note on the High-tier consistency. </w:t>
      </w:r>
      <w:r>
        <w:t>The substantially lower variance among heavily-used stations (std = 0.086 vs. 0.16–0.18 for the other tiers) is suggestive of a maintenance regime that has converged on these stations. One plausible explanation is</w:t>
      </w:r>
      <w:r>
        <w:t xml:space="preserve"> that high-traffic stations attract more operational attention — more frequent informal checks, faster response to user complaints, dedicated technicians — producing both lower failure rates and tighter station-to-station variability. The data do not let u</w:t>
      </w:r>
      <w:r>
        <w:t>s test this directly; it is offered as a hypothesis worth following up rather than a finding.</w:t>
      </w:r>
    </w:p>
    <w:p w:rsidR="0017671D" w:rsidRDefault="00FF7A78">
      <w:pPr>
        <w:pStyle w:val="Heading2"/>
      </w:pPr>
      <w:r>
        <w:lastRenderedPageBreak/>
        <w:t>5.2 Seasonality analysis</w:t>
      </w:r>
    </w:p>
    <w:p w:rsidR="0017671D" w:rsidRDefault="00FF7A78">
      <w:pPr>
        <w:spacing w:after="160"/>
      </w:pPr>
      <w:r>
        <w:rPr>
          <w:i/>
          <w:iCs/>
          <w:color w:val="888888"/>
        </w:rPr>
        <w:t>Phase 4 — to be filled after the seasonality analysis</w:t>
      </w:r>
      <w:bookmarkStart w:id="0" w:name="_GoBack"/>
      <w:bookmarkEnd w:id="0"/>
      <w:r>
        <w:rPr>
          <w:i/>
          <w:iCs/>
          <w:color w:val="888888"/>
        </w:rPr>
        <w:t xml:space="preserve"> is complete.</w:t>
      </w:r>
    </w:p>
    <w:p w:rsidR="0017671D" w:rsidRDefault="00FF7A78">
      <w:pPr>
        <w:pStyle w:val="Heading2"/>
      </w:pPr>
      <w:r>
        <w:t>5.3 Joint model</w:t>
      </w:r>
    </w:p>
    <w:p w:rsidR="0017671D" w:rsidRDefault="00FF7A78">
      <w:pPr>
        <w:spacing w:after="160"/>
      </w:pPr>
      <w:r>
        <w:rPr>
          <w:i/>
          <w:iCs/>
          <w:color w:val="888888"/>
        </w:rPr>
        <w:t>Phase 5 — to be filled after the GEE Poisson model is fit.</w:t>
      </w:r>
    </w:p>
    <w:p w:rsidR="0017671D" w:rsidRDefault="00FF7A78">
      <w:pPr>
        <w:pStyle w:val="Heading1"/>
      </w:pPr>
      <w:r>
        <w:t>6. Robustness Checks</w:t>
      </w:r>
    </w:p>
    <w:p w:rsidR="0017671D" w:rsidRDefault="00FF7A78">
      <w:pPr>
        <w:spacing w:after="160"/>
      </w:pPr>
      <w:r>
        <w:rPr>
          <w:i/>
          <w:iCs/>
          <w:color w:val="888888"/>
        </w:rPr>
        <w:t>To be written after the joint model is complete.</w:t>
      </w:r>
    </w:p>
    <w:p w:rsidR="0017671D" w:rsidRDefault="00FF7A78">
      <w:pPr>
        <w:pStyle w:val="Heading1"/>
      </w:pPr>
      <w:r>
        <w:t>7. Recommendations</w:t>
      </w:r>
    </w:p>
    <w:p w:rsidR="0017671D" w:rsidRDefault="00FF7A78">
      <w:pPr>
        <w:spacing w:after="160"/>
      </w:pPr>
      <w:r>
        <w:rPr>
          <w:i/>
          <w:iCs/>
          <w:color w:val="888888"/>
        </w:rPr>
        <w:t>To be written near the end, once all results are in.</w:t>
      </w:r>
    </w:p>
    <w:p w:rsidR="0017671D" w:rsidRDefault="00FF7A78">
      <w:pPr>
        <w:pStyle w:val="Heading1"/>
      </w:pPr>
      <w:r>
        <w:t>8. Limitations</w:t>
      </w:r>
    </w:p>
    <w:p w:rsidR="0017671D" w:rsidRDefault="00FF7A78">
      <w:pPr>
        <w:spacing w:after="160"/>
      </w:pPr>
      <w:r>
        <w:rPr>
          <w:i/>
          <w:iCs/>
          <w:color w:val="888888"/>
        </w:rPr>
        <w:t>To be written near the end. Will note th</w:t>
      </w:r>
      <w:r>
        <w:rPr>
          <w:i/>
          <w:iCs/>
          <w:color w:val="888888"/>
        </w:rPr>
        <w:t>at 9 of 2,396 observations have rate &gt; 1 (multiple defects per visit), retained in the analysis as operationally explainable; and that the spring elevation observed in seasonality cannot be confirmed as recurring without a second year of data.</w:t>
      </w:r>
    </w:p>
    <w:p w:rsidR="0017671D" w:rsidRDefault="00FF7A78">
      <w:pPr>
        <w:pStyle w:val="Heading1"/>
      </w:pPr>
      <w:r>
        <w:t>Methods Appe</w:t>
      </w:r>
      <w:r>
        <w:t>ndix</w:t>
      </w:r>
    </w:p>
    <w:p w:rsidR="0017671D" w:rsidRDefault="00FF7A78">
      <w:pPr>
        <w:spacing w:after="160"/>
      </w:pPr>
      <w:r>
        <w:rPr>
          <w:i/>
          <w:iCs/>
          <w:color w:val="888888"/>
        </w:rPr>
        <w:t>Technical details of statistical methods, written progressively as each phase is completed.</w:t>
      </w:r>
    </w:p>
    <w:sectPr w:rsidR="0017671D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7A78" w:rsidRDefault="00FF7A78">
      <w:r>
        <w:separator/>
      </w:r>
    </w:p>
  </w:endnote>
  <w:endnote w:type="continuationSeparator" w:id="0">
    <w:p w:rsidR="00FF7A78" w:rsidRDefault="00FF7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671D" w:rsidRDefault="00FF7A78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F83E66">
      <w:rPr>
        <w:color w:val="888888"/>
        <w:sz w:val="18"/>
        <w:szCs w:val="18"/>
      </w:rPr>
      <w:fldChar w:fldCharType="separate"/>
    </w:r>
    <w:r w:rsidR="00F83E66">
      <w:rPr>
        <w:noProof/>
        <w:color w:val="888888"/>
        <w:sz w:val="18"/>
        <w:szCs w:val="18"/>
      </w:rPr>
      <w:t>7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7A78" w:rsidRDefault="00FF7A78">
      <w:r>
        <w:separator/>
      </w:r>
    </w:p>
  </w:footnote>
  <w:footnote w:type="continuationSeparator" w:id="0">
    <w:p w:rsidR="00FF7A78" w:rsidRDefault="00FF7A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671D" w:rsidRDefault="00FF7A78">
    <w:pPr>
      <w:jc w:val="right"/>
    </w:pPr>
    <w:r>
      <w:rPr>
        <w:i/>
        <w:iCs/>
        <w:color w:val="888888"/>
        <w:sz w:val="18"/>
        <w:szCs w:val="18"/>
      </w:rPr>
      <w:t>EV Charging Maintenance · Statistical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C7191"/>
    <w:multiLevelType w:val="hybridMultilevel"/>
    <w:tmpl w:val="2CEE178E"/>
    <w:lvl w:ilvl="0" w:tplc="FD5C4C0A">
      <w:start w:val="1"/>
      <w:numFmt w:val="bullet"/>
      <w:lvlText w:val="●"/>
      <w:lvlJc w:val="left"/>
      <w:pPr>
        <w:ind w:left="720" w:hanging="360"/>
      </w:pPr>
    </w:lvl>
    <w:lvl w:ilvl="1" w:tplc="85AEE46E">
      <w:start w:val="1"/>
      <w:numFmt w:val="bullet"/>
      <w:lvlText w:val="○"/>
      <w:lvlJc w:val="left"/>
      <w:pPr>
        <w:ind w:left="1440" w:hanging="360"/>
      </w:pPr>
    </w:lvl>
    <w:lvl w:ilvl="2" w:tplc="FD2AF3C0">
      <w:start w:val="1"/>
      <w:numFmt w:val="bullet"/>
      <w:lvlText w:val="■"/>
      <w:lvlJc w:val="left"/>
      <w:pPr>
        <w:ind w:left="2160" w:hanging="360"/>
      </w:pPr>
    </w:lvl>
    <w:lvl w:ilvl="3" w:tplc="A0BCDA6C">
      <w:start w:val="1"/>
      <w:numFmt w:val="bullet"/>
      <w:lvlText w:val="●"/>
      <w:lvlJc w:val="left"/>
      <w:pPr>
        <w:ind w:left="2880" w:hanging="360"/>
      </w:pPr>
    </w:lvl>
    <w:lvl w:ilvl="4" w:tplc="250CA43A">
      <w:start w:val="1"/>
      <w:numFmt w:val="bullet"/>
      <w:lvlText w:val="○"/>
      <w:lvlJc w:val="left"/>
      <w:pPr>
        <w:ind w:left="3600" w:hanging="360"/>
      </w:pPr>
    </w:lvl>
    <w:lvl w:ilvl="5" w:tplc="DFD8F280">
      <w:start w:val="1"/>
      <w:numFmt w:val="bullet"/>
      <w:lvlText w:val="■"/>
      <w:lvlJc w:val="left"/>
      <w:pPr>
        <w:ind w:left="4320" w:hanging="360"/>
      </w:pPr>
    </w:lvl>
    <w:lvl w:ilvl="6" w:tplc="C2F25E60">
      <w:start w:val="1"/>
      <w:numFmt w:val="bullet"/>
      <w:lvlText w:val="●"/>
      <w:lvlJc w:val="left"/>
      <w:pPr>
        <w:ind w:left="5040" w:hanging="360"/>
      </w:pPr>
    </w:lvl>
    <w:lvl w:ilvl="7" w:tplc="E15C2716">
      <w:start w:val="1"/>
      <w:numFmt w:val="bullet"/>
      <w:lvlText w:val="●"/>
      <w:lvlJc w:val="left"/>
      <w:pPr>
        <w:ind w:left="5760" w:hanging="360"/>
      </w:pPr>
    </w:lvl>
    <w:lvl w:ilvl="8" w:tplc="F8AC7B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4F4126"/>
    <w:multiLevelType w:val="hybridMultilevel"/>
    <w:tmpl w:val="075E1494"/>
    <w:lvl w:ilvl="0" w:tplc="DDBAE214">
      <w:start w:val="1"/>
      <w:numFmt w:val="bullet"/>
      <w:lvlText w:val="•"/>
      <w:lvlJc w:val="left"/>
      <w:pPr>
        <w:ind w:left="540" w:hanging="270"/>
      </w:pPr>
    </w:lvl>
    <w:lvl w:ilvl="1" w:tplc="A73420B2">
      <w:numFmt w:val="decimal"/>
      <w:lvlText w:val=""/>
      <w:lvlJc w:val="left"/>
    </w:lvl>
    <w:lvl w:ilvl="2" w:tplc="B284FE04">
      <w:numFmt w:val="decimal"/>
      <w:lvlText w:val=""/>
      <w:lvlJc w:val="left"/>
    </w:lvl>
    <w:lvl w:ilvl="3" w:tplc="8A36C508">
      <w:numFmt w:val="decimal"/>
      <w:lvlText w:val=""/>
      <w:lvlJc w:val="left"/>
    </w:lvl>
    <w:lvl w:ilvl="4" w:tplc="473AFF68">
      <w:numFmt w:val="decimal"/>
      <w:lvlText w:val=""/>
      <w:lvlJc w:val="left"/>
    </w:lvl>
    <w:lvl w:ilvl="5" w:tplc="F61AD054">
      <w:numFmt w:val="decimal"/>
      <w:lvlText w:val=""/>
      <w:lvlJc w:val="left"/>
    </w:lvl>
    <w:lvl w:ilvl="6" w:tplc="D05A9B4C">
      <w:numFmt w:val="decimal"/>
      <w:lvlText w:val=""/>
      <w:lvlJc w:val="left"/>
    </w:lvl>
    <w:lvl w:ilvl="7" w:tplc="208296F6">
      <w:numFmt w:val="decimal"/>
      <w:lvlText w:val=""/>
      <w:lvlJc w:val="left"/>
    </w:lvl>
    <w:lvl w:ilvl="8" w:tplc="CA12911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71D"/>
    <w:rsid w:val="0017671D"/>
    <w:rsid w:val="00F83E66"/>
    <w:rsid w:val="00FF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66C64F-72D8-4985-A763-84B711A1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3A4D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C5F7C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2582</Words>
  <Characters>14721</Characters>
  <Application>Microsoft Office Word</Application>
  <DocSecurity>0</DocSecurity>
  <Lines>122</Lines>
  <Paragraphs>34</Paragraphs>
  <ScaleCrop>false</ScaleCrop>
  <Company>HP Inc.</Company>
  <LinksUpToDate>false</LinksUpToDate>
  <CharactersWithSpaces>17269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Charging Station Maintenance — Optimizing Technician Dispatch</dc:title>
  <dc:creator>Carlynn</dc:creator>
  <cp:lastModifiedBy>owner</cp:lastModifiedBy>
  <cp:revision>3</cp:revision>
  <dcterms:created xsi:type="dcterms:W3CDTF">2026-05-09T22:08:00Z</dcterms:created>
  <dcterms:modified xsi:type="dcterms:W3CDTF">2026-05-09T22:11:00Z</dcterms:modified>
</cp:coreProperties>
</file>