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mc:Ignorable="w14 wp14">
  <w:body>
    <w:p>
      <w:pPr>
        <w:pStyle w:val="DocTitle"/>
      </w:pPr>
      <w:r>
        <w:t xml:space="preserve">项目名称：完全核映射空间系统中的局部理论</w:t>
      </w:r>
    </w:p>
    <w:p>
      <w:pPr>
        <w:pStyle w:val="Subtitle"/>
      </w:pPr>
      <w:r>
        <w:t xml:space="preserve">省自然科学基金项目申报书正文（草案）</w:t>
      </w:r>
    </w:p>
    <w:p>
      <w:pPr>
        <w:pStyle w:val="BodyText"/>
      </w:pPr>
      <w:r>
        <w:t xml:space="preserve">摘要：本项目拟研究完全核映射空间系统中的局部理论。算子空间的局部自反性、正合性、核性和有限可表示性，是理解非交换空间结构的重要不变量。已有理论主要建立在完全有界映射空间以及完全积分、完全1-和映射空间等框架中；完全核映射空间位于常用映射理想链的最小端，其范数约束更强，因而可能呈现出不同于经典系统的刚性现象。本项目拟在完全核映射空间系统中建立内射性、λ-局部自反性、λ-核性、λ-正合性和λ-有限可表示性的定义与基本工具，进而刻画这些性质之间的关系，寻找典型算子空间和C*-代数中的正例、反例与结构定理。项目希望通过这一研究补足映射空间局部理论中的关键一环，并为算子空间不变量理论提供新的可计算模型。</w:t>
      </w:r>
    </w:p>
    <w:p>
      <w:pPr>
        <w:pStyle w:val="Heading1"/>
      </w:pPr>
      <w:r>
        <w:t xml:space="preserve">一、研究工作的科学意义与拟解决的关键问题</w:t>
      </w:r>
    </w:p>
    <w:p>
      <w:pPr>
        <w:pStyle w:val="BodyText"/>
      </w:pPr>
      <w:r>
        <w:t xml:space="preserve">算子空间理论可以看作Banach空间理论的非交换量子化。自Ruan给出抽象刻画以来，算子空间已经成为算子代数、非交换调和分析和量子信息相关数学工具中的基础语言。在这一理论中，局部自反性、正合性、核性、内射性和有限可表示性并不是孤立概念，而是共同描述一个空间能否由有限维矩阵空间有效逼近、能否稳定地嵌入或提升、以及其对偶和张量结构是否可控。</w:t>
      </w:r>
    </w:p>
    <w:p>
      <w:pPr>
        <w:pStyle w:val="BodyText"/>
      </w:pPr>
      <w:r>
        <w:t xml:space="preserve">这些问题通常可以通过映射空间来表达。给定算子空间V和W，完全核映射空间N(V,W)、完全积分映射空间I(V,W)、完全1-和映射空间Π1(V,W)以及完全有界映射空间CB(V,W)之间存在自然的收缩包含关系：N(V,W)包含于I(V,W)，I(V,W)包含于Π1(V,W)，Π1(V,W)包含于CB(V,W)。已有局部理论多数是在CB系统中建立的，随后又在I系统和Π1系统中得到推进。完全核映射空间系统作为最小的映射理想系统，理论上应当具有更强的范数约束，也更容易暴露局部性质之间的差异。</w:t>
      </w:r>
    </w:p>
    <w:p>
      <w:pPr>
        <w:pStyle w:val="BodyText"/>
      </w:pPr>
      <w:r>
        <w:t xml:space="preserve">本项目拟解决的核心问题是：当把传统定义中的完全有界控制替换为完全核范数控制后，局部自反性、核性、正合性和有限可表示性是否仍保持原有的逻辑关系？如果不保持，新的关系是什么？特别是，在完全核映射空间系统中，是否存在相应的延拓原理来代替Hahn-Banach-Arveson-Wittstock型延拓定理；C*-代数是否仍满足合适的局部自反性；λ-核性、λ-正合性与矩阵空间族中的λ-有限可表示性之间是否可以互相刻画；当λ=1时是否会出现只有极少数空间满足这些性质的刚性现象。</w:t>
      </w:r>
    </w:p>
    <w:p>
      <w:pPr>
        <w:pStyle w:val="BodyText"/>
      </w:pPr>
      <w:r>
        <w:t xml:space="preserve">这些问题有明确的理论意义。一方面，它们直接关系到映射空间局部理论能否从完全有界、完全积分和完全1-和系统自然推进到完全核系统。另一方面，完全核映射空间与投射算子空间张量积、有限维矩阵模型和核型分解密切相关，若能建立清晰的结构刻画，将有助于理解算子空间不变量在不同映射理想之间如何转移、失效或变形。</w:t>
      </w:r>
    </w:p>
    <w:p>
      <w:pPr>
        <w:pStyle w:val="Heading1"/>
      </w:pPr>
      <w:r>
        <w:t xml:space="preserve">二、国内外研究现状</w:t>
      </w:r>
    </w:p>
    <w:p>
      <w:pPr>
        <w:pStyle w:val="BodyText"/>
      </w:pPr>
      <w:r>
        <w:t xml:space="preserve">算子空间局部理论的基本框架来源于Effros、Ruan、Pisier、Kirchberg、Choi、Effros、Ozawa等人的工作。经典系统中，核性蕴含正合性，正合性蕴含局部自反性；在C*-代数情形，核性又与对偶空间内射性等问题紧密相关。这些结果不仅给出了一批深刻定理，也形成了一套成熟的研究方法：通过有限维子空间、矩阵空间逼近、张量积范数和映射空间提升来研究局部性质。</w:t>
      </w:r>
    </w:p>
    <w:p>
      <w:pPr>
        <w:pStyle w:val="BodyText"/>
      </w:pPr>
      <w:r>
        <w:t xml:space="preserve">映射空间方法由Grothendieck在Banach空间理论中系统推动，在算子空间中由Effros和Ruan等人发展。完全核、完全积分、完全1-和、完全有界映射空间构成一条重要的映射理想链。不同映射空间的范数不同，因而同一个局部性质在不同系统中可能有不同的表达和结论。近年来，完全积分映射空间系统、完全1-和映射空间系统中的核性、有限可表示性和局部理论已有进一步结果，这为研究完全核系统提供了可借鉴的范式。</w:t>
      </w:r>
    </w:p>
    <w:p>
      <w:pPr>
        <w:pStyle w:val="BodyText"/>
      </w:pPr>
      <w:r>
        <w:t xml:space="preserve">然而，完全核映射空间系统仍有若干基本问题没有被系统处理。完全核范数比完全积分范数和完全1-和范数更强，许多在较大映射空间系统中可行的逼近和提升，在完全核系统中未必能直接套用。特别是，传统的内射性、局部自反性、正合性、核性和有限可表示性如何在完全核系统中重新定义，定义后是否有可验证的等价条件，典型空间如矩阵块、行列空间、C*-代数和迹类算子空间是否满足这些性质，都是需要重新证明的问题。</w:t>
      </w:r>
    </w:p>
    <w:p>
      <w:pPr>
        <w:pStyle w:val="BodyText"/>
      </w:pPr>
      <w:r>
        <w:t xml:space="preserve">本项目的出发点不是简单平移已有结论，而是把完全核系统作为一个独立对象来处理。由于该系统处在映射理想链的最小端，预期会出现更强的有限维刚性：某些在CB系统或I系统中相对宽松的性质，在完全核系统中可能只允许非常特殊的结构。这种刚性若能被精确刻画，将反过来说明各类映射空间局部理论之间的边界。</w:t>
      </w:r>
    </w:p>
    <w:p>
      <w:pPr>
        <w:pStyle w:val="Heading1"/>
      </w:pPr>
      <w:r>
        <w:t xml:space="preserve">三、研究目标及其与长期研究方向的关系</w:t>
      </w:r>
    </w:p>
    <w:p>
      <w:pPr>
        <w:pStyle w:val="Heading2"/>
      </w:pPr>
      <w:r>
        <w:t xml:space="preserve">3.1 研究目标</w:t>
      </w:r>
    </w:p>
    <w:p>
      <w:pPr>
        <w:pStyle w:val="BodyText"/>
      </w:pPr>
      <w:r>
        <w:t xml:space="preserve">本项目拟建立完全核映射空间系统中的局部理论，重点完成以下目标。第一，给出该系统中内射性、λ-局部自反性、λ-核性、λ-正合性和λ-有限可表示性的合理定义，并验证这些定义与完全核范数、投射张量积和有限维矩阵模型相容。第二，建立适用于完全核映射的近似延拓工具，作为后续局部自反性和核性证明的基础。第三，刻画λ-局部自反性的可检验条件，研究其在商空间、子空间和典型算子代数中的稳定性。第四，比较λ-核性、λ-正合性和λ-有限可表示性，力求给出等价关系、结构描述和临界情形下的刚性结论。</w:t>
      </w:r>
    </w:p>
    <w:p>
      <w:pPr>
        <w:pStyle w:val="BodyText"/>
      </w:pPr>
      <w:r>
        <w:t xml:space="preserve">项目完成后，预期能够回答完全核系统中局部性质之间的基本关系问题，形成一套可继续推广到其他映射理想系统的研究方法。</w:t>
      </w:r>
    </w:p>
    <w:p>
      <w:pPr>
        <w:pStyle w:val="Heading2"/>
      </w:pPr>
      <w:r>
        <w:t xml:space="preserve">3.2 与长期研究方向的关系</w:t>
      </w:r>
    </w:p>
    <w:p>
      <w:pPr>
        <w:pStyle w:val="BodyText"/>
      </w:pPr>
      <w:r>
        <w:t xml:space="preserve">申请人长期关注算子空间、映射空间和局部理论。本项目延续了以张量积和映射理想研究算子空间不变量的路线，但研究对象从完全1-和、完全积分等系统进一步推进到完全核系统。这样的推进有两个作用：一是完善映射空间局部理论的版图；二是为后续研究p-型映射空间、行列完全核映射、弱正合性及WEP/QWEP相关问题提供基础工具。</w:t>
      </w:r>
    </w:p>
    <w:p>
      <w:pPr>
        <w:pStyle w:val="Heading1"/>
      </w:pPr>
      <w:r>
        <w:t xml:space="preserve">四、项目研究内容、研究方案和进度安排</w:t>
      </w:r>
    </w:p>
    <w:p>
      <w:pPr>
        <w:pStyle w:val="Heading2"/>
      </w:pPr>
      <w:r>
        <w:t xml:space="preserve">4.1 研究内容</w:t>
      </w:r>
    </w:p>
    <w:p>
      <w:pPr>
        <w:pStyle w:val="BodyText"/>
      </w:pPr>
      <w:r>
        <w:t xml:space="preserve">（一）完全核映射空间系统中的基础定义与延拓问题。项目首先从完全核映射空间N(V,W)的商算子空间结构出发，整理其与投射张量积、有限维限制和矩阵放大的关系。在此基础上，定义完全核系统中的内射性和λ-局部自反性。重点研究限制映射N(W,V)到N(W0,V)的商映射性质，建立带ε误差的完全核延拓定理。该部分是整个项目的技术基础。</w:t>
      </w:r>
    </w:p>
    <w:p>
      <w:pPr>
        <w:pStyle w:val="BodyText"/>
      </w:pPr>
      <w:r>
        <w:t xml:space="preserve">（二）λ-局部自反性的刻画与稳定性。项目拟从有限维算子空间L到V**的完全核映射入手，研究其能否由到V的映射在点弱*或点范数意义下近似。通过有限维测试空间、双对偶嵌入和完全核范数估计，争取给出λ-局部自反性的等价刻画。随后考察该性质在商空间、直和、有限维扩张以及C*-代数中的稳定性，明确完全核系统与经典CB系统之间的差异。</w:t>
      </w:r>
    </w:p>
    <w:p>
      <w:pPr>
        <w:pStyle w:val="BodyText"/>
      </w:pPr>
      <w:r>
        <w:t xml:space="preserve">（三）λ-核性、λ-正合性和λ-有限可表示性之间的关系。项目拟把传统核性和正合性的有限维逼近图式移植到完全核范数控制下：核性对应V经矩阵空间返回V的近似分解；正合性对应有限维子空间在矩阵空间中的受控表示；有限可表示性对应V的有限维部分可由矩阵空间族近似。关键在于证明这些概念之间是否等价，若等价，常数如何变化；若不等价，给出反例或附加条件。</w:t>
      </w:r>
    </w:p>
    <w:p>
      <w:pPr>
        <w:pStyle w:val="BodyText"/>
      </w:pPr>
      <w:r>
        <w:t xml:space="preserve">（四）典型空间的结构定理与反例。项目将重点分析有限维矩阵块Mn,k、标量域C、一般C*-代数、B(H)的自然子空间和迹类算子空间T(H)。通过这些例子，识别完全核系统中的临界现象。特别关注λ=1时可能出现的刚性：在完全核范数的严格约束下，核性和正合性是否只能由非常特殊的有限维结构实现。</w:t>
      </w:r>
    </w:p>
    <w:p>
      <w:pPr>
        <w:pStyle w:val="Heading2"/>
      </w:pPr>
      <w:r>
        <w:t xml:space="preserve">4.2 研究方案</w:t>
      </w:r>
    </w:p>
    <w:p>
      <w:pPr>
        <w:pStyle w:val="BodyText"/>
      </w:pPr>
      <w:r>
        <w:t xml:space="preserve">本项目采用「先工具、后刻画、再结构」的路线。第一步，系统整理完全核映射空间的范数估计和有限维限制性质，建立可反复调用的延拓引理。第二步，把经典局部自反性证明中的有限维逼近思想改写为完全核范数语言，避免直接依赖完全有界系统中的强延拓定理。第三步，围绕核性、正合性和有限可表示性构造双向逼近图式，跟踪常数在复合、缩放和矩阵放大中的变化。第四步，用具体空间检验理论边界，对满足条件的空间给出分解或表示，对不满足条件的空间给出范数障碍。</w:t>
      </w:r>
    </w:p>
    <w:p>
      <w:pPr>
        <w:pStyle w:val="BodyText"/>
      </w:pPr>
      <w:r>
        <w:t xml:space="preserve">技术上，项目将主要使用算子空间张量积、完全核映射的商范数描述、有限维矩阵空间的因子分解、完全有界Banach-Mazur距离、点范数近似和对偶性方法。证明过程中会尽量把每个结论写成可量化形式，即明确常数λ、ε和有限维维数之间的关系，避免只得到定性命题。</w:t>
      </w:r>
    </w:p>
    <w:p>
      <w:pPr>
        <w:pStyle w:val="Heading2"/>
      </w:pPr>
      <w:r>
        <w:t xml:space="preserve">4.3 进度安排</w:t>
      </w:r>
    </w:p>
    <w:p>
      <w:pPr>
        <w:pStyle w:val="BodyText"/>
      </w:pPr>
      <w:r>
        <w:t xml:space="preserve">第一阶段：完成完全核系统中基础定义的统一整理，证明近似延拓定理，形成关于内射性和λ-局部自反性的初步结果。</w:t>
      </w:r>
    </w:p>
    <w:p>
      <w:pPr>
        <w:pStyle w:val="BodyText"/>
      </w:pPr>
      <w:r>
        <w:t xml:space="preserve">第二阶段：研究λ-局部自反性的等价刻画和稳定性，处理C*-代数、商空间和若干典型算子空间的情形，完成一篇论文初稿。</w:t>
      </w:r>
    </w:p>
    <w:p>
      <w:pPr>
        <w:pStyle w:val="BodyText"/>
      </w:pPr>
      <w:r>
        <w:t xml:space="preserve">第三阶段：集中研究λ-核性、λ-正合性和λ-有限可表示性的关系，给出结构定理和典型反例，完成项目主论文。</w:t>
      </w:r>
    </w:p>
    <w:p>
      <w:pPr>
        <w:pStyle w:val="BodyText"/>
      </w:pPr>
      <w:r>
        <w:t xml:space="preserve">第四阶段：整理全部结果，补充例子和应用，形成可继续推广到其他映射理想系统的技术框架。</w:t>
      </w:r>
    </w:p>
    <w:p>
      <w:pPr>
        <w:pStyle w:val="Heading1"/>
      </w:pPr>
      <w:r>
        <w:t xml:space="preserve">五、项目创新之处</w:t>
      </w:r>
    </w:p>
    <w:p>
      <w:pPr>
        <w:pStyle w:val="BodyText"/>
      </w:pPr>
      <w:r>
        <w:t xml:space="preserve">第一，研究对象具有明确的新意。完全核映射空间虽然是算子空间映射理论中的基本对象，但以它为系统来重建局部自反性、核性、正合性和有限可表示性的工作仍不充分。本项目把完全核系统作为独立框架处理，而不是把已有CB系统结论作形式替换。</w:t>
      </w:r>
    </w:p>
    <w:p>
      <w:pPr>
        <w:pStyle w:val="BodyText"/>
      </w:pPr>
      <w:r>
        <w:t xml:space="preserve">第二，项目强调完全核范数下的延拓机制。经典局部理论中，延拓原理常常是关键工具；在完全核系统中，强延拓并不容易直接成立。若能建立适合该系统的近似延拓方法，将为后续研究提供可复用的技术。</w:t>
      </w:r>
    </w:p>
    <w:p>
      <w:pPr>
        <w:pStyle w:val="BodyText"/>
      </w:pPr>
      <w:r>
        <w:t xml:space="preserve">第三，项目预期揭示新的刚性现象。完全核映射空间位于映射理想链的最小端，范数条件更强。项目将研究λ=1以及一般λ情形下核性、正合性和有限可表示性的结构差异，这有望说明不同映射空间系统中局部性质为何会发生变化。</w:t>
      </w:r>
    </w:p>
    <w:p>
      <w:pPr>
        <w:pStyle w:val="BodyText"/>
      </w:pPr>
      <w:r>
        <w:t xml:space="preserve">第四，项目把抽象理论与具体模型结合。通过矩阵块、C*-代数和迹类算子空间等对象检验结论，不仅能形成清楚的例子体系，也能降低完全核系统中抽象定义的理解门槛。</w:t>
      </w:r>
    </w:p>
    <w:p>
      <w:pPr>
        <w:pStyle w:val="Heading1"/>
      </w:pPr>
      <w:r>
        <w:t xml:space="preserve">六、工作基础与条件</w:t>
      </w:r>
    </w:p>
    <w:p>
      <w:pPr>
        <w:pStyle w:val="BodyText"/>
      </w:pPr>
      <w:r>
        <w:t xml:space="preserve">申请人已有算子空间、映射空间和局部理论方面的研究基础，前期工作涉及p-映射空间、完全1-和映射空间中的核性以及完全积分映射空间系统中的有限可表示性等问题。这些工作与本项目在研究工具上连续，均围绕张量积、映射理想、有限维逼近和局部性质展开。</w:t>
      </w:r>
    </w:p>
    <w:p>
      <w:pPr>
        <w:pStyle w:val="BodyText"/>
      </w:pPr>
      <w:r>
        <w:t xml:space="preserve">本项目所需条件以文献研究、理论推导和同行交流为主，不依赖大型实验设备。依托单位具备数学文献数据库和学术交流条件，申请人也可通过国内外同行讨论班、学术会议和合作研究持续跟踪该方向进展。项目研究内容集中，技术路线清楚，前期积累能够支撑项目实施。</w:t>
      </w:r>
    </w:p>
    <w:p>
      <w:pPr>
        <w:pStyle w:val="Heading1"/>
      </w:pPr>
      <w:r>
        <w:t xml:space="preserve">七、预期研究成果</w:t>
      </w:r>
    </w:p>
    <w:p>
      <w:pPr>
        <w:pStyle w:val="BodyText"/>
      </w:pPr>
      <w:r>
        <w:t xml:space="preserve">项目预期形成2至3篇研究论文，其中至少1篇围绕完全核映射空间系统中的λ-核性、λ-正合性和λ-有限可表示性关系展开，争取投稿至算子代数、泛函分析或算子空间方向期刊。</w:t>
      </w:r>
    </w:p>
    <w:p>
      <w:pPr>
        <w:pStyle w:val="BodyText"/>
      </w:pPr>
      <w:r>
        <w:t xml:space="preserve">理论成果方面，预期给出完全核系统中局部自反性的定义和刻画，建立完全核映射的近似延拓工具，明确λ-核性、λ-正合性和λ-有限可表示性的关系，并给出典型算子空间的结构描述或反例。</w:t>
      </w:r>
    </w:p>
    <w:p>
      <w:pPr>
        <w:pStyle w:val="BodyText"/>
      </w:pPr>
      <w:r>
        <w:t xml:space="preserve">人才和学术积累方面，项目将形成一套可继续用于完全积分、完全p-和、行列完全核映射等系统的证明模板，为后续申请更高层次项目和开展合作研究打下基础。</w:t>
      </w:r>
    </w:p>
    <w:p>
      <w:pPr>
        <w:pStyle w:val="Heading1"/>
      </w:pPr>
      <w:r>
        <w:t xml:space="preserve">参考文献</w:t>
      </w:r>
    </w:p>
    <w:p>
      <w:pPr>
        <w:pStyle w:val="Reference"/>
      </w:pPr>
      <w:r>
        <w:t xml:space="preserve">[1] Ruan Z.-J. Subspaces of C*-algebras. Journal of Functional Analysis, 1988, 76: 217-230.</w:t>
      </w:r>
    </w:p>
    <w:p>
      <w:pPr>
        <w:pStyle w:val="Reference"/>
      </w:pPr>
      <w:r>
        <w:t xml:space="preserve">[2] Ruan Z.-J. Injectivity of operator spaces. Transactions of the American Mathematical Society, 1989, 315: 89-104.</w:t>
      </w:r>
    </w:p>
    <w:p>
      <w:pPr>
        <w:pStyle w:val="Reference"/>
      </w:pPr>
      <w:r>
        <w:t xml:space="preserve">[3] Effros E. G., Ruan Z.-J. Operator Spaces. London Mathematical Society Monographs, New Series 23. Oxford University Press, 2000.</w:t>
      </w:r>
    </w:p>
    <w:p>
      <w:pPr>
        <w:pStyle w:val="Reference"/>
      </w:pPr>
      <w:r>
        <w:t xml:space="preserve">[4] Pisier G. Introduction to Operator Space Theory. London Mathematical Society Lecture Note Series 294. Cambridge University Press, 2003.</w:t>
      </w:r>
    </w:p>
    <w:p>
      <w:pPr>
        <w:pStyle w:val="Reference"/>
      </w:pPr>
      <w:r>
        <w:t xml:space="preserve">[5] Blecher D. P., Paulsen V. I. Tensor products of operator spaces. Journal of Functional Analysis, 1991, 99: 262-292.</w:t>
      </w:r>
    </w:p>
    <w:p>
      <w:pPr>
        <w:pStyle w:val="Reference"/>
      </w:pPr>
      <w:r>
        <w:t xml:space="preserve">[6] Blecher D. P. Tensor products of operator spaces, II. Canadian Journal of Mathematics, 1992, 44: 75-90.</w:t>
      </w:r>
    </w:p>
    <w:p>
      <w:pPr>
        <w:pStyle w:val="Reference"/>
      </w:pPr>
      <w:r>
        <w:t xml:space="preserve">[7] Choi M.-D., Effros E. G. Separable nuclear C*-algebras and injectivity. Duke Mathematical Journal, 1976, 43: 309-322.</w:t>
      </w:r>
    </w:p>
    <w:p>
      <w:pPr>
        <w:pStyle w:val="Reference"/>
      </w:pPr>
      <w:r>
        <w:t xml:space="preserve">[8] Choi M.-D., Effros E. G. Nuclear C*-algebras and injectivity: the general case. Indiana University Mathematics Journal, 1977, 26: 443-446.</w:t>
      </w:r>
    </w:p>
    <w:p>
      <w:pPr>
        <w:pStyle w:val="Reference"/>
      </w:pPr>
      <w:r>
        <w:t xml:space="preserve">[9] Choi M.-D., Effros E. G. Injectivity and operator spaces. Journal of Functional Analysis, 1977, 24: 156-209.</w:t>
      </w:r>
    </w:p>
    <w:p>
      <w:pPr>
        <w:pStyle w:val="Reference"/>
      </w:pPr>
      <w:r>
        <w:t xml:space="preserve">[10] Connes A. Classification of injective factors. Annals of Mathematics, 1976, 104: 73-115.</w:t>
      </w:r>
    </w:p>
    <w:p>
      <w:pPr>
        <w:pStyle w:val="Reference"/>
      </w:pPr>
      <w:r>
        <w:t xml:space="preserve">[11] Effros E. G., Haagerup U. Lifting problems and local reflexivity for C*-algebras. Duke Mathematical Journal, 1985, 52: 103-128.</w:t>
      </w:r>
    </w:p>
    <w:p>
      <w:pPr>
        <w:pStyle w:val="Reference"/>
      </w:pPr>
      <w:r>
        <w:t xml:space="preserve">[12] Kirchberg E. On non-semisplit extensions, tensor products and exactness of group C*-algebras. Inventiones Mathematicae, 1993, 112: 449-489.</w:t>
      </w:r>
    </w:p>
    <w:p>
      <w:pPr>
        <w:pStyle w:val="Reference"/>
      </w:pPr>
      <w:r>
        <w:t xml:space="preserve">[13] Kirchberg E. On subalgebras of the CAR-algebra. Journal of Functional Analysis, 1995, 129: 35-63.</w:t>
      </w:r>
    </w:p>
    <w:p>
      <w:pPr>
        <w:pStyle w:val="Reference"/>
      </w:pPr>
      <w:r>
        <w:t xml:space="preserve">[14] Pisier G. Exact operator spaces. Asterisque, 1995, 232: 159-186.</w:t>
      </w:r>
    </w:p>
    <w:p>
      <w:pPr>
        <w:pStyle w:val="Reference"/>
      </w:pPr>
      <w:r>
        <w:t xml:space="preserve">[15] Effros E. G., Ozawa N., Ruan Z.-J. On injectivity and nuclearity for operator spaces. Duke Mathematical Journal, 2001, 110: 489-521.</w:t>
      </w:r>
    </w:p>
    <w:p>
      <w:pPr>
        <w:pStyle w:val="Reference"/>
      </w:pPr>
      <w:r>
        <w:t xml:space="preserve">[16] Effros E. G., Ruan Z.-J. Mapping spaces and liftings for operator spaces. Proceedings of the London Mathematical Society, 1994, 69: 171-197.</w:t>
      </w:r>
    </w:p>
    <w:p>
      <w:pPr>
        <w:pStyle w:val="Reference"/>
      </w:pPr>
      <w:r>
        <w:t xml:space="preserve">[17] Effros E. G., Ruan Z.-J. The Grothendieck-Pietsch and Dvoretzky-Rogers theorems for operator spaces. Journal of Functional Analysis, 1994, 122: 428-450.</w:t>
      </w:r>
    </w:p>
    <w:p>
      <w:pPr>
        <w:pStyle w:val="Reference"/>
      </w:pPr>
      <w:r>
        <w:t xml:space="preserve">[18] Effros E. G., Ruan Z.-J. On the analogues of integral mappings and local reflexivity for operator spaces. Indiana University Mathematics Journal, 1997, 46: 1289-1310.</w:t>
      </w:r>
    </w:p>
    <w:p>
      <w:pPr>
        <w:pStyle w:val="Reference"/>
      </w:pPr>
      <w:r>
        <w:t xml:space="preserve">[19] Effros E. G., Junge M., Ruan Z.-J. Integral mappings and the principle of local reflexivity for non-commutative L1-spaces. Annals of Mathematics, 2000, 151: 59-92.</w:t>
      </w:r>
    </w:p>
    <w:p>
      <w:pPr>
        <w:pStyle w:val="Reference"/>
      </w:pPr>
      <w:r>
        <w:t xml:space="preserve">[20] Grothendieck A. Produits tensoriels topologiques et espaces nucleaires. Memoirs of the American Mathematical Society, No. 16. American Mathematical Society, 1955.</w:t>
      </w:r>
    </w:p>
    <w:p>
      <w:pPr>
        <w:pStyle w:val="Reference"/>
      </w:pPr>
      <w:r>
        <w:t xml:space="preserve">[21] Schatten R. On the direct product of Banach spaces. Transactions of the American Mathematical Society, 1943, 53: 195-217.</w:t>
      </w:r>
    </w:p>
    <w:p>
      <w:pPr>
        <w:pStyle w:val="Reference"/>
      </w:pPr>
      <w:r>
        <w:t xml:space="preserve">[22] Schatten R. A Theory of Cross-Spaces. Annals of Mathematics Studies 26. Princeton University Press, 1950.</w:t>
      </w:r>
    </w:p>
    <w:p>
      <w:pPr>
        <w:pStyle w:val="Reference"/>
      </w:pPr>
      <w:r>
        <w:t xml:space="preserve">[23] Defant A., Floret K. Tensor Norms and Operator Ideals. North-Holland Mathematics Studies 176. North-Holland, 1993.</w:t>
      </w:r>
    </w:p>
    <w:p>
      <w:pPr>
        <w:pStyle w:val="Reference"/>
      </w:pPr>
      <w:r>
        <w:t xml:space="preserve">[24] Paulsen V. I. Completely Bounded Maps and Operator Algebras. Cambridge Studies in Advanced Mathematics 78. Cambridge University Press, 2002.</w:t>
      </w:r>
    </w:p>
    <w:p>
      <w:pPr>
        <w:pStyle w:val="Reference"/>
      </w:pPr>
      <w:r>
        <w:t xml:space="preserve">[25] Pisier G. Factorization of Linear Operators and Geometry of Banach Spaces. CBMS Regional Conference Series in Mathematics 60. American Mathematical Society, 1986.</w:t>
      </w:r>
    </w:p>
    <w:p>
      <w:pPr>
        <w:pStyle w:val="Reference"/>
      </w:pPr>
      <w:r>
        <w:t xml:space="preserve">[26] Tomczak-Jaegermann N. Banach-Mazur Distances and Finite-Dimensional Operator Ideals. Pitman Monographs and Surveys in Pure and Applied Mathematics 38. Longman Scientific &amp; Technical, 1989.</w:t>
      </w:r>
    </w:p>
    <w:p>
      <w:pPr>
        <w:pStyle w:val="Reference"/>
      </w:pPr>
      <w:r>
        <w:t xml:space="preserve">[27] Dong Z., Ruan Z.-J. Weak* exactness for dual operator spaces. Journal of Functional Analysis, 2007, 253: 373-397.</w:t>
      </w:r>
    </w:p>
    <w:p>
      <w:pPr>
        <w:pStyle w:val="Reference"/>
      </w:pPr>
      <w:r>
        <w:t xml:space="preserve">[28] Dong Z., Zhao Y.-F. On the nuclearity of completely 1-summing mapping spaces. Acta Mathematica Scientia, 2020, 40: 1981-1988.</w:t>
      </w:r>
    </w:p>
    <w:p>
      <w:pPr>
        <w:pStyle w:val="Reference"/>
      </w:pPr>
      <w:r>
        <w:t xml:space="preserve">[29] Dong Z., Tao J.-C., Zhao Y.-F. Nuclearity and finite-representability in the system of completely integral mapping spaces. Acta Mathematica Sinica, English Series, 2024, 40: 1197-1214.</w:t>
      </w:r>
    </w:p>
    <w:p>
      <w:pPr>
        <w:pStyle w:val="Reference"/>
      </w:pPr>
      <w:r>
        <w:t xml:space="preserve">[30] Zhao Y.-F., Wang Y.-Y. The local theory of completely 1-summing mapping spaces. Journal of Applied Mathematics and Physics, 2023, 11(6): 1570-1579.</w:t>
      </w:r>
    </w:p>
    <w:sectPr>
      <w:pgSz w:w="12240" w:h="15840"/>
      <w:pgMar w:top="1440" w:right="1440" w:bottom="1440" w:left="1440" w:header="708" w:footer="708" w:gutter="0"/>
      <w:cols w:space="720"/>
      <w:docGrid w:linePitch="312"/>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qFormat/>
    <w:pPr>
      <w:spacing w:after="120" w:line="300" w:lineRule="auto"/>
      <w:jc w:val="both"/>
    </w:pPr>
    <w:rPr>
      <w:rFonts w:ascii="Times New Roman" w:hAnsi="Times New Roman" w:eastAsia="SimSun"/>
      <w:sz w:val="22"/>
      <w:szCs w:val="22"/>
    </w:rPr>
  </w:style>
  <w:style w:type="paragraph" w:styleId="BodyText">
    <w:name w:val="Body Text"/>
    <w:basedOn w:val="Normal"/>
    <w:qFormat/>
    <w:pPr>
      <w:spacing w:after="120" w:line="300" w:lineRule="auto"/>
      <w:jc w:val="both"/>
    </w:pPr>
    <w:rPr>
      <w:rFonts w:ascii="Times New Roman" w:hAnsi="Times New Roman" w:eastAsia="SimSun"/>
      <w:sz w:val="22"/>
    </w:rPr>
  </w:style>
  <w:style w:type="paragraph" w:styleId="DocTitle">
    <w:name w:val="Document Title"/>
    <w:qFormat/>
    <w:pPr>
      <w:spacing w:after="120"/>
      <w:jc w:val="center"/>
    </w:pPr>
    <w:rPr>
      <w:rFonts w:ascii="Arial" w:hAnsi="Arial" w:eastAsia="Microsoft YaHei"/>
      <w:b/>
      <w:sz w:val="44"/>
    </w:rPr>
  </w:style>
  <w:style w:type="paragraph" w:styleId="Subtitle">
    <w:name w:val="Subtitle"/>
    <w:qFormat/>
    <w:pPr>
      <w:spacing w:after="280"/>
      <w:jc w:val="center"/>
    </w:pPr>
    <w:rPr>
      <w:rFonts w:ascii="Arial" w:hAnsi="Arial" w:eastAsia="Microsoft YaHei"/>
      <w:color w:val="666666"/>
      <w:sz w:val="22"/>
    </w:rPr>
  </w:style>
  <w:style w:type="paragraph" w:styleId="Heading1">
    <w:name w:val="heading 1"/>
    <w:basedOn w:val="Normal"/>
    <w:next w:val="BodyText"/>
    <w:qFormat/>
    <w:pPr>
      <w:keepNext/>
      <w:spacing w:before="320" w:after="160"/>
      <w:outlineLvl w:val="0"/>
    </w:pPr>
    <w:rPr>
      <w:rFonts w:ascii="Arial" w:hAnsi="Arial" w:eastAsia="Microsoft YaHei"/>
      <w:b/>
      <w:color w:val="2E74B5"/>
      <w:sz w:val="32"/>
    </w:rPr>
  </w:style>
  <w:style w:type="paragraph" w:styleId="Heading2">
    <w:name w:val="heading 2"/>
    <w:basedOn w:val="Normal"/>
    <w:next w:val="BodyText"/>
    <w:qFormat/>
    <w:pPr>
      <w:keepNext/>
      <w:spacing w:before="240" w:after="120"/>
      <w:outlineLvl w:val="1"/>
    </w:pPr>
    <w:rPr>
      <w:rFonts w:ascii="Arial" w:hAnsi="Arial" w:eastAsia="Microsoft YaHei"/>
      <w:b/>
      <w:color w:val="2E74B5"/>
      <w:sz w:val="26"/>
    </w:rPr>
  </w:style>
  <w:style w:type="paragraph" w:styleId="Reference">
    <w:name w:val="Reference"/>
    <w:basedOn w:val="Normal"/>
    <w:pPr>
      <w:spacing w:after="60" w:line="276" w:lineRule="auto"/>
      <w:ind w:left="360" w:hanging="360"/>
    </w:pPr>
    <w:rPr>
      <w:rFonts w:ascii="Times New Roman" w:hAnsi="Times New Roman" w:eastAsia="SimSun"/>
      <w:sz w:val="19"/>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省基金申报书正文：完全核映射空间系统中的局部理论</dc:title>
  <dc:creator>Codex</dc:creator>
  <cp:lastModifiedBy>Codex</cp:lastModifiedBy>
</cp:coreProperties>
</file>