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sz w:val="22"/>
          <w:szCs w:val="22"/>
        </w:rPr>
        <w:t xml:space="preserve"/>
      </w:r>
    </w:p>
    <w:p>
      <w:pPr>
        <w:pBdr>
          <w:top w:val="single" w:color="1F3864" w:sz="1"/>
        </w:pBdr>
        <w:shd w:fill="1F3864" w:val="clear"/>
        <w:spacing w:before="0" w:after="0"/>
        <w:ind w:left="-1417" w:right="-1134"/>
        <w:jc w:val="center"/>
      </w:pPr>
      <w:r>
        <w:rPr>
          <w:rFonts w:ascii="Arial" w:cs="Arial" w:eastAsia="Arial" w:hAnsi="Arial"/>
          <w:b/>
          <w:bCs/>
          <w:color w:val="FFFFFF"/>
          <w:sz w:val="52"/>
          <w:szCs w:val="52"/>
        </w:rPr>
        <w:t xml:space="preserve">RAPPORT D'AUDIT DE SÉCURITÉ</w:t>
      </w:r>
    </w:p>
    <w:p>
      <w:pPr>
        <w:shd w:fill="2E75B6" w:val="clear"/>
        <w:spacing w:before="0" w:after="0"/>
        <w:ind w:left="-1417" w:right="-1134"/>
        <w:jc w:val="center"/>
      </w:pPr>
      <w:r>
        <w:rPr>
          <w:rFonts w:ascii="Arial" w:cs="Arial" w:eastAsia="Arial" w:hAnsi="Arial"/>
          <w:b/>
          <w:bCs/>
          <w:color w:val="FFFFFF"/>
          <w:sz w:val="40"/>
          <w:szCs w:val="40"/>
        </w:rPr>
        <w:t xml:space="preserve">Infrastructure ALPHA SERVICES</w:t>
      </w:r>
    </w:p>
    <w:p>
      <w:pPr>
        <w:shd w:fill="2E75B6" w:val="clear"/>
        <w:spacing w:before="0" w:after="480"/>
        <w:ind w:left="-1417" w:right="-1134"/>
        <w:jc w:val="center"/>
      </w:pPr>
      <w:r>
        <w:rPr>
          <w:rFonts w:ascii="Arial" w:cs="Arial" w:eastAsia="Arial" w:hAnsi="Arial"/>
          <w:color w:val="FFFFFF"/>
          <w:sz w:val="22"/>
          <w:szCs w:val="22"/>
        </w:rPr>
        <w:t xml:space="preserve">Formation ASRC — IMIE Paris · Audit de sécurité réseaux et systèmes</w:t>
      </w:r>
    </w:p>
    <w:p>
      <w:pPr>
        <w:spacing w:before="2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Champ</w:t>
            </w:r>
          </w:p>
        </w:tc>
        <w:tc>
          <w:tcPr>
            <w:tcW w:type="dxa" w:w="6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Référence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AUDIT-ASRC-2026-001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Version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1.0 — Version finale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Date de réalisation</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20 mars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Classification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CONFIDENTIEL — Diffusion restreinte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ALPHA SERVICES (environnement pédagogique IMIE)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Périmètre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Infrastructure virtualisée VMware Workstation Pro — 6 VMs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Méthodologie</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EBIOS RM · ISO 27001/27002 · Tests techniques actifs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Outils utilisés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Nmap 7.98 · BloodHound · rpcclient · ldapsearch · enum4linux · curl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Domaine AD audité</w:t>
            </w:r>
          </w:p>
        </w:tc>
        <w:tc>
          <w:tcPr>
            <w:tcW w:type="dxa" w:w="6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alpha.lab (DC-ALPHA — Windows Server 2022 Evaluation)</w:t>
            </w:r>
          </w:p>
        </w:tc>
      </w:tr>
    </w:tbl>
    <w:p>
      <w:pPr>
        <w:spacing w:before="24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Équipe d'audit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Rôle</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Nom</w:t>
            </w:r>
          </w:p>
        </w:tc>
        <w:tc>
          <w:tcPr>
            <w:tcW w:type="dxa" w:w="25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Spécialité</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Signature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Chef de projet / Auditeur principal</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CHUIGWA Armand</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Sécurité réseaux &amp; systèmes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Auditeur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Auditeur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Auditeur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Validateur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w:r>
          </w:p>
        </w:tc>
      </w:tr>
    </w:tbl>
    <w:p>
      <w:pPr>
        <w:spacing w:before="160" w:after="0"/>
      </w:pPr>
      <w:r>
        <w:rPr>
          <w:rFonts w:ascii="Arial" w:cs="Arial" w:eastAsia="Arial" w:hAnsi="Arial"/>
          <w:sz w:val="22"/>
          <w:szCs w:val="22"/>
        </w:rPr>
        <w:t xml:space="preserve"/>
      </w:r>
    </w:p>
    <w:p>
      <w:pPr>
        <w:spacing w:before="80" w:after="80"/>
      </w:pPr>
      <w:r>
        <w:rPr>
          <w:rFonts w:ascii="Arial" w:cs="Arial" w:eastAsia="Arial" w:hAnsi="Arial"/>
          <w:i/>
          <w:iCs/>
          <w:color w:val="595959"/>
          <w:sz w:val="18"/>
          <w:szCs w:val="18"/>
        </w:rPr>
        <w:t xml:space="preserve">Ce rapport est produit dans le cadre de la formation ASRC (Administrateur Sécurité Réseaux et Cloud) à l'IMIE Paris. Il constitue le livrable final du TP d'audit de sécurité sur infrastructure virtualisée.</w:t>
      </w:r>
    </w:p>
    <w:p>
      <w:r>
        <w:br w:type="page"/>
      </w:r>
    </w:p>
    <w:p>
      <w:pPr>
        <w:pBdr>
          <w:bottom w:val="single" w:color="2E75B6" w:sz="12" w:space="2"/>
        </w:pBdr>
        <w:spacing w:before="480" w:after="200"/>
      </w:pPr>
      <w:r>
        <w:rPr>
          <w:rFonts w:ascii="Arial" w:cs="Arial" w:eastAsia="Arial" w:hAnsi="Arial"/>
          <w:b/>
          <w:bCs/>
          <w:color w:val="1F3864"/>
          <w:sz w:val="32"/>
          <w:szCs w:val="32"/>
        </w:rPr>
        <w:t xml:space="preserve">Sommaire</w:t>
      </w:r>
    </w:p>
    <w:p>
      <w:pPr>
        <w:spacing w:before="80" w:after="80"/>
      </w:pPr>
      <w:r>
        <w:rPr>
          <w:rFonts w:ascii="Arial" w:cs="Arial" w:eastAsia="Arial" w:hAnsi="Arial"/>
          <w:b/>
          <w:bCs/>
          <w:sz w:val="22"/>
          <w:szCs w:val="22"/>
        </w:rPr>
        <w:t xml:space="preserve">1. Résumé exécutif</w:t>
      </w:r>
    </w:p>
    <w:p>
      <w:pPr>
        <w:spacing w:before="80" w:after="80"/>
      </w:pPr>
      <w:r>
        <w:rPr>
          <w:rFonts w:ascii="Arial" w:cs="Arial" w:eastAsia="Arial" w:hAnsi="Arial"/>
          <w:sz w:val="22"/>
          <w:szCs w:val="22"/>
        </w:rPr>
        <w:t xml:space="preserve">    1.1 Synthèse des risques</w:t>
      </w:r>
      <w:r>
        <w:rPr>
          <w:rFonts w:ascii="Arial" w:cs="Arial" w:eastAsia="Arial" w:hAnsi="Arial"/>
          <w:sz w:val="22"/>
          <w:szCs w:val="22"/>
        </w:rPr>
        <w:t xml:space="preserve">  |  </w:t>
      </w:r>
      <w:r>
        <w:rPr>
          <w:rFonts w:ascii="Arial" w:cs="Arial" w:eastAsia="Arial" w:hAnsi="Arial"/>
          <w:sz w:val="22"/>
          <w:szCs w:val="22"/>
        </w:rPr>
        <w:t xml:space="preserve">1.2 Actions prioritaires</w:t>
      </w:r>
      <w:r>
        <w:rPr>
          <w:rFonts w:ascii="Arial" w:cs="Arial" w:eastAsia="Arial" w:hAnsi="Arial"/>
          <w:sz w:val="22"/>
          <w:szCs w:val="22"/>
        </w:rPr>
        <w:t xml:space="preserve">  |  </w:t>
      </w:r>
      <w:r>
        <w:rPr>
          <w:rFonts w:ascii="Arial" w:cs="Arial" w:eastAsia="Arial" w:hAnsi="Arial"/>
          <w:sz w:val="22"/>
          <w:szCs w:val="22"/>
        </w:rPr>
        <w:t xml:space="preserve">1.3 Indicateurs clés</w:t>
      </w:r>
    </w:p>
    <w:p>
      <w:pPr>
        <w:spacing w:before="80" w:after="80"/>
      </w:pPr>
      <w:r>
        <w:rPr>
          <w:rFonts w:ascii="Arial" w:cs="Arial" w:eastAsia="Arial" w:hAnsi="Arial"/>
          <w:b/>
          <w:bCs/>
          <w:sz w:val="22"/>
          <w:szCs w:val="22"/>
        </w:rPr>
        <w:t xml:space="preserve">2. Contexte et cadrage de la mission</w:t>
      </w:r>
    </w:p>
    <w:p>
      <w:pPr>
        <w:spacing w:before="80" w:after="80"/>
      </w:pPr>
      <w:r>
        <w:rPr>
          <w:rFonts w:ascii="Arial" w:cs="Arial" w:eastAsia="Arial" w:hAnsi="Arial"/>
          <w:sz w:val="22"/>
          <w:szCs w:val="22"/>
        </w:rPr>
        <w:t xml:space="preserve">    2.1 Contexte  |  2.2 Périmètre audité  |  2.3 Documents contractuels  |  2.4 Hors périmètre</w:t>
      </w:r>
    </w:p>
    <w:p>
      <w:pPr>
        <w:spacing w:before="80" w:after="80"/>
      </w:pPr>
      <w:r>
        <w:rPr>
          <w:rFonts w:ascii="Arial" w:cs="Arial" w:eastAsia="Arial" w:hAnsi="Arial"/>
          <w:b/>
          <w:bCs/>
          <w:sz w:val="22"/>
          <w:szCs w:val="22"/>
        </w:rPr>
        <w:t xml:space="preserve">3. Architecture du système d'information</w:t>
      </w:r>
    </w:p>
    <w:p>
      <w:pPr>
        <w:spacing w:before="80" w:after="80"/>
      </w:pPr>
      <w:r>
        <w:rPr>
          <w:rFonts w:ascii="Arial" w:cs="Arial" w:eastAsia="Arial" w:hAnsi="Arial"/>
          <w:sz w:val="22"/>
          <w:szCs w:val="22"/>
        </w:rPr>
        <w:t xml:space="preserve">    3.1 Topologie réseau  |  3.2 Cartographie des VMs  |  3.3 Flux inter-zones  |  3.4 Dépendances</w:t>
      </w:r>
    </w:p>
    <w:p>
      <w:pPr>
        <w:spacing w:before="80" w:after="80"/>
      </w:pPr>
      <w:r>
        <w:rPr>
          <w:rFonts w:ascii="Arial" w:cs="Arial" w:eastAsia="Arial" w:hAnsi="Arial"/>
          <w:b/>
          <w:bCs/>
          <w:sz w:val="22"/>
          <w:szCs w:val="22"/>
        </w:rPr>
        <w:t xml:space="preserve">4. Analyse de risques EBIOS RM</w:t>
      </w:r>
    </w:p>
    <w:p>
      <w:pPr>
        <w:spacing w:before="80" w:after="80"/>
      </w:pPr>
      <w:r>
        <w:rPr>
          <w:rFonts w:ascii="Arial" w:cs="Arial" w:eastAsia="Arial" w:hAnsi="Arial"/>
          <w:sz w:val="22"/>
          <w:szCs w:val="22"/>
        </w:rPr>
        <w:t xml:space="preserve">    4.1 Biens essentiels  |  4.2 Sources de risque  |  4.3 Scénarios stratégiques  |  4.4 Matrice de risques</w:t>
      </w:r>
    </w:p>
    <w:p>
      <w:pPr>
        <w:spacing w:before="80" w:after="80"/>
      </w:pPr>
      <w:r>
        <w:rPr>
          <w:rFonts w:ascii="Arial" w:cs="Arial" w:eastAsia="Arial" w:hAnsi="Arial"/>
          <w:b/>
          <w:bCs/>
          <w:sz w:val="22"/>
          <w:szCs w:val="22"/>
        </w:rPr>
        <w:t xml:space="preserve">5. Synthèse des constats</w:t>
      </w:r>
    </w:p>
    <w:p>
      <w:pPr>
        <w:spacing w:before="80" w:after="80"/>
      </w:pPr>
      <w:r>
        <w:rPr>
          <w:rFonts w:ascii="Arial" w:cs="Arial" w:eastAsia="Arial" w:hAnsi="Arial"/>
          <w:sz w:val="22"/>
          <w:szCs w:val="22"/>
        </w:rPr>
        <w:t xml:space="preserve">    5.1 Tableau de synthèse  |  5.2 Répartition par domaine  |  5.3 Points positifs</w:t>
      </w:r>
    </w:p>
    <w:p>
      <w:pPr>
        <w:spacing w:before="80" w:after="80"/>
      </w:pPr>
      <w:r>
        <w:rPr>
          <w:rFonts w:ascii="Arial" w:cs="Arial" w:eastAsia="Arial" w:hAnsi="Arial"/>
          <w:b/>
          <w:bCs/>
          <w:sz w:val="22"/>
          <w:szCs w:val="22"/>
        </w:rPr>
        <w:t xml:space="preserve">6. Constats détaillés par domaine</w:t>
      </w:r>
    </w:p>
    <w:p>
      <w:pPr>
        <w:spacing w:before="80" w:after="80"/>
      </w:pPr>
      <w:r>
        <w:rPr>
          <w:rFonts w:ascii="Arial" w:cs="Arial" w:eastAsia="Arial" w:hAnsi="Arial"/>
          <w:sz w:val="22"/>
          <w:szCs w:val="22"/>
        </w:rPr>
        <w:t xml:space="preserve">    6.1 Applicatif  |  6.2 Réseau  |  6.3 Systèmes  |  6.4 Active Directory</w:t>
      </w:r>
    </w:p>
    <w:p>
      <w:pPr>
        <w:spacing w:before="80" w:after="80"/>
      </w:pPr>
      <w:r>
        <w:rPr>
          <w:rFonts w:ascii="Arial" w:cs="Arial" w:eastAsia="Arial" w:hAnsi="Arial"/>
          <w:b/>
          <w:bCs/>
          <w:sz w:val="22"/>
          <w:szCs w:val="22"/>
        </w:rPr>
        <w:t xml:space="preserve">7. Recommandations priorisées</w:t>
      </w:r>
    </w:p>
    <w:p>
      <w:pPr>
        <w:spacing w:before="80" w:after="80"/>
      </w:pPr>
      <w:r>
        <w:rPr>
          <w:rFonts w:ascii="Arial" w:cs="Arial" w:eastAsia="Arial" w:hAnsi="Arial"/>
          <w:sz w:val="22"/>
          <w:szCs w:val="22"/>
        </w:rPr>
        <w:t xml:space="preserve">    7.1 Actions immédiates (72h)  |  7.2 Court terme (30j)  |  7.3 Moyen terme (90j)  |  7.4 Plan de remédiation</w:t>
      </w:r>
    </w:p>
    <w:p>
      <w:pPr>
        <w:spacing w:before="80" w:after="80"/>
      </w:pPr>
      <w:r>
        <w:rPr>
          <w:rFonts w:ascii="Arial" w:cs="Arial" w:eastAsia="Arial" w:hAnsi="Arial"/>
          <w:b/>
          <w:bCs/>
          <w:sz w:val="22"/>
          <w:szCs w:val="22"/>
        </w:rPr>
        <w:t xml:space="preserve">8. Conclusion</w:t>
      </w:r>
    </w:p>
    <w:p>
      <w:pPr>
        <w:spacing w:before="80" w:after="80"/>
      </w:pPr>
      <w:r>
        <w:rPr>
          <w:rFonts w:ascii="Arial" w:cs="Arial" w:eastAsia="Arial" w:hAnsi="Arial"/>
          <w:b/>
          <w:bCs/>
          <w:sz w:val="22"/>
          <w:szCs w:val="22"/>
        </w:rPr>
        <w:t xml:space="preserve">Annexes</w:t>
      </w:r>
    </w:p>
    <w:p>
      <w:pPr>
        <w:spacing w:before="80" w:after="80"/>
      </w:pPr>
      <w:r>
        <w:rPr>
          <w:rFonts w:ascii="Arial" w:cs="Arial" w:eastAsia="Arial" w:hAnsi="Arial"/>
          <w:sz w:val="22"/>
          <w:szCs w:val="22"/>
        </w:rPr>
        <w:t xml:space="preserve">    A. Résultats des scans Nmap  |  B. Analyse BloodHound / AD  |  C. Checklist EBIOS RM  |  D. Plan d'adressage</w:t>
      </w:r>
    </w:p>
    <w:p>
      <w:r>
        <w:br w:type="page"/>
      </w:r>
    </w:p>
    <w:p>
      <w:pPr>
        <w:pBdr>
          <w:bottom w:val="single" w:color="2E75B6" w:sz="12" w:space="2"/>
        </w:pBdr>
        <w:spacing w:before="480" w:after="200"/>
      </w:pPr>
      <w:r>
        <w:rPr>
          <w:rFonts w:ascii="Arial" w:cs="Arial" w:eastAsia="Arial" w:hAnsi="Arial"/>
          <w:b/>
          <w:bCs/>
          <w:color w:val="1F3864"/>
          <w:sz w:val="32"/>
          <w:szCs w:val="32"/>
        </w:rPr>
        <w:t xml:space="preserve">1. Résumé exécutif</w:t>
      </w:r>
    </w:p>
    <w:p>
      <w:pPr>
        <w:spacing w:before="80" w:after="80"/>
      </w:pPr>
      <w:r>
        <w:rPr>
          <w:rFonts w:ascii="Arial" w:cs="Arial" w:eastAsia="Arial" w:hAnsi="Arial"/>
          <w:sz w:val="22"/>
          <w:szCs w:val="22"/>
        </w:rPr>
        <w:t xml:space="preserve">L'audit de sécurité de l'infrastructure ALPHA SERVICES a été conduit du 12 au 20 mars 2026 sur un environnement de test virtualisé simulant une infrastructure d'entreprise réaliste. La mission a couvert l'intégralité des couches réseau, système, Active Directory et applicative.</w:t>
      </w:r>
    </w:p>
    <w:p>
      <w:pPr>
        <w:spacing w:before="80" w:after="80"/>
      </w:pPr>
      <w:r>
        <w:rPr>
          <w:rFonts w:ascii="Arial" w:cs="Arial" w:eastAsia="Arial" w:hAnsi="Arial"/>
          <w:sz w:val="22"/>
          <w:szCs w:val="22"/>
        </w:rPr>
        <w:t xml:space="preserve">L'analyse révèle un niveau de sécurité globalement insuffisant. Huit constats de criticité CRITIQUE ont été identifiés, dont plusieurs permettraient à un attaquant de prendre le contrôle total du système d'information en enchaînant quelques étapes simples depuis Internet.</w:t>
      </w:r>
    </w:p>
    <w:p>
      <w:pPr>
        <w:spacing w:before="8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1.1 Synthèse des risques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4160"/>
      </w:tblGrid>
      <w:tr>
        <w:trPr>
          <w:tblHeader/>
        </w:trPr>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Nb de constats</w:t>
            </w:r>
          </w:p>
        </w:tc>
        <w:tc>
          <w:tcPr>
            <w:tcW w:type="dxa" w:w="2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Domaines touchés</w:t>
            </w:r>
          </w:p>
        </w:tc>
        <w:tc>
          <w:tcPr>
            <w:tcW w:type="dxa" w:w="4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 métier principal</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CRITIQUE</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 · Réseau · Applicatif</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Compromission totale du SI</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ÉLEVÉ</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 · Système · Applicatif · Réseau</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Exfiltration de données</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MOYEN</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Système · Réseau · Applicatif</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Reconnaissance facilitée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BON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 · AD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Configuration correcte à maintenir</w:t>
            </w:r>
          </w:p>
        </w:tc>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1.2 Actions prioritaires immédiates</w:t>
      </w:r>
    </w:p>
    <w:p>
      <w:pPr>
        <w:spacing w:before="80" w:after="80"/>
      </w:pPr>
      <w:r>
        <w:rPr>
          <w:rFonts w:ascii="Arial" w:cs="Arial" w:eastAsia="Arial" w:hAnsi="Arial"/>
          <w:sz w:val="22"/>
          <w:szCs w:val="22"/>
        </w:rPr>
        <w:t xml:space="preserve">Les actions suivantes doivent être traitées dans les 72 heures suivant la réception de ce rapport :</w:t>
      </w:r>
    </w:p>
    <w:p>
      <w:pPr>
        <w:pStyle w:val="ListParagraph"/>
        <w:numPr>
          <w:ilvl w:val="0"/>
          <w:numId w:val="2"/>
        </w:numPr>
        <w:spacing w:before="60" w:after="60"/>
      </w:pPr>
      <w:r>
        <w:rPr>
          <w:rFonts w:ascii="Arial" w:cs="Arial" w:eastAsia="Arial" w:hAnsi="Arial"/>
          <w:sz w:val="22"/>
          <w:szCs w:val="22"/>
        </w:rPr>
        <w:t xml:space="preserve">Créer des comptes admin AD dédiés et désactiver le compte Administrateur par défaut (C19, C23, C31)</w:t>
      </w:r>
    </w:p>
    <w:p>
      <w:pPr>
        <w:pStyle w:val="ListParagraph"/>
        <w:numPr>
          <w:ilvl w:val="0"/>
          <w:numId w:val="2"/>
        </w:numPr>
        <w:spacing w:before="60" w:after="60"/>
      </w:pPr>
      <w:r>
        <w:rPr>
          <w:rFonts w:ascii="Arial" w:cs="Arial" w:eastAsia="Arial" w:hAnsi="Arial"/>
          <w:sz w:val="22"/>
          <w:szCs w:val="22"/>
        </w:rPr>
        <w:t xml:space="preserve">Activer HTTPS/TLS sur WEB-ALPHA et masquer la version Apache (C1, C2)</w:t>
      </w:r>
    </w:p>
    <w:p>
      <w:pPr>
        <w:pStyle w:val="ListParagraph"/>
        <w:numPr>
          <w:ilvl w:val="0"/>
          <w:numId w:val="2"/>
        </w:numPr>
        <w:spacing w:before="60" w:after="60"/>
      </w:pPr>
      <w:r>
        <w:rPr>
          <w:rFonts w:ascii="Arial" w:cs="Arial" w:eastAsia="Arial" w:hAnsi="Arial"/>
          <w:sz w:val="22"/>
          <w:szCs w:val="22"/>
        </w:rPr>
        <w:t xml:space="preserve">Désactiver RDP sur CLIENT-ALPHA ou le restreindre à la zone ADMIN (C8)</w:t>
      </w:r>
    </w:p>
    <w:p>
      <w:pPr>
        <w:pStyle w:val="ListParagraph"/>
        <w:numPr>
          <w:ilvl w:val="0"/>
          <w:numId w:val="2"/>
        </w:numPr>
        <w:spacing w:before="60" w:after="60"/>
      </w:pPr>
      <w:r>
        <w:rPr>
          <w:rFonts w:ascii="Arial" w:cs="Arial" w:eastAsia="Arial" w:hAnsi="Arial"/>
          <w:sz w:val="22"/>
          <w:szCs w:val="22"/>
        </w:rPr>
        <w:t xml:space="preserve">Activer SMB signing requis sur CLIENT-ALPHA (C9)</w:t>
      </w:r>
    </w:p>
    <w:p>
      <w:pPr>
        <w:pStyle w:val="ListParagraph"/>
        <w:numPr>
          <w:ilvl w:val="0"/>
          <w:numId w:val="2"/>
        </w:numPr>
        <w:spacing w:before="60" w:after="60"/>
      </w:pPr>
      <w:r>
        <w:rPr>
          <w:rFonts w:ascii="Arial" w:cs="Arial" w:eastAsia="Arial" w:hAnsi="Arial"/>
          <w:sz w:val="22"/>
          <w:szCs w:val="22"/>
        </w:rPr>
        <w:t xml:space="preserve">Désinstaller Flexense Dup Scout 10.0.18 (C10)</w:t>
      </w:r>
    </w:p>
    <w:p>
      <w:pPr>
        <w:pStyle w:val="ListParagraph"/>
        <w:numPr>
          <w:ilvl w:val="0"/>
          <w:numId w:val="2"/>
        </w:numPr>
        <w:spacing w:before="60" w:after="60"/>
      </w:pPr>
      <w:r>
        <w:rPr>
          <w:rFonts w:ascii="Arial" w:cs="Arial" w:eastAsia="Arial" w:hAnsi="Arial"/>
          <w:sz w:val="22"/>
          <w:szCs w:val="22"/>
        </w:rPr>
        <w:t xml:space="preserve">Configurer l'expiration du mot de passe du compte Administrateur (C27)</w:t>
      </w:r>
    </w:p>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1.3 Indicateurs clés de l'audit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Indicateur</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Valeur</w:t>
            </w:r>
          </w:p>
        </w:tc>
        <w:tc>
          <w:tcPr>
            <w:tcW w:type="dxa" w:w="4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Interprétation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Taux de constats critiques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8 / 20 = 40%</w:t>
            </w:r>
          </w:p>
        </w:tc>
        <w:tc>
          <w:tcPr>
            <w:tcW w:type="dxa" w:w="4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Niveau de risque très élevé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Services non chiffrés exposés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 (HTTP, SMB opt)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Surface d'attaque réseau élevée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Comptes AD actifs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 / 5</w:t>
            </w:r>
          </w:p>
        </w:tc>
        <w:tc>
          <w:tcPr>
            <w:tcW w:type="dxa" w:w="4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Séparation des rôles inexistante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Comptes sans expiration MDP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 (Admin + Invité)</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Gestion des identités insuffisante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Logiciels avec CVE critiques</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 (Apache, Flexense)</w:t>
            </w:r>
          </w:p>
        </w:tc>
        <w:tc>
          <w:tcPr>
            <w:tcW w:type="dxa" w:w="4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Patch management absent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Groupes AD avec 1 seul membre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4 groupes critiques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SPOF d'administration totale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Score global (estimation CVSS moy)</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8.2 / 10</w:t>
            </w:r>
          </w:p>
        </w:tc>
        <w:tc>
          <w:tcPr>
            <w:tcW w:type="dxa" w:w="4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Niveau ÉLEVÉ / CRITIQUE</w:t>
            </w:r>
          </w:p>
        </w:tc>
      </w:tr>
    </w:tbl>
    <w:p>
      <w:r>
        <w:br w:type="page"/>
      </w:r>
    </w:p>
    <w:p>
      <w:pPr>
        <w:pBdr>
          <w:bottom w:val="single" w:color="2E75B6" w:sz="12" w:space="2"/>
        </w:pBdr>
        <w:spacing w:before="480" w:after="200"/>
      </w:pPr>
      <w:r>
        <w:rPr>
          <w:rFonts w:ascii="Arial" w:cs="Arial" w:eastAsia="Arial" w:hAnsi="Arial"/>
          <w:b/>
          <w:bCs/>
          <w:color w:val="1F3864"/>
          <w:sz w:val="32"/>
          <w:szCs w:val="32"/>
        </w:rPr>
        <w:t xml:space="preserve">2. Contexte et cadrage de la mission</w:t>
      </w:r>
    </w:p>
    <w:p>
      <w:pPr>
        <w:spacing w:before="320" w:after="160"/>
      </w:pPr>
      <w:r>
        <w:rPr>
          <w:rFonts w:ascii="Arial" w:cs="Arial" w:eastAsia="Arial" w:hAnsi="Arial"/>
          <w:b/>
          <w:bCs/>
          <w:color w:val="2E75B6"/>
          <w:sz w:val="26"/>
          <w:szCs w:val="26"/>
        </w:rPr>
        <w:t xml:space="preserve">2.1 Contexte</w:t>
      </w:r>
    </w:p>
    <w:p>
      <w:pPr>
        <w:spacing w:before="80" w:after="80"/>
      </w:pPr>
      <w:r>
        <w:rPr>
          <w:rFonts w:ascii="Arial" w:cs="Arial" w:eastAsia="Arial" w:hAnsi="Arial"/>
          <w:sz w:val="22"/>
          <w:szCs w:val="22"/>
        </w:rPr>
        <w:t xml:space="preserve">ALPHA SERVICES est une PME fictive dont l'infrastructure a été simulée dans un environnement VMware Workstation Pro dans le cadre de la formation ASRC à l'IMIE Paris. L'objectif pédagogique est de réaliser un audit de sécurité complet et professionnel sur une infrastructure réaliste.</w:t>
      </w:r>
    </w:p>
    <w:p>
      <w:pPr>
        <w:spacing w:before="80" w:after="80"/>
      </w:pPr>
      <w:r>
        <w:rPr>
          <w:rFonts w:ascii="Arial" w:cs="Arial" w:eastAsia="Arial" w:hAnsi="Arial"/>
          <w:sz w:val="22"/>
          <w:szCs w:val="22"/>
        </w:rPr>
        <w:t xml:space="preserve">L'audit a été mené par un groupe d'étudiants de la formation ASRC (Administrateur Sécurité Réseaux et Cloud), sous la supervision du formateur Paul ZOKOU. La VM AUDIT-ASRC (Kali Linux, 192.168.40.10) a servi de poste d'audit isolé dans la zone ADMIN.</w:t>
      </w:r>
    </w:p>
    <w:p>
      <w:pPr>
        <w:spacing w:before="8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2.2 Périmètre audité</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2100"/>
        <w:gridCol w:w="1460"/>
        <w:gridCol w:w="1000"/>
      </w:tblGrid>
      <w:tr>
        <w:trPr>
          <w:tblHeader/>
        </w:trPr>
        <w:tc>
          <w:tcPr>
            <w:tcW w:type="dxa" w:w="7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VM</w:t>
            </w:r>
          </w:p>
        </w:tc>
        <w:tc>
          <w:tcPr>
            <w:tcW w:type="dxa" w:w="15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Nom</w:t>
            </w:r>
          </w:p>
        </w:tc>
        <w:tc>
          <w:tcPr>
            <w:tcW w:type="dxa" w:w="17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Rôle</w:t>
            </w:r>
          </w:p>
        </w:tc>
        <w:tc>
          <w:tcPr>
            <w:tcW w:type="dxa" w:w="21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OS</w:t>
            </w:r>
          </w:p>
        </w:tc>
        <w:tc>
          <w:tcPr>
            <w:tcW w:type="dxa" w:w="14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IP</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Zone</w:t>
            </w:r>
          </w:p>
        </w:tc>
      </w:tr>
      <w:tr>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FW</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PF-ALPHA</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Pare-feu principal</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pfSense 2.7.0</w:t>
            </w:r>
          </w:p>
        </w:tc>
        <w:tc>
          <w:tcPr>
            <w:tcW w:type="dxa" w:w="14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Multi-zones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Toutes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Contrôleur de domaine AD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Windows Server 2022 Std Eval</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192.168.20.10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r>
      <w:tr>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SRV-LX</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SRV-LINUX</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Services internes</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Ubuntu Server</w:t>
            </w:r>
          </w:p>
        </w:tc>
        <w:tc>
          <w:tcPr>
            <w:tcW w:type="dxa" w:w="14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192.168.20.20</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Serveur web DMZ</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Ubuntu Server</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192.168.30.10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r>
      <w:tr>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CLT</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w:t>
            </w:r>
          </w:p>
        </w:tc>
        <w:tc>
          <w:tcPr>
            <w:tcW w:type="dxa" w:w="1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Poste utilisateur</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Windows 10 Entreprise LTSC 2019</w:t>
            </w:r>
          </w:p>
        </w:tc>
        <w:tc>
          <w:tcPr>
            <w:tcW w:type="dxa" w:w="14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192.168.10.50</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AUDIT-ASRC</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Poste d'audit</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Kali Linux</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192.168.40.10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w:t>
            </w:r>
          </w:p>
        </w:tc>
      </w:tr>
    </w:tbl>
    <w:p>
      <w:pPr>
        <w:spacing w:before="8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2.3 Documents contractuels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120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Document</w:t>
            </w:r>
          </w:p>
        </w:tc>
        <w:tc>
          <w:tcPr>
            <w:tcW w:type="dxa" w:w="49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Objet</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Statut</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Lettre de mission</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Définit le périmètre, objectifs, dates et responsabilités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Établi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NDA (Accord de confidentialité)</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Garantit la confidentialité des constats et livrables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Établi</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RoE (Rules of Engagement)</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Interventions depuis AUDIT-ASRC uniquement, aucune action destructrice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Établi</w:t>
            </w:r>
          </w:p>
        </w:tc>
      </w:tr>
    </w:tbl>
    <w:p>
      <w:pPr>
        <w:spacing w:before="8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2.4 Hors périmètre</w:t>
      </w:r>
    </w:p>
    <w:p>
      <w:pPr>
        <w:pStyle w:val="ListParagraph"/>
        <w:numPr>
          <w:ilvl w:val="0"/>
          <w:numId w:val="3"/>
        </w:numPr>
        <w:spacing w:before="60" w:after="60"/>
      </w:pPr>
      <w:r>
        <w:rPr>
          <w:rFonts w:ascii="Arial" w:cs="Arial" w:eastAsia="Arial" w:hAnsi="Arial"/>
          <w:sz w:val="22"/>
          <w:szCs w:val="22"/>
        </w:rPr>
        <w:t xml:space="preserve">Réseaux partenaires ou tiers externes</w:t>
      </w:r>
    </w:p>
    <w:p>
      <w:pPr>
        <w:pStyle w:val="ListParagraph"/>
        <w:numPr>
          <w:ilvl w:val="0"/>
          <w:numId w:val="3"/>
        </w:numPr>
        <w:spacing w:before="60" w:after="60"/>
      </w:pPr>
      <w:r>
        <w:rPr>
          <w:rFonts w:ascii="Arial" w:cs="Arial" w:eastAsia="Arial" w:hAnsi="Arial"/>
          <w:sz w:val="22"/>
          <w:szCs w:val="22"/>
        </w:rPr>
        <w:t xml:space="preserve">Données utilisateurs réelles ou personnelles</w:t>
      </w:r>
    </w:p>
    <w:p>
      <w:pPr>
        <w:pStyle w:val="ListParagraph"/>
        <w:numPr>
          <w:ilvl w:val="0"/>
          <w:numId w:val="3"/>
        </w:numPr>
        <w:spacing w:before="60" w:after="60"/>
      </w:pPr>
      <w:r>
        <w:rPr>
          <w:rFonts w:ascii="Arial" w:cs="Arial" w:eastAsia="Arial" w:hAnsi="Arial"/>
          <w:sz w:val="22"/>
          <w:szCs w:val="22"/>
        </w:rPr>
        <w:t xml:space="preserve">Infrastructure hôte VMware Workstation</w:t>
      </w:r>
    </w:p>
    <w:p>
      <w:pPr>
        <w:pStyle w:val="ListParagraph"/>
        <w:numPr>
          <w:ilvl w:val="0"/>
          <w:numId w:val="3"/>
        </w:numPr>
        <w:spacing w:before="60" w:after="60"/>
      </w:pPr>
      <w:r>
        <w:rPr>
          <w:rFonts w:ascii="Arial" w:cs="Arial" w:eastAsia="Arial" w:hAnsi="Arial"/>
          <w:sz w:val="22"/>
          <w:szCs w:val="22"/>
        </w:rPr>
        <w:t xml:space="preserve">Services cloud tiers non intégrés à l'infrastructure</w:t>
      </w:r>
    </w:p>
    <w:p>
      <w:pPr>
        <w:pStyle w:val="ListParagraph"/>
        <w:numPr>
          <w:ilvl w:val="0"/>
          <w:numId w:val="3"/>
        </w:numPr>
        <w:spacing w:before="60" w:after="60"/>
      </w:pPr>
      <w:r>
        <w:rPr>
          <w:rFonts w:ascii="Arial" w:cs="Arial" w:eastAsia="Arial" w:hAnsi="Arial"/>
          <w:sz w:val="22"/>
          <w:szCs w:val="22"/>
        </w:rPr>
        <w:t xml:space="preserve">Tests d'ingénierie sociale (phishing, vishing)</w:t>
      </w:r>
    </w:p>
    <w:p>
      <w:r>
        <w:br w:type="page"/>
      </w:r>
    </w:p>
    <w:p>
      <w:pPr>
        <w:pBdr>
          <w:bottom w:val="single" w:color="2E75B6" w:sz="12" w:space="2"/>
        </w:pBdr>
        <w:spacing w:before="480" w:after="200"/>
      </w:pPr>
      <w:r>
        <w:rPr>
          <w:rFonts w:ascii="Arial" w:cs="Arial" w:eastAsia="Arial" w:hAnsi="Arial"/>
          <w:b/>
          <w:bCs/>
          <w:color w:val="1F3864"/>
          <w:sz w:val="32"/>
          <w:szCs w:val="32"/>
        </w:rPr>
        <w:t xml:space="preserve">3. Architecture du système d'information</w:t>
      </w:r>
    </w:p>
    <w:p>
      <w:pPr>
        <w:spacing w:before="320" w:after="160"/>
      </w:pPr>
      <w:r>
        <w:rPr>
          <w:rFonts w:ascii="Arial" w:cs="Arial" w:eastAsia="Arial" w:hAnsi="Arial"/>
          <w:b/>
          <w:bCs/>
          <w:color w:val="2E75B6"/>
          <w:sz w:val="26"/>
          <w:szCs w:val="26"/>
        </w:rPr>
        <w:t xml:space="preserve">3.1 Cartographie réseau — Infrastructure ALPHA SERVICES</w:t>
      </w:r>
    </w:p>
    <w:p>
      <w:pPr>
        <w:spacing w:before="80" w:after="80"/>
      </w:pPr>
      <w:r>
        <w:rPr>
          <w:rFonts w:ascii="Arial" w:cs="Arial" w:eastAsia="Arial" w:hAnsi="Arial"/>
          <w:sz w:val="22"/>
          <w:szCs w:val="22"/>
        </w:rPr>
        <w:t xml:space="preserve">L'infrastructure est segmentée en cinq zones distinctes, toutes routées par PF-ALPHA (pfSense 2.7). Chaque zone correspond à un VMnet VMware dédié, assurant l'isolation au niveau de l'hyperviseur.</w:t>
      </w:r>
    </w:p>
    <w:p>
      <w:pPr>
        <w:spacing w:before="8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Segmentation réseau — vue d'ensemble</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1400"/>
        <w:gridCol w:w="2160"/>
        <w:gridCol w:w="1800"/>
      </w:tblGrid>
      <w:tr>
        <w:trPr>
          <w:tblHeader/>
        </w:trPr>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Zone</w:t>
            </w:r>
          </w:p>
        </w:tc>
        <w:tc>
          <w:tcPr>
            <w:tcW w:type="dxa" w:w="1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Réseau</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VMnet</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Passerelle</w:t>
            </w:r>
          </w:p>
        </w:tc>
        <w:tc>
          <w:tcPr>
            <w:tcW w:type="dxa" w:w="2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VM(s)</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Rôle</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WAN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192.168.8.0/24</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VMnet8 (NAT)</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PF-ALPHA (em0)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Accès Internet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192.168.10.0/24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192.168.10.254</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 (.50)
PF-ALPHA (.254)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Postes utilisateurs</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192.168.20.0/24</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VMnet2</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192.168.20.254</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 (.10)
SRV-LINUX (.20)
PF-ALPHA (.254)</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Serveurs internes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192.168.30.0/24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192.168.30.254</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 (.10)
PF-ALPHA (.254)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Services exposés</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192.168.40.0/24</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VMnet4</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192.168.40.254</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AUDIT-ASRC (.10)
PF-ALPHA (.254)</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Administration</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Flux inter-zones autorisés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560"/>
        <w:gridCol w:w="120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Source</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Destination</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Protocole/Port</w:t>
            </w:r>
          </w:p>
        </w:tc>
        <w:tc>
          <w:tcPr>
            <w:tcW w:type="dxa" w:w="25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Justification</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HTTP/HTTPS (80/443)</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Accès au service web par les utilisateurs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Autorisé</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LDAP/Kerberos (389/88)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Authentification AD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Autorisé</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Tous protocoles</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Administration postes clients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Autorisé</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Tous protocoles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Administration serveurs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Autorisé</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Tous protocoles</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Administration serveur web</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Autorisé</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HTTP/HTTPS + DNS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Accès internet serveur web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Autorisé</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Tout</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Pas de justification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Bloqué</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Pas de justification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Bloqué</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Tout</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Zone d'audit isolée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Bloqué</w:t>
            </w:r>
          </w:p>
        </w:tc>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3.2 Dépendances fonctionnelles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Dépendance</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Impact en cas de défaillance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 → DC-ALPHA (Kerberos/LDAP)</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Authentification</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Impossibilité de connexion pour les utilisateurs du domaine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 → PF-ALPHA (routage DMZ)</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Perte d'accès Internet pour le serveur web</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Tous serveurs → DC-ALPHA (DNS AD)</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Résolution de noms</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Rupture de tous les services AD-dépendants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 → DC-ALPHA (GPO)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Politique sécurité</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Non-application des politiques de sécurité</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Indisponibilité DC-ALPHA</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Globale</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Arrêt total de l'activité du SI</w:t>
            </w:r>
          </w:p>
        </w:tc>
      </w:tr>
    </w:tbl>
    <w:p>
      <w:r>
        <w:br w:type="page"/>
      </w:r>
    </w:p>
    <w:p>
      <w:pPr>
        <w:pBdr>
          <w:bottom w:val="single" w:color="2E75B6" w:sz="12" w:space="2"/>
        </w:pBdr>
        <w:spacing w:before="480" w:after="200"/>
      </w:pPr>
      <w:r>
        <w:rPr>
          <w:rFonts w:ascii="Arial" w:cs="Arial" w:eastAsia="Arial" w:hAnsi="Arial"/>
          <w:b/>
          <w:bCs/>
          <w:color w:val="1F3864"/>
          <w:sz w:val="32"/>
          <w:szCs w:val="32"/>
        </w:rPr>
        <w:t xml:space="preserve">4. Analyse de risques EBIOS RM</w:t>
      </w:r>
    </w:p>
    <w:p>
      <w:pPr>
        <w:spacing w:before="80" w:after="80"/>
      </w:pPr>
      <w:r>
        <w:rPr>
          <w:rFonts w:ascii="Arial" w:cs="Arial" w:eastAsia="Arial" w:hAnsi="Arial"/>
          <w:sz w:val="22"/>
          <w:szCs w:val="22"/>
        </w:rPr>
        <w:t xml:space="preserve">L'analyse de risques a été conduite selon la méthode EBIOS Risk Manager (ANSSI), en cinq ateliers successifs, adaptée au contexte d'un audit technique sur infrastructure virtualisée.</w:t>
      </w:r>
    </w:p>
    <w:p>
      <w:pPr>
        <w:spacing w:before="8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4.1 Biens essentiels et biens supports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200"/>
        <w:gridCol w:w="120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Bien essentiel</w:t>
            </w:r>
          </w:p>
        </w:tc>
        <w:tc>
          <w:tcPr>
            <w:tcW w:type="dxa" w:w="25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Bien support associé</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Annuaire Active Directory</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Authentification et autorisation de tous les accès SI</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 · 192.168.20.10</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Données métiers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Fichiers, bases de données, données clients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SRV-LINUX · 192.168.20.20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Service web exposé</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Interface clients, image de marque, disponibilité</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 · 192.168.30.10</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Continuité réseau</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Disponibilité des services internes et externes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PF-ALPHA · pare-feu</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w:t>
            </w:r>
          </w:p>
        </w:tc>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4.2 Sources de risque identifiées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120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Motivation</w:t>
            </w:r>
          </w:p>
        </w:tc>
        <w:tc>
          <w:tcPr>
            <w:tcW w:type="dxa" w:w="25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Capacité</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Pertinence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Attaquant externe (opportuniste)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Financière / démonstration</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 — outils publics suffisants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Très élevée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Employé malveillant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Revanche / idéologique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Moyenne — accès interne direct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Moyenne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Prestataire externe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Opportuniste</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Moyenne — accès délégué</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Erreur humaine (utilisateur)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Involontaire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 — pas de formation sécurité</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w:t>
            </w:r>
          </w:p>
        </w:tc>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4.3 Scénarios de risque priorisés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500"/>
        <w:gridCol w:w="2160"/>
        <w:gridCol w:w="1000"/>
      </w:tblGrid>
      <w:tr>
        <w:trPr>
          <w:tblHeader/>
        </w:trPr>
        <w:tc>
          <w:tcPr>
            <w:tcW w:type="dxa" w:w="5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Scénario stratégique</w:t>
            </w:r>
          </w:p>
        </w:tc>
        <w:tc>
          <w:tcPr>
            <w:tcW w:type="dxa" w:w="15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Source</w:t>
            </w:r>
          </w:p>
        </w:tc>
        <w:tc>
          <w:tcPr>
            <w:tcW w:type="dxa" w:w="15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Bien essentiel ciblé</w:t>
            </w:r>
          </w:p>
        </w:tc>
        <w:tc>
          <w:tcPr>
            <w:tcW w:type="dxa" w:w="2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Impact métier</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Priorité</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S1</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Compromission Active Directory</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Attaquant externe</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Annuaire AD</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Prise de contrôle totale du SI</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Intrusion via serveur web DMZ</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Attaquant externe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Service web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Pivot vers réseau interne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S3</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Exfiltration de données métiers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Interne ou externe</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Données métiers</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Fuite données, impact RGPD</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Déni de service sur le web</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Attaquant externe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Continuité réseau</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Indisponibilité du service web</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w:t>
            </w:r>
          </w:p>
        </w:tc>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4.4 Matrice de risques Impact × Probabilité</w:t>
      </w:r>
    </w:p>
    <w:p>
      <w:pPr>
        <w:spacing w:before="80" w:after="80"/>
      </w:pPr>
      <w:r>
        <w:rPr>
          <w:rFonts w:ascii="Arial" w:cs="Arial" w:eastAsia="Arial" w:hAnsi="Arial"/>
          <w:sz w:val="22"/>
          <w:szCs w:val="22"/>
        </w:rPr>
        <w:t xml:space="preserve">Positionnement des constats dans la matrice de risques selon leur impact métier et leur probabilité d'exploitation :</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40"/>
        <w:gridCol w:w="1840"/>
        <w:gridCol w:w="1840"/>
        <w:gridCol w:w="1440"/>
      </w:tblGrid>
      <w:tr>
        <w:tc>
          <w:tcPr>
            <w:tcW w:type="dxa" w:w="100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Impact \ Probabilité →</w:t>
            </w:r>
          </w:p>
        </w:tc>
        <w:tc>
          <w:tcPr>
            <w:tcW w:type="dxa" w:w="140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Très faible</w:t>
            </w:r>
          </w:p>
        </w:tc>
        <w:tc>
          <w:tcPr>
            <w:tcW w:type="dxa" w:w="184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Faible</w:t>
            </w:r>
          </w:p>
        </w:tc>
        <w:tc>
          <w:tcPr>
            <w:tcW w:type="dxa" w:w="184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Probable</w:t>
            </w:r>
          </w:p>
        </w:tc>
        <w:tc>
          <w:tcPr>
            <w:tcW w:type="dxa" w:w="184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Très probable</w:t>
            </w:r>
          </w:p>
        </w:tc>
        <w:tc>
          <w:tcPr>
            <w:tcW w:type="dxa" w:w="144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Quasi-certain</w:t>
            </w:r>
          </w:p>
        </w:tc>
      </w:tr>
      <w:tr>
        <w:tc>
          <w:tcPr>
            <w:tcW w:type="dxa" w:w="100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Critique</w:t>
            </w:r>
          </w:p>
        </w:tc>
        <w:tc>
          <w:tcPr>
            <w:tcW w:type="dxa" w:w="140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c>
          <w:tcPr>
            <w:tcW w:type="dxa" w:w="184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C19</w:t>
            </w:r>
          </w:p>
          <w:p>
            <w:pPr>
              <w:spacing w:before="30" w:after="30"/>
              <w:jc w:val="center"/>
            </w:pPr>
            <w:r>
              <w:rPr>
                <w:rFonts w:ascii="Arial" w:cs="Arial" w:eastAsia="Arial" w:hAnsi="Arial"/>
                <w:b/>
                <w:bCs/>
                <w:sz w:val="16"/>
                <w:szCs w:val="16"/>
              </w:rPr>
              <w:t xml:space="preserve">C27</w:t>
            </w:r>
          </w:p>
        </w:tc>
        <w:tc>
          <w:tcPr>
            <w:tcW w:type="dxa" w:w="184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C1 · C2 · C8</w:t>
            </w:r>
          </w:p>
          <w:p>
            <w:pPr>
              <w:spacing w:before="30" w:after="30"/>
              <w:jc w:val="center"/>
            </w:pPr>
            <w:r>
              <w:rPr>
                <w:rFonts w:ascii="Arial" w:cs="Arial" w:eastAsia="Arial" w:hAnsi="Arial"/>
                <w:b/>
                <w:bCs/>
                <w:sz w:val="16"/>
                <w:szCs w:val="16"/>
              </w:rPr>
              <w:t xml:space="preserve">C9 · C10</w:t>
            </w:r>
          </w:p>
          <w:p>
            <w:pPr>
              <w:spacing w:before="30" w:after="30"/>
              <w:jc w:val="center"/>
            </w:pPr>
            <w:r>
              <w:rPr>
                <w:rFonts w:ascii="Arial" w:cs="Arial" w:eastAsia="Arial" w:hAnsi="Arial"/>
                <w:b/>
                <w:bCs/>
                <w:sz w:val="16"/>
                <w:szCs w:val="16"/>
              </w:rPr>
              <w:t xml:space="preserve">C31</w:t>
            </w:r>
          </w:p>
        </w:tc>
        <w:tc>
          <w:tcPr>
            <w:tcW w:type="dxa" w:w="184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C23</w:t>
            </w:r>
          </w:p>
        </w:tc>
        <w:tc>
          <w:tcPr>
            <w:tcW w:type="dxa" w:w="1440"/>
            <w:tcBorders>
              <w:top w:val="single" w:color="CCCCCC" w:sz="1"/>
              <w:left w:val="single" w:color="CCCCCC" w:sz="1"/>
              <w:bottom w:val="single" w:color="CCCCCC" w:sz="1"/>
              <w:right w:val="single" w:color="CCCCCC" w:sz="1"/>
            </w:tcBorders>
            <w:shd w:fill="FCE4E4"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r>
      <w:tr>
        <w:tc>
          <w:tcPr>
            <w:tcW w:type="dxa" w:w="100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Élevé</w:t>
            </w:r>
          </w:p>
        </w:tc>
        <w:tc>
          <w:tcPr>
            <w:tcW w:type="dxa" w:w="140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C13</w:t>
            </w:r>
          </w:p>
          <w:p>
            <w:pPr>
              <w:spacing w:before="30" w:after="30"/>
              <w:jc w:val="center"/>
            </w:pPr>
            <w:r>
              <w:rPr>
                <w:rFonts w:ascii="Arial" w:cs="Arial" w:eastAsia="Arial" w:hAnsi="Arial"/>
                <w:b/>
                <w:bCs/>
                <w:sz w:val="16"/>
                <w:szCs w:val="16"/>
              </w:rPr>
              <w:t xml:space="preserve">C25</w:t>
            </w:r>
          </w:p>
        </w:tc>
        <w:tc>
          <w:tcPr>
            <w:tcW w:type="dxa" w:w="184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C3 · C5</w:t>
            </w:r>
          </w:p>
          <w:p>
            <w:pPr>
              <w:spacing w:before="30" w:after="30"/>
              <w:jc w:val="center"/>
            </w:pPr>
            <w:r>
              <w:rPr>
                <w:rFonts w:ascii="Arial" w:cs="Arial" w:eastAsia="Arial" w:hAnsi="Arial"/>
                <w:b/>
                <w:bCs/>
                <w:sz w:val="16"/>
                <w:szCs w:val="16"/>
              </w:rPr>
              <w:t xml:space="preserve">C11 · C18</w:t>
            </w:r>
          </w:p>
          <w:p>
            <w:pPr>
              <w:spacing w:before="30" w:after="30"/>
              <w:jc w:val="center"/>
            </w:pPr>
            <w:r>
              <w:rPr>
                <w:rFonts w:ascii="Arial" w:cs="Arial" w:eastAsia="Arial" w:hAnsi="Arial"/>
                <w:b/>
                <w:bCs/>
                <w:sz w:val="16"/>
                <w:szCs w:val="16"/>
              </w:rPr>
              <w:t xml:space="preserve">C30</w:t>
            </w:r>
          </w:p>
        </w:tc>
        <w:tc>
          <w:tcPr>
            <w:tcW w:type="dxa" w:w="184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C4 · C14</w:t>
            </w:r>
          </w:p>
          <w:p>
            <w:pPr>
              <w:spacing w:before="30" w:after="30"/>
              <w:jc w:val="center"/>
            </w:pPr>
            <w:r>
              <w:rPr>
                <w:rFonts w:ascii="Arial" w:cs="Arial" w:eastAsia="Arial" w:hAnsi="Arial"/>
                <w:b/>
                <w:bCs/>
                <w:sz w:val="16"/>
                <w:szCs w:val="16"/>
              </w:rPr>
              <w:t xml:space="preserve">C15</w:t>
            </w:r>
          </w:p>
        </w:tc>
        <w:tc>
          <w:tcPr>
            <w:tcW w:type="dxa" w:w="1840"/>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C12</w:t>
            </w:r>
          </w:p>
        </w:tc>
        <w:tc>
          <w:tcPr>
            <w:tcW w:type="dxa" w:w="1440"/>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r>
      <w:tr>
        <w:tc>
          <w:tcPr>
            <w:tcW w:type="dxa" w:w="100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Moyen</w:t>
            </w:r>
          </w:p>
        </w:tc>
        <w:tc>
          <w:tcPr>
            <w:tcW w:type="dxa" w:w="1400"/>
            <w:tcBorders>
              <w:top w:val="single" w:color="CCCCCC" w:sz="1"/>
              <w:left w:val="single" w:color="CCCCCC" w:sz="1"/>
              <w:bottom w:val="single" w:color="CCCCCC" w:sz="1"/>
              <w:right w:val="single" w:color="CCCCCC" w:sz="1"/>
            </w:tcBorders>
            <w:shd w:fill="EAF4EA"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C17</w:t>
            </w:r>
          </w:p>
        </w:tc>
        <w:tc>
          <w:tcPr>
            <w:tcW w:type="dxa" w:w="1840"/>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vAlign w:val="center"/>
          </w:tcPr>
          <w:p>
            <w:pPr>
              <w:spacing w:before="30" w:after="30"/>
              <w:jc w:val="center"/>
            </w:pPr>
            <w:r>
              <w:rPr>
                <w:rFonts w:ascii="Arial" w:cs="Arial" w:eastAsia="Arial" w:hAnsi="Arial"/>
                <w:b/>
                <w:bCs/>
                <w:sz w:val="16"/>
                <w:szCs w:val="16"/>
              </w:rPr>
              <w:t xml:space="preserve">C6</w:t>
            </w:r>
          </w:p>
        </w:tc>
        <w:tc>
          <w:tcPr>
            <w:tcW w:type="dxa" w:w="1840"/>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c>
          <w:tcPr>
            <w:tcW w:type="dxa" w:w="184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c>
          <w:tcPr>
            <w:tcW w:type="dxa" w:w="144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r>
      <w:tr>
        <w:tc>
          <w:tcPr>
            <w:tcW w:type="dxa" w:w="1000"/>
            <w:tcBorders>
              <w:top w:val="nil"/>
              <w:left w:val="nil"/>
              <w:bottom w:val="nil"/>
              <w:right w:val="nil"/>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Faible</w:t>
            </w:r>
          </w:p>
        </w:tc>
        <w:tc>
          <w:tcPr>
            <w:tcW w:type="dxa" w:w="1400"/>
            <w:tcBorders>
              <w:top w:val="single" w:color="CCCCCC" w:sz="1"/>
              <w:left w:val="single" w:color="CCCCCC" w:sz="1"/>
              <w:bottom w:val="single" w:color="CCCCCC" w:sz="1"/>
              <w:right w:val="single" w:color="CCCCCC" w:sz="1"/>
            </w:tcBorders>
            <w:shd w:fill="EAF4EA"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P1 · P2</w:t>
            </w:r>
          </w:p>
          <w:p>
            <w:pPr>
              <w:spacing w:before="30" w:after="30"/>
              <w:jc w:val="center"/>
            </w:pPr>
            <w:r>
              <w:rPr>
                <w:rFonts w:ascii="Arial" w:cs="Arial" w:eastAsia="Arial" w:hAnsi="Arial"/>
                <w:b w:val="false"/>
                <w:bCs w:val="false"/>
                <w:sz w:val="16"/>
                <w:szCs w:val="16"/>
              </w:rPr>
              <w:t xml:space="preserve">(points positifs)</w:t>
            </w:r>
          </w:p>
        </w:tc>
        <w:tc>
          <w:tcPr>
            <w:tcW w:type="dxa" w:w="1840"/>
            <w:tcBorders>
              <w:top w:val="single" w:color="CCCCCC" w:sz="1"/>
              <w:left w:val="single" w:color="CCCCCC" w:sz="1"/>
              <w:bottom w:val="single" w:color="CCCCCC" w:sz="1"/>
              <w:right w:val="single" w:color="CCCCCC" w:sz="1"/>
            </w:tcBorders>
            <w:shd w:fill="EAF4EA"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c>
          <w:tcPr>
            <w:tcW w:type="dxa" w:w="1840"/>
            <w:tcBorders>
              <w:top w:val="single" w:color="CCCCCC" w:sz="1"/>
              <w:left w:val="single" w:color="CCCCCC" w:sz="1"/>
              <w:bottom w:val="single" w:color="CCCCCC" w:sz="1"/>
              <w:right w:val="single" w:color="CCCCCC" w:sz="1"/>
            </w:tcBorders>
            <w:shd w:fill="EAF4EA"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c>
          <w:tcPr>
            <w:tcW w:type="dxa" w:w="1840"/>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c>
          <w:tcPr>
            <w:tcW w:type="dxa" w:w="1440"/>
            <w:tcBorders>
              <w:top w:val="single" w:color="CCCCCC" w:sz="1"/>
              <w:left w:val="single" w:color="CCCCCC" w:sz="1"/>
              <w:bottom w:val="single" w:color="CCCCCC" w:sz="1"/>
              <w:right w:val="single" w:color="CCCCCC" w:sz="1"/>
            </w:tcBorders>
            <w:shd w:fill="FFF0E0" w:val="clear"/>
            <w:tcMar>
              <w:top w:type="dxa" w:w="100"/>
              <w:left w:type="dxa" w:w="160"/>
              <w:bottom w:type="dxa" w:w="100"/>
              <w:right w:type="dxa" w:w="160"/>
            </w:tcMar>
            <w:vAlign w:val="center"/>
          </w:tcPr>
          <w:p>
            <w:pPr>
              <w:spacing w:before="30" w:after="30"/>
              <w:jc w:val="center"/>
            </w:pPr>
            <w:r>
              <w:rPr>
                <w:rFonts w:ascii="Arial" w:cs="Arial" w:eastAsia="Arial" w:hAnsi="Arial"/>
                <w:b w:val="false"/>
                <w:bCs w:val="false"/>
                <w:sz w:val="16"/>
                <w:szCs w:val="16"/>
              </w:rPr>
              <w:t xml:space="preserve"/>
            </w:r>
          </w:p>
        </w:tc>
      </w:tr>
    </w:tbl>
    <w:p>
      <w:pPr>
        <w:spacing w:before="80" w:after="80"/>
      </w:pPr>
      <w:r>
        <w:rPr>
          <w:rFonts w:ascii="Arial" w:cs="Arial" w:eastAsia="Arial" w:hAnsi="Arial"/>
          <w:color w:val="595959"/>
          <w:sz w:val="18"/>
          <w:szCs w:val="18"/>
        </w:rPr>
        <w:t xml:space="preserve">Lecture : C = Constat critique · Les cases rouge foncé représentent les risques inacceptables à traiter immédiatement.</w:t>
      </w:r>
    </w:p>
    <w:p>
      <w:r>
        <w:br w:type="page"/>
      </w:r>
    </w:p>
    <w:p>
      <w:pPr>
        <w:pBdr>
          <w:bottom w:val="single" w:color="2E75B6" w:sz="12" w:space="2"/>
        </w:pBdr>
        <w:spacing w:before="480" w:after="200"/>
      </w:pPr>
      <w:r>
        <w:rPr>
          <w:rFonts w:ascii="Arial" w:cs="Arial" w:eastAsia="Arial" w:hAnsi="Arial"/>
          <w:b/>
          <w:bCs/>
          <w:color w:val="1F3864"/>
          <w:sz w:val="32"/>
          <w:szCs w:val="32"/>
        </w:rPr>
        <w:t xml:space="preserve">5. Synthèse des constats d'audit</w:t>
      </w:r>
    </w:p>
    <w:p>
      <w:pPr>
        <w:spacing w:before="320" w:after="160"/>
      </w:pPr>
      <w:r>
        <w:rPr>
          <w:rFonts w:ascii="Arial" w:cs="Arial" w:eastAsia="Arial" w:hAnsi="Arial"/>
          <w:b/>
          <w:bCs/>
          <w:color w:val="2E75B6"/>
          <w:sz w:val="26"/>
          <w:szCs w:val="26"/>
        </w:rPr>
        <w:t xml:space="preserve">5.1 Tableau de synthèse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000"/>
        <w:gridCol w:w="2960"/>
        <w:gridCol w:w="120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Constat</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Domaine</w:t>
            </w:r>
          </w:p>
        </w:tc>
        <w:tc>
          <w:tcPr>
            <w:tcW w:type="dxa" w:w="29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Impact principal</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HTTP sans HTTPS — WEB-ALPHA</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Applicatif</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Interception des sessions, mots de passe et données en …</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Version Apache 2.4.52 exposée dans les headers HTTP</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Applicatif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Ciblage d'exploits connus sur Apache 2.4.52 (CVE-2021-4…</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C3</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Cookie PHPSESSID sans flag HttpOnly et Secure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Applicatif</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Vol de session via injection XSS. Session transmise en …</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robots.txt révèle des chemins sensibles /admin/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Applicatif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Information de reconnaissance gratuite pour un attaquan…</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C5</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Headers de sécurité HTTP absents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Applicatif</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Exposition aux attaques XSS, clickjacking et MIME sniff…</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Comportement incohérent HEAD vs GET sur Apache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Applicatif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Contournement potentiel de contrôles d'accès selon la m…</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C8</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RDP exposé sur poste client CLIENT-ALPHA</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Bruteforce illimité (pas de seuil de verrouillage), exp…</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SMB signing non requis sur CLIENT-ALPHA</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Attaques NTLM Relay : un attaquant peut capturer et rej…</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C10</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Flexense Dup Scout 10.0.18 exposé avec CVE RCE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CVE-2018-5267/5268 : Buffer Overflow SEH et Remote Code…</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Port 445 SMB ouvert sur CLIENT-ALPHA accessible depuis LAN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Accès aux GPO et scripts de connexion depuis tout poste…</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C12</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Informations AD exposées via RDP sans authentification</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Reconnaissance passive du domaine AD sans nécessiter de…</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Windows 10 LTSC 2019 avec seulement 14 patches installés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Système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Nombreuses CVE critiques non corrigées sur 7 ans de cyc…</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C14</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Compte local user01 non justifié sur CLIENT-ALPHA</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Système</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Compte de backdoor potentiel ou compte oublié. Surface …</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Seuil de verrouillage des comptes = Jamais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Système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Bruteforce illimité sur tous les comptes locaux et RDP …</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C17</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Adaptateur TAP-Windows V9 résiduel sur CLIENT-ALPHA</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Système</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Surface d'attaque inutile. Indication d'un client VPN i…</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Enumération AD complète possible avec compte standard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Reconnaissance interne complète facilitée pour tout uti…</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C19</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Compte Administrateur par défaut actif et non renommé</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Cible évidente pour les attaques bruteforce. Violation …</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C23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Compte Administrateur utilisé quotidiennement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Violation du principe de séparation des rôles. Compromi…</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C25</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Windows Server 2022 Standard Evaluation sur DC-ALPHA</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Arrêt automatique du serveur toutes les heures après ex…</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C27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Mot de passe du compte Administrateur sans expiration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Mot de passe potentiellement ancien jamais renouvelé, a…</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C30</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Seulement 2 comptes actifs, aucune séparation des rôles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Absence totale de principe du moindre privilège. Pas de…</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C31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 seul membre de tous les groupes privilégiés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SPOF critique : un seul compte compromis = contrôle tot…</w:t>
            </w:r>
          </w:p>
        </w:tc>
        <_isCell>true</_isCell>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P1</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SMB signing requis sur DC-ALPHA</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N/A — bonne configuration</w:t>
            </w:r>
          </w:p>
        </w:tc>
        <_isCell>true</_isCell>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LDAP anonyme bloqué sur DC-ALPHA</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N/A — bonne configuration</w:t>
            </w:r>
          </w:p>
        </w:tc>
        <_isCell>true</_isCell>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5.2 Répartition par domaine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16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Domaine</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CRITIQUE</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ÉLEVÉ</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MOYEN</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BON</w:t>
            </w:r>
          </w:p>
        </w:tc>
        <w:tc>
          <w:tcPr>
            <w:tcW w:type="dxa" w:w="1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Active Directory</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Réseau</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Applicatif</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0</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Système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TOTAL</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25</w:t>
            </w:r>
          </w:p>
        </w:tc>
      </w:tr>
    </w:tbl>
    <w:p>
      <w:r>
        <w:br w:type="page"/>
      </w:r>
    </w:p>
    <w:p>
      <w:pPr>
        <w:pBdr>
          <w:bottom w:val="single" w:color="2E75B6" w:sz="12" w:space="2"/>
        </w:pBdr>
        <w:spacing w:before="480" w:after="200"/>
      </w:pPr>
      <w:r>
        <w:rPr>
          <w:rFonts w:ascii="Arial" w:cs="Arial" w:eastAsia="Arial" w:hAnsi="Arial"/>
          <w:b/>
          <w:bCs/>
          <w:color w:val="1F3864"/>
          <w:sz w:val="32"/>
          <w:szCs w:val="32"/>
        </w:rPr>
        <w:t xml:space="preserve">6. Constats détaillés par domaine</w:t>
      </w:r>
    </w:p>
    <w:p>
      <w:pPr>
        <w:spacing w:before="320" w:after="160"/>
      </w:pPr>
      <w:r>
        <w:rPr>
          <w:rFonts w:ascii="Arial" w:cs="Arial" w:eastAsia="Arial" w:hAnsi="Arial"/>
          <w:b/>
          <w:bCs/>
          <w:color w:val="2E75B6"/>
          <w:sz w:val="26"/>
          <w:szCs w:val="26"/>
        </w:rPr>
        <w:t xml:space="preserve">6.1 Domaine Applicatif</w:t>
      </w:r>
    </w:p>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C1 — HTTP sans HTTPS — WEB-ALPHA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Port 80 uniquement ouvert. Aucun port 443 (HTTPS/TLS) détecté.</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nmap -p- 192.168.30.10 → PORT 80/tcp open http Apache httpd 2.4.52</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Interception des sessions, mots de passe et données en clair sur le réseau.</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Installer certificat TLS, forcer redirection 301 HTTP→HTTPS, désactiver port 80.</w:t>
            </w:r>
          </w:p>
        </w:tc>
      </w:tr>
    </w:tbl>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C2 — Version Apache 2.4.52 exposée dans les headers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Header Server révèle la version exacte d'Apache. Version obsolète (2021).</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curl -I http://192.168.30.10 → Server: Apache/2.4.52 (Ubuntu)</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Ciblage d'exploits connus sur Apache 2.4.52 (CVE-2021-41773, etc.).</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ServerTokens Prod + ServerSignature Off dans apache2.conf. Mise à jour Apache.</w:t>
            </w:r>
          </w:p>
        </w:tc>
      </w:tr>
    </w:tbl>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C3 — Cookie PHPSESSID sans flag HttpOnly et Secure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 cookie de session PHP est accessible via JavaScript. Pas de flag Secure.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curl -I http://192.168.30.10 → Set-Cookie: PHPSESSID=...; path=/ (sans HttpOnly)</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Vol de session via injection XSS. Session transmise en clair (pas de Secure).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session.cookie_httponly = 1 et session.cookie_secure = 1 dans php.ini.</w:t>
            </w:r>
          </w:p>
        </w:tc>
      </w:tr>
    </w:tbl>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C4 — robots.txt révèle des chemins sensibles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 fichier robots.txt liste /admin/ et /includes/ comme chemins à ne pas indexer.</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curl http://192.168.30.10/robots.txt → Disallow: /includes/ Disallow: /admin/</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Information de reconnaissance gratuite pour un attaquant.</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Supprimer les entrées sensibles de robots.txt. Sécuriser /admin/ par authentification forte.</w:t>
            </w:r>
          </w:p>
        </w:tc>
      </w:tr>
    </w:tbl>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C5 — Headers de sécurité HTTP absents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X-Frame-Options, X-Content-Type-Options, CSP et HSTS sont absents des réponses HTTP.</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curl -I http://192.168.30.10 → aucun header de sécurité présent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Exposition aux attaques XSS, clickjacking et MIME sniffing.</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Ajouter les headers dans la config Apache : X-Frame-Options DENY, X-Content-Type-Options nosniff, Content-Security-Policy, Strict-Transport-Security.</w:t>
            </w:r>
          </w:p>
        </w:tc>
      </w:tr>
    </w:tbl>
    <w:p>
      <w:pPr>
        <w:spacing w:before="80" w:after="0"/>
      </w:pPr>
      <w:r>
        <w:rPr>
          <w:rFonts w:ascii="Arial" w:cs="Arial" w:eastAsia="Arial" w:hAnsi="Arial"/>
          <w:sz w:val="22"/>
          <w:szCs w:val="22"/>
        </w:rPr>
        <w:t xml:space="preserve"/>
      </w:r>
    </w:p>
    <w:p>
      <w:pPr>
        <w:pBdr>
          <w:left w:val="single" w:color="7F6000" w:sz="18" w:space="8"/>
        </w:pBdr>
        <w:spacing w:before="160" w:after="80"/>
        <w:ind w:left="240"/>
      </w:pPr>
      <w:r>
        <w:rPr>
          <w:rFonts w:ascii="Arial" w:cs="Arial" w:eastAsia="Arial" w:hAnsi="Arial"/>
          <w:b/>
          <w:bCs/>
          <w:color w:val="7F6000"/>
          <w:sz w:val="22"/>
          <w:szCs w:val="22"/>
        </w:rPr>
        <w:t xml:space="preserve">C6 — Comportement incohérent HEAD vs GET sur Apache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 méthode HEAD retourne 200 sur /admin/ alors que GET retourne 404.</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curl -I http://192.168.30.10/admin/ → 200 OK vs curl GET → 404 Not Found</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Contournement potentiel de contrôles d'accès selon la méthode HTTP utilisée.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Auditer la configuration des méthodes HTTP autorisées. Désactiver les méthodes inutiles (OPTIONS, TRACE).</w:t>
            </w:r>
          </w:p>
        </w:tc>
      </w:tr>
    </w:tbl>
    <w:p>
      <w:r>
        <w:br w:type="page"/>
      </w:r>
    </w:p>
    <w:p>
      <w:pPr>
        <w:spacing w:before="320" w:after="160"/>
      </w:pPr>
      <w:r>
        <w:rPr>
          <w:rFonts w:ascii="Arial" w:cs="Arial" w:eastAsia="Arial" w:hAnsi="Arial"/>
          <w:b/>
          <w:bCs/>
          <w:color w:val="2E75B6"/>
          <w:sz w:val="26"/>
          <w:szCs w:val="26"/>
        </w:rPr>
        <w:t xml:space="preserve">6.2 Domaine Réseau</w:t>
      </w:r>
    </w:p>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C8 — RDP exposé sur poste client CLIENT-ALPHA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Port 3389 (RDP) ouvert et accessible depuis la zone ADMIN sur CLIENT-ALPHA.</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nmap -sV 192.168.10.50 → 3389/tcp open ms-wbt-server Microsoft Terminal Services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Bruteforce illimité (pas de seuil de verrouillage), exposition aux CVE RDP connues (BlueKeep, DejaBlue).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Désactiver RDP via GPO si non nécessaire. Si requis, restreindre via règle pfSense à la zone ADMIN uniquement et activer NLA.</w:t>
            </w:r>
          </w:p>
        </w:tc>
      </w:tr>
    </w:tbl>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C9 — SMB signing non requis sur CLIENT-ALPHA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SMB signing enabled but not required sur CLIENT-ALPHA, contrairement à DC-ALPHA (required).</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nmap script smb2-security-mode → Message signing enabled but not required</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Attaques NTLM Relay : un attaquant peut capturer et rejouer une authentification SMB.</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GPO : Microsoft network client: Digitally sign communications (always) = Enabled sur tous les postes.</w:t>
            </w:r>
          </w:p>
        </w:tc>
      </w:tr>
    </w:tbl>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C10 — Flexense Dup Scout 10.0.18 exposé avec CVE 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Interface web Flexense Dup Scout Enterprise 10.0.18 accessible sur port 80 de CLIENT-ALPHA.</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nmap -sV 192.168.10.50 → 80/tcp open http Flexense Dup Scout 10.0.18</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CVE-2018-5267/5268 : Buffer Overflow SEH et Remote Code Execution via requêtes HTTP malformées.</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Désinstaller immédiatement Flexense Dup Scout. Auditer les logiciels tiers installés sur les postes.</w:t>
            </w:r>
          </w:p>
        </w:tc>
      </w:tr>
    </w:tbl>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C11 — Port 445 SMB ouvert sur CLIENT-ALPHA accessible depuis 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 partage SMB est accessible depuis le réseau LAN sans restriction. NETLOGON et SYSVOL accessibles.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net view \\192.168.20.10 depuis CLIENT-ALPHA → NETLOGON, SYSVOL accessibles sans prompt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Accès aux GPO et scripts de connexion depuis tout poste du LAN. Vecteur de propagation latérale.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Restreindre l'accès SMB au DC via règles pfSense entre LAN et SERVERS. Auditer les permissions des partages.</w:t>
            </w:r>
          </w:p>
        </w:tc>
      </w:tr>
    </w:tbl>
    <w:p>
      <w:pPr>
        <w:spacing w:before="80" w:after="0"/>
      </w:pPr>
      <w:r>
        <w:rPr>
          <w:rFonts w:ascii="Arial" w:cs="Arial" w:eastAsia="Arial" w:hAnsi="Arial"/>
          <w:sz w:val="22"/>
          <w:szCs w:val="22"/>
        </w:rPr>
        <w:t xml:space="preserve"/>
      </w:r>
    </w:p>
    <w:p>
      <w:pPr>
        <w:pBdr>
          <w:left w:val="single" w:color="7F6000" w:sz="18" w:space="8"/>
        </w:pBdr>
        <w:spacing w:before="160" w:after="80"/>
        <w:ind w:left="240"/>
      </w:pPr>
      <w:r>
        <w:rPr>
          <w:rFonts w:ascii="Arial" w:cs="Arial" w:eastAsia="Arial" w:hAnsi="Arial"/>
          <w:b/>
          <w:bCs/>
          <w:color w:val="7F6000"/>
          <w:sz w:val="22"/>
          <w:szCs w:val="22"/>
        </w:rPr>
        <w:t xml:space="preserve">C12 — Informations AD exposées via RDP sans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 scan RDP révèle sans authentification : nom de domaine, NetBIOS, version OS.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nmap rdp-ntlm-info → Target_Name: ALPHA, DNS_Domain_Name: alpha.lab, Product_Version: 10.0.17763</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Reconnaissance passive du domaine AD sans nécessiter de credentials.</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Bloquer les requêtes NTLM info via NLA (Network Level Authentication) sur RDP.</w:t>
            </w:r>
          </w:p>
        </w:tc>
      </w:tr>
    </w:tbl>
    <w:p>
      <w:pPr>
        <w:spacing w:before="80" w:after="0"/>
      </w:pPr>
      <w:r>
        <w:rPr>
          <w:rFonts w:ascii="Arial" w:cs="Arial" w:eastAsia="Arial" w:hAnsi="Arial"/>
          <w:sz w:val="22"/>
          <w:szCs w:val="22"/>
        </w:rPr>
        <w:t xml:space="preserve"/>
      </w:r>
    </w:p>
    <w:p>
      <w:pPr>
        <w:pBdr>
          <w:left w:val="single" w:color="595959" w:sz="18" w:space="8"/>
        </w:pBdr>
        <w:spacing w:before="160" w:after="80"/>
        <w:ind w:left="240"/>
      </w:pPr>
      <w:r>
        <w:rPr>
          <w:rFonts w:ascii="Arial" w:cs="Arial" w:eastAsia="Arial" w:hAnsi="Arial"/>
          <w:b/>
          <w:bCs/>
          <w:color w:val="595959"/>
          <w:sz w:val="22"/>
          <w:szCs w:val="22"/>
        </w:rPr>
        <w:t xml:space="preserve">P1 — SMB signing requis sur DC-ALPHA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 contrôleur de domaine impose la signature SMB sur toutes les connexions.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nmap smb2-security-mode → Message signing enabled and required</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N/A — bonne configuration</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Maintenir cette configuration et l'étendre à tous les serveurs membres du domaine.</w:t>
            </w:r>
          </w:p>
        </w:tc>
      </w:tr>
    </w:tbl>
    <w:p>
      <w:r>
        <w:br w:type="page"/>
      </w:r>
    </w:p>
    <w:p>
      <w:pPr>
        <w:spacing w:before="320" w:after="160"/>
      </w:pPr>
      <w:r>
        <w:rPr>
          <w:rFonts w:ascii="Arial" w:cs="Arial" w:eastAsia="Arial" w:hAnsi="Arial"/>
          <w:b/>
          <w:bCs/>
          <w:color w:val="2E75B6"/>
          <w:sz w:val="26"/>
          <w:szCs w:val="26"/>
        </w:rPr>
        <w:t xml:space="preserve">6.3 Domaine Système</w:t>
      </w:r>
    </w:p>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C13 — Windows 10 LTSC 2019 avec seulement 14 patches installés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 tourne sous Windows 10 LTSC build 17763 installé en 2019 avec 14 KB seulement.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systeminfo → Date installation: 08/10/2019, Correctifs installés: 14</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Nombreuses CVE critiques non corrigées sur 7 ans de cycle de vie.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Déployer les mises à jour de sécurité manquantes via WSUS ou Windows Update. Envisager migration vers version supportée.</w:t>
            </w:r>
          </w:p>
        </w:tc>
      </w:tr>
    </w:tbl>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C14 — Compte local user01 non justifié sur CLIENT-ALPHA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Un compte local user01 existe sur CLIENT-ALPHA sans justification métier documentée.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net user → Administrateur, DefaultAccount, Invité, user01, WDAGUtilityAccount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Compte de backdoor potentiel ou compte oublié. Surface d'attaque non maîtrisée.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Identifier l'origine de user01. S'il n'est pas justifié, le désactiver puis supprimer après 30 jours.</w:t>
            </w:r>
          </w:p>
        </w:tc>
      </w:tr>
    </w:tbl>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C15 — Seuil de verrouillage des comptes =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 politique locale sur CLIENT-ALPHA n'impose aucun verrouillage après tentatives échouées.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net accounts → Seuil de verrouillage: Jamais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Bruteforce illimité sur tous les comptes locaux et RDP sans blocage automatique.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GPO : Account Lockout Threshold = 5, Duration = 30 min, Reset counter = 30 min.</w:t>
            </w:r>
          </w:p>
        </w:tc>
      </w:tr>
    </w:tbl>
    <w:p>
      <w:pPr>
        <w:spacing w:before="80" w:after="0"/>
      </w:pPr>
      <w:r>
        <w:rPr>
          <w:rFonts w:ascii="Arial" w:cs="Arial" w:eastAsia="Arial" w:hAnsi="Arial"/>
          <w:sz w:val="22"/>
          <w:szCs w:val="22"/>
        </w:rPr>
        <w:t xml:space="preserve"/>
      </w:r>
    </w:p>
    <w:p>
      <w:pPr>
        <w:pBdr>
          <w:left w:val="single" w:color="7F6000" w:sz="18" w:space="8"/>
        </w:pBdr>
        <w:spacing w:before="160" w:after="80"/>
        <w:ind w:left="240"/>
      </w:pPr>
      <w:r>
        <w:rPr>
          <w:rFonts w:ascii="Arial" w:cs="Arial" w:eastAsia="Arial" w:hAnsi="Arial"/>
          <w:b/>
          <w:bCs/>
          <w:color w:val="7F6000"/>
          <w:sz w:val="22"/>
          <w:szCs w:val="22"/>
        </w:rPr>
        <w:t xml:space="preserve">C17 — Adaptateur TAP-Windows V9 résiduel sur CLIENT-ALPHA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Un adaptateur réseau TAP-Windows V9 (OpenVPN) est présent mais inactif.</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systeminfo → TAP-Windows Adapter V9 — État: Matériel absent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Surface d'attaque inutile. Indication d'un client VPN installé non documenté.</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Désinstaller le client OpenVPN et l'adaptateur TAP-Windows si non utilisé.</w:t>
            </w:r>
          </w:p>
        </w:tc>
      </w:tr>
    </w:tbl>
    <w:p>
      <w:r>
        <w:br w:type="page"/>
      </w:r>
    </w:p>
    <w:p>
      <w:pPr>
        <w:spacing w:before="320" w:after="160"/>
      </w:pPr>
      <w:r>
        <w:rPr>
          <w:rFonts w:ascii="Arial" w:cs="Arial" w:eastAsia="Arial" w:hAnsi="Arial"/>
          <w:b/>
          <w:bCs/>
          <w:color w:val="2E75B6"/>
          <w:sz w:val="26"/>
          <w:szCs w:val="26"/>
        </w:rPr>
        <w:t xml:space="preserve">6.4 Domaine Active Directory</w:t>
      </w:r>
    </w:p>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C18 — Enumération AD complète possible avec compte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Avec le compte Carmand (utilisateur standard), il est possible d'énumérer tous les utilisateurs, groupes et OU du domaine.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ldapsearch -u Carmand → 6 entrées utilisateurs, structure OU, memberships des groupes privilégiés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Reconnaissance interne complète facilitée pour tout utilisateur du domaine.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Restreindre les ACL sur les objets AD. Implémenter des vues LDAP filtrées pour les utilisateurs standards.</w:t>
            </w:r>
          </w:p>
        </w:tc>
      </w:tr>
    </w:tbl>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C19 — Compte Administrateur par défaut actif et non renommé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 compte Administrateur RID-500 est actif, non renommé, avec 22 connexions récentes.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rpcclient queryuser 0x1f4 → logon_count: 0x16 (22), Logon Time: 18 mars 2026</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Cible évidente pour les attaques bruteforce. Violation des bonnes pratiques CIS.</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Renommer le compte Administrateur, créer un compte admin dédié avec nom non standard. Activer la journalisation des connexions.</w:t>
            </w:r>
          </w:p>
        </w:tc>
      </w:tr>
    </w:tbl>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C23 — Compte Administrateur utilisé quotidiennement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 compte admin par défaut est utilisé pour les tâches quotidiennes d'administration (22 connexions).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bloodhound-python → ADMINISTRATEUR | LastLogon: 1773851034 (18 mars 2026)</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Violation du principe de séparation des rôles. Compromission = contrôle total immédiat.</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Créer des comptes admin dédiés par rôle. Réserver le compte Administrateur aux seules urgences, protégé par MFA.</w:t>
            </w:r>
          </w:p>
        </w:tc>
      </w:tr>
    </w:tbl>
    <w:p>
      <w:pPr>
        <w:spacing w:before="80" w:after="0"/>
      </w:pPr>
      <w:r>
        <w:rPr>
          <w:rFonts w:ascii="Arial" w:cs="Arial" w:eastAsia="Arial" w:hAnsi="Arial"/>
          <w:sz w:val="22"/>
          <w:szCs w:val="22"/>
        </w:rPr>
        <w:t xml:space="preserve"/>
      </w:r>
    </w:p>
    <w:p>
      <w:pPr>
        <w:pBdr>
          <w:left w:val="single" w:color="7F6000" w:sz="18" w:space="8"/>
        </w:pBdr>
        <w:spacing w:before="160" w:after="80"/>
        <w:ind w:left="240"/>
      </w:pPr>
      <w:r>
        <w:rPr>
          <w:rFonts w:ascii="Arial" w:cs="Arial" w:eastAsia="Arial" w:hAnsi="Arial"/>
          <w:b/>
          <w:bCs/>
          <w:color w:val="7F6000"/>
          <w:sz w:val="22"/>
          <w:szCs w:val="22"/>
        </w:rPr>
        <w:t xml:space="preserve">C25 — Windows Server 2022 Standard Evaluation sur DC-ALPHA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 tourne sous Windows Server 2022 Evaluation — expire après 180 jours.</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bloodhound-python computers.json → operatingsystem: Windows Server 2022 Standard Evaluation</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Arrêt automatique du serveur toutes les heures après expiration de la licence.</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Activer une licence valide Windows Server 2022 avant expiration.</w:t>
            </w:r>
          </w:p>
        </w:tc>
      </w:tr>
    </w:tbl>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C27 — Mot de passe du compte Administrateur sans expiration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 flag pwdNeverExpires est positionné à True sur le compte Administrateur.</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bloodhound-python users.json → ADMINISTRATEUR | PassNeverExpires: True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Mot de passe potentiellement ancien jamais renouvelé, augmentant le risque de compromission.</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Retirer le flag pwdNeverExpires. Imposer une rotation tous les 60 jours. Envisager une solution PAM.</w:t>
            </w:r>
          </w:p>
        </w:tc>
      </w:tr>
    </w:tbl>
    <w:p>
      <w:pPr>
        <w:spacing w:before="80" w:after="0"/>
      </w:pPr>
      <w:r>
        <w:rPr>
          <w:rFonts w:ascii="Arial" w:cs="Arial" w:eastAsia="Arial" w:hAnsi="Arial"/>
          <w:sz w:val="22"/>
          <w:szCs w:val="22"/>
        </w:rPr>
        <w:t xml:space="preserve"/>
      </w:r>
    </w:p>
    <w:p>
      <w:pPr>
        <w:pBdr>
          <w:left w:val="single" w:color="E36C09" w:sz="18" w:space="8"/>
        </w:pBdr>
        <w:spacing w:before="160" w:after="80"/>
        <w:ind w:left="240"/>
      </w:pPr>
      <w:r>
        <w:rPr>
          <w:rFonts w:ascii="Arial" w:cs="Arial" w:eastAsia="Arial" w:hAnsi="Arial"/>
          <w:b/>
          <w:bCs/>
          <w:color w:val="E36C09"/>
          <w:sz w:val="22"/>
          <w:szCs w:val="22"/>
        </w:rPr>
        <w:t xml:space="preserve">C30 — Seulement 2 comptes actifs, aucune séparation des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Seuls ADMINISTRATEUR et CARMAND sont actifs dans tout le domaine.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bloodhound-python users.json → Enabled: True sur 2 comptes uniquement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Absence totale de principe du moindre privilège. Pas de comptes de service dédiés.</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Créer des comptes dédiés par fonction : admin AD, admin serveurs, admin réseau, comptes de service.</w:t>
            </w:r>
          </w:p>
        </w:tc>
      </w:tr>
    </w:tbl>
    <w:p>
      <w:pPr>
        <w:spacing w:before="80" w:after="0"/>
      </w:pPr>
      <w:r>
        <w:rPr>
          <w:rFonts w:ascii="Arial" w:cs="Arial" w:eastAsia="Arial" w:hAnsi="Arial"/>
          <w:sz w:val="22"/>
          <w:szCs w:val="22"/>
        </w:rPr>
        <w:t xml:space="preserve"/>
      </w:r>
    </w:p>
    <w:p>
      <w:pPr>
        <w:pBdr>
          <w:left w:val="single" w:color="C00000" w:sz="18" w:space="8"/>
        </w:pBdr>
        <w:spacing w:before="160" w:after="80"/>
        <w:ind w:left="240"/>
      </w:pPr>
      <w:r>
        <w:rPr>
          <w:rFonts w:ascii="Arial" w:cs="Arial" w:eastAsia="Arial" w:hAnsi="Arial"/>
          <w:b/>
          <w:bCs/>
          <w:color w:val="C00000"/>
          <w:sz w:val="22"/>
          <w:szCs w:val="22"/>
        </w:rPr>
        <w:t xml:space="preserve">C31 — Administrateur seul membre de tous les groupes privilégiés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SID-500 est l'unique membre de : Admins du domaine, Administrateurs de l'entreprise, Administrateurs du schéma.</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bloodhound-python groups.json → Admins du domaine, Adm. Entreprise, Adm. Schéma → SID-500 uniquement</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SPOF critique : un seul compte compromis = contrôle total du domaine, de la forêt et du schéma AD.</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Créer des comptes admin distincts par groupe. Appliquer le principe du moindre privilège sur les groupes AD.</w:t>
            </w:r>
          </w:p>
        </w:tc>
      </w:tr>
    </w:tbl>
    <w:p>
      <w:pPr>
        <w:spacing w:before="80" w:after="0"/>
      </w:pPr>
      <w:r>
        <w:rPr>
          <w:rFonts w:ascii="Arial" w:cs="Arial" w:eastAsia="Arial" w:hAnsi="Arial"/>
          <w:sz w:val="22"/>
          <w:szCs w:val="22"/>
        </w:rPr>
        <w:t xml:space="preserve"/>
      </w:r>
    </w:p>
    <w:p>
      <w:pPr>
        <w:pBdr>
          <w:left w:val="single" w:color="595959" w:sz="18" w:space="8"/>
        </w:pBdr>
        <w:spacing w:before="160" w:after="80"/>
        <w:ind w:left="240"/>
      </w:pPr>
      <w:r>
        <w:rPr>
          <w:rFonts w:ascii="Arial" w:cs="Arial" w:eastAsia="Arial" w:hAnsi="Arial"/>
          <w:b/>
          <w:bCs/>
          <w:color w:val="595959"/>
          <w:sz w:val="22"/>
          <w:szCs w:val="22"/>
        </w:rPr>
        <w:t xml:space="preserve">P2 — LDAP anonyme bloqué sur DC-ALPHA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760"/>
        <w:gridCol w:w="1760"/>
        <w:gridCol w:w="272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Criticité</w:t>
            </w:r>
          </w:p>
        </w:tc>
        <w:tc>
          <w:tcPr>
            <w:tcW w:type="dxa" w:w="19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Preuve technique</w:t>
            </w:r>
          </w:p>
        </w:tc>
        <w:tc>
          <w:tcPr>
            <w:tcW w:type="dxa" w:w="1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c>
          <w:tcPr>
            <w:tcW w:type="dxa" w:w="272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Remédiation</w:t>
            </w:r>
          </w:p>
        </w:tc>
      </w:tr>
      <w:tr>
        <_isCell>true</_isCell>
        <w:tc>
          <w:tcPr>
            <w:tcW w:type="dxa" w:w="19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Les requêtes LDAP anonymes sont refusées. Une authentification est requise.</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ldapsearch -x → result: 1 Operations error — bind must be completed</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N/A — bonne configuration</w:t>
            </w:r>
          </w:p>
        </w:tc>
        <w:tc>
          <w:tcPr>
            <w:tcW w:type="dxa" w:w="272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Maintenir cette configuration. Documenter formellement cette mesure de sécurité.</w:t>
            </w:r>
          </w:p>
        </w:tc>
      </w:tr>
    </w:tbl>
    <w:p>
      <w:r>
        <w:br w:type="page"/>
      </w:r>
    </w:p>
    <w:p>
      <w:pPr>
        <w:pBdr>
          <w:bottom w:val="single" w:color="2E75B6" w:sz="12" w:space="2"/>
        </w:pBdr>
        <w:spacing w:before="480" w:after="200"/>
      </w:pPr>
      <w:r>
        <w:rPr>
          <w:rFonts w:ascii="Arial" w:cs="Arial" w:eastAsia="Arial" w:hAnsi="Arial"/>
          <w:b/>
          <w:bCs/>
          <w:color w:val="1F3864"/>
          <w:sz w:val="32"/>
          <w:szCs w:val="32"/>
        </w:rPr>
        <w:t xml:space="preserve">7. Recommandations priorisées</w:t>
      </w:r>
    </w:p>
    <w:p>
      <w:pPr>
        <w:spacing w:before="80" w:after="80"/>
      </w:pPr>
      <w:r>
        <w:rPr>
          <w:rFonts w:ascii="Arial" w:cs="Arial" w:eastAsia="Arial" w:hAnsi="Arial"/>
          <w:sz w:val="22"/>
          <w:szCs w:val="22"/>
        </w:rPr>
        <w:t xml:space="preserve">Les recommandations sont classées selon trois horizons temporels, par ordre de priorité décroissante. Chaque recommandation est accompagnée d'une estimation d'effort et d'une évaluation de l'impact sur la réduction du risque.</w:t>
      </w:r>
    </w:p>
    <w:p>
      <w:pPr>
        <w:spacing w:before="8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7.1 Actions immédiates — sous 72 heures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060"/>
        <w:gridCol w:w="1000"/>
        <w:gridCol w:w="1000"/>
      </w:tblGrid>
      <w:tr>
        <w:trPr>
          <w:tblHeader/>
        </w:trPr>
        <w:tc>
          <w:tcPr>
            <w:tcW w:type="dxa" w:w="5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w:t>
            </w:r>
          </w:p>
        </w:tc>
        <w:tc>
          <w:tcPr>
            <w:tcW w:type="dxa" w:w="40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Détail technique</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Effort</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Activer HTTPS/TLS sur WEB-ALPHA</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Installer un certificat TLS (Let's Encrypt ou self-signed pour le lab). Configurer la redirection 301 HTTP→HTTPS. Activer HSTS. Désactiver le port 80 ou le restreindre à la redirection.</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Masquer la version Apache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Ajouter ServerTokens Prod et ServerSignature Off dans /etc/apache2/apache2.conf. Mettre à jour Apache vers la dernière version stable disponible.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R3</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Désactiver RDP sur CLIENT-ALPHA</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Via GPO : Computer Configuration &gt; Admin Templates &gt; Windows Components &gt; Remote Desktop Services &gt; Allow users to connect remotely = Disabled. Si RDP nécessaire, restreindre via règle pfSense à zone ADMIN + activer NLA.</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Activer SMB signing requis sur CLIENT-ALPHA</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Via GPO : Computer Configuration &gt; Windows Settings &gt; Security Settings &gt; Local Policies &gt; Security Options &gt; Microsoft network client: Digitally sign communications (always) = Enabled.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R5</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Désinstaller Flexense Dup Scout</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Désinstaller via Programmes et fonctionnalités. Supprimer les règles de pare-feu associées. Auditer les autres logiciels tiers non justifiés sur le poste.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Créer des comptes admin AD dédiés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Créer au minimum : compte-admin-ad (Admins du domaine uniquement), compte-admin-srv (admins locaux serveurs). Retirer Administrateur des groupes privilégiés. Désactiver ou renommer le compte Administrateur par défaut.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R7</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Configurer l'expiration du mot de passe Administrateur</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Via ADUC : retirer le flag pwdNeverExpires. Via GPO Default Domain Policy : Maximum password age = 60 jours. Forcer un changement immédiat du mot de passe.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7.2 Actions à court terme — sous 30 jours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060"/>
        <w:gridCol w:w="1000"/>
        <w:gridCol w:w="1000"/>
      </w:tblGrid>
      <w:tr>
        <w:trPr>
          <w:tblHeader/>
        </w:trPr>
        <w:tc>
          <w:tcPr>
            <w:tcW w:type="dxa" w:w="5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w:t>
            </w:r>
          </w:p>
        </w:tc>
        <w:tc>
          <w:tcPr>
            <w:tcW w:type="dxa" w:w="40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Détail technique</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Effort</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R8</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Ajouter les headers de sécurité HTTP</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Dans la config Apache VirtualHost ou .htaccess : Header always set X-Frame-Options DENY, Header always set X-Content-Type-Options nosniff, Header always set Content-Security-Policy "default-src 'self'", Header always set Strict-Transport-Security "max-age=31536000".</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Configurer le seuil de verrouillage des comptes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Via GPO : Account Lockout Threshold = 5, Account Lockout Duration = 30 minutes, Reset account lockout counter after = 30 minutes. Appliquer via Default Domain Policy.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Auditer et supprimer le compte local user01</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Identifier l'origine du compte user01. Vérifier les dernières connexions. S'il n'est pas justifié, le désactiver immédiatement puis le supprimer après 30 jours sans activité documentée.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Déployer les mises à jour Windows sur CLIENT-ALPHA</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Configurer Windows Update ou déployer via WSUS. Prioriser les patches de sécurité critiques. Documenter le processus de patch management.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R12</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Corriger le cookie PHPSESSID</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Dans php.ini : session.cookie_httponly = 1, session.cookie_secure = 1, session.use_strict_mode = 1. Régénérer l'ID de session après authentification.</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Restreindre l'énumération LDAP</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Configurer les ACL sur les objets AD pour limiter la visibilité des attributs sensibles. Utiliser des vues LDAP filtrées. Implémenter un audit des requêtes LDAP.</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7.3 Actions à moyen terme — sous 90 jours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060"/>
        <w:gridCol w:w="1000"/>
        <w:gridCol w:w="1000"/>
      </w:tblGrid>
      <w:tr>
        <w:trPr>
          <w:tblHeader/>
        </w:trPr>
        <w:tc>
          <w:tcPr>
            <w:tcW w:type="dxa" w:w="5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w:t>
            </w:r>
          </w:p>
        </w:tc>
        <w:tc>
          <w:tcPr>
            <w:tcW w:type="dxa" w:w="40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Détail technique</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Effort</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R14</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Licencier Windows Server 2022 sur DC-ALPHA</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Acquérir et activer une licence Windows Server 2022 Standard ou Datacenter avant expiration de la version Evaluation (180 jours).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Nettoyer les adaptateurs et logiciels résiduels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Désinstaller TAP-Windows Adapter V9 et le client OpenVPN si non utilisé. Établir un inventaire logiciel et matériel avec justification métier pour chaque élément.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R16</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Implémenter une solution PAM</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Déployer une solution de gestion des accès privilégiés (PAM) comme Microsoft LAPS pour les mots de passe locaux admin. Envisager CyberArk, Thycotic ou solution open-source pour les comptes AD privilégiés.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bl>
    <w:p>
      <w:pPr>
        <w:spacing w:before="160" w:after="0"/>
      </w:pPr>
      <w:r>
        <w:rPr>
          <w:rFonts w:ascii="Arial" w:cs="Arial" w:eastAsia="Arial" w:hAnsi="Arial"/>
          <w:sz w:val="22"/>
          <w:szCs w:val="22"/>
        </w:rPr>
        <w:t xml:space="preserve"/>
      </w:r>
    </w:p>
    <w:p>
      <w:pPr>
        <w:spacing w:before="320" w:after="160"/>
      </w:pPr>
      <w:r>
        <w:rPr>
          <w:rFonts w:ascii="Arial" w:cs="Arial" w:eastAsia="Arial" w:hAnsi="Arial"/>
          <w:b/>
          <w:bCs/>
          <w:color w:val="2E75B6"/>
          <w:sz w:val="26"/>
          <w:szCs w:val="26"/>
        </w:rPr>
        <w:t xml:space="preserve">7.4 Plan de remédiation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Délai</w:t>
            </w:r>
          </w:p>
        </w:tc>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Actions</w:t>
            </w:r>
          </w:p>
        </w:tc>
        <w:tc>
          <w:tcPr>
            <w:tcW w:type="dxa" w:w="4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Réduction du risque estimée</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Phase 1 — Urgence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72 heures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 à R7 (7 actions)</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~65% des risques critiques traités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Phase 2 — Consolidation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30 jours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R8 à R13 (6 actions)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~25% des risques élevés traités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Phase 3 — Amélioration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90 jours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R14 à R16 (3 actions)</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~10% restants traités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Après Phase 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Continu</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Audits périodiques, formations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Maintien du niveau de sécurité</w:t>
            </w:r>
          </w:p>
        </w:tc>
      </w:tr>
    </w:tbl>
    <w:p>
      <w:r>
        <w:br w:type="page"/>
      </w:r>
    </w:p>
    <w:p>
      <w:pPr>
        <w:pBdr>
          <w:bottom w:val="single" w:color="2E75B6" w:sz="12" w:space="2"/>
        </w:pBdr>
        <w:spacing w:before="480" w:after="200"/>
      </w:pPr>
      <w:r>
        <w:rPr>
          <w:rFonts w:ascii="Arial" w:cs="Arial" w:eastAsia="Arial" w:hAnsi="Arial"/>
          <w:b/>
          <w:bCs/>
          <w:color w:val="1F3864"/>
          <w:sz w:val="32"/>
          <w:szCs w:val="32"/>
        </w:rPr>
        <w:t xml:space="preserve">8. Conclusion</w:t>
      </w:r>
    </w:p>
    <w:p>
      <w:pPr>
        <w:spacing w:before="80" w:after="80"/>
      </w:pPr>
      <w:r>
        <w:rPr>
          <w:rFonts w:ascii="Arial" w:cs="Arial" w:eastAsia="Arial" w:hAnsi="Arial"/>
          <w:sz w:val="22"/>
          <w:szCs w:val="22"/>
        </w:rPr>
        <w:t xml:space="preserve">L'audit de sécurité de l'infrastructure ALPHA SERVICES a permis d'identifier 25 constats, dont 9 de criticité CRITIQUE. La principale vulnérabilité structurelle réside dans la gouvernance des accès privilégiés Active Directory : un unique compte administrateur par défaut cumule tous les droits sur le domaine, la forêt et le schéma AD, sans expiration de mot de passe, et est utilisé quotidiennement.</w:t>
      </w:r>
    </w:p>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Cette situation constitue un Single Point of Failure (SPOF) d'administration critique : la compromission de ce seul compte suffit à donner à un attaquant le contrôle total et persistant du système d'information. Ce scénario est d'autant plus plausible que plusieurs vecteurs d'entrée ont été identifiés : serveur web Apache obsolète sans TLS, logiciel Flexense Dup Scout avec CVE de Remote Code Execution sur le poste client, et RDP exposé sans verrouillage de compte.</w:t>
      </w:r>
    </w:p>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La mise en oeuvre des recommandations de la Phase 1 (72 heures) permettrait de réduire d'environ 65% le niveau de risque global de l'infrastructure, en particulier en supprimant les vecteurs d'entrée les plus immédiats et en renforçant la gouvernance des comptes AD.</w:t>
      </w:r>
    </w:p>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Deux points positifs méritent d'être soulignés : la signature SMB imposée sur le contrôleur de domaine (protection contre les attaques NTLM Relay côté DC) et le blocage des requêtes LDAP anonymes. Ces configurations correctes doivent être maintenues et étendues à l'ensemble de l'infrastructure.</w:t>
      </w:r>
    </w:p>
    <w:p>
      <w:pPr>
        <w:spacing w:before="1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Métrique finale</w:t>
            </w:r>
          </w:p>
        </w:tc>
        <w:tc>
          <w:tcPr>
            <w:tcW w:type="dxa" w:w="468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Constats CRITIQUE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9</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Constats ÉLEVÉ</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9</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Constats MOYEN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Points positifs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Score de risque global (0-10)</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8.2 — Niveau CRITIQUE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Recommandations émises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16</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Actions immédiates (72h)</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7</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Réduction risque estimée Phase 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~65%</w:t>
            </w:r>
          </w:p>
        </w:tc>
      </w:tr>
    </w:tbl>
    <w:p>
      <w:pPr>
        <w:spacing w:before="160" w:after="0"/>
      </w:pPr>
      <w:r>
        <w:rPr>
          <w:rFonts w:ascii="Arial" w:cs="Arial" w:eastAsia="Arial" w:hAnsi="Arial"/>
          <w:sz w:val="22"/>
          <w:szCs w:val="22"/>
        </w:rPr>
        <w:t xml:space="preserve"/>
      </w:r>
    </w:p>
    <w:p>
      <w:pPr>
        <w:spacing w:before="80" w:after="80"/>
      </w:pPr>
      <w:r>
        <w:rPr>
          <w:rFonts w:ascii="Arial" w:cs="Arial" w:eastAsia="Arial" w:hAnsi="Arial"/>
          <w:i/>
          <w:iCs/>
          <w:color w:val="595959"/>
          <w:sz w:val="18"/>
          <w:szCs w:val="18"/>
        </w:rPr>
        <w:t xml:space="preserve">Auditeur principal : CHUIGWA Armand — Formation ASRC, IMIE Paris</w:t>
      </w:r>
    </w:p>
    <w:p>
      <w:pPr>
        <w:spacing w:before="80" w:after="80"/>
      </w:pPr>
      <w:r>
        <w:rPr>
          <w:rFonts w:ascii="Arial" w:cs="Arial" w:eastAsia="Arial" w:hAnsi="Arial"/>
          <w:i/>
          <w:iCs/>
          <w:color w:val="595959"/>
          <w:sz w:val="18"/>
          <w:szCs w:val="18"/>
        </w:rPr>
        <w:t xml:space="preserve">Date du rapport : 20 mars 2026 — Référence : AUDIT-ASRC-2026-001</w:t>
      </w:r>
    </w:p>
    <w:p>
      <w:pPr>
        <w:spacing w:before="80" w:after="80"/>
      </w:pPr>
      <w:r>
        <w:rPr>
          <w:rFonts w:ascii="Arial" w:cs="Arial" w:eastAsia="Arial" w:hAnsi="Arial"/>
          <w:i/>
          <w:iCs/>
          <w:color w:val="595959"/>
          <w:sz w:val="18"/>
          <w:szCs w:val="18"/>
        </w:rPr>
        <w:t xml:space="preserve">Classification : CONFIDENTIEL — Diffusion restreinte à l'équipe projet et au commanditaire.</w:t>
      </w:r>
    </w:p>
    <w:p>
      <w:r>
        <w:br w:type="page"/>
      </w:r>
    </w:p>
    <w:p>
      <w:pPr>
        <w:pBdr>
          <w:bottom w:val="single" w:color="2E75B6" w:sz="12" w:space="2"/>
        </w:pBdr>
        <w:spacing w:before="480" w:after="200"/>
      </w:pPr>
      <w:r>
        <w:rPr>
          <w:rFonts w:ascii="Arial" w:cs="Arial" w:eastAsia="Arial" w:hAnsi="Arial"/>
          <w:b/>
          <w:bCs/>
          <w:color w:val="1F3864"/>
          <w:sz w:val="32"/>
          <w:szCs w:val="32"/>
        </w:rPr>
        <w:t xml:space="preserve">Annexes</w:t>
      </w:r>
    </w:p>
    <w:p>
      <w:pPr>
        <w:spacing w:before="320" w:after="160"/>
      </w:pPr>
      <w:r>
        <w:rPr>
          <w:rFonts w:ascii="Arial" w:cs="Arial" w:eastAsia="Arial" w:hAnsi="Arial"/>
          <w:b/>
          <w:bCs/>
          <w:color w:val="2E75B6"/>
          <w:sz w:val="26"/>
          <w:szCs w:val="26"/>
        </w:rPr>
        <w:t xml:space="preserve">Annexe A — Résultats des scans Nmap</w:t>
      </w:r>
    </w:p>
    <w:p>
      <w:pPr>
        <w:spacing w:before="8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A.1 Découverte des hôtes actifs</w:t>
      </w:r>
    </w:p>
    <w:p>
      <w:pPr>
        <w:spacing w:before="80" w:after="80"/>
      </w:pPr>
      <w:r>
        <w:rPr>
          <w:rFonts w:ascii="Arial" w:cs="Arial" w:eastAsia="Arial" w:hAnsi="Arial"/>
          <w:b/>
          <w:bCs/>
          <w:sz w:val="22"/>
          <w:szCs w:val="22"/>
        </w:rPr>
        <w:t xml:space="preserve">Commande : </w:t>
      </w:r>
      <w:r>
        <w:rPr>
          <w:rFonts w:ascii="Arial" w:cs="Arial" w:eastAsia="Arial" w:hAnsi="Arial"/>
          <w:sz w:val="22"/>
          <w:szCs w:val="22"/>
        </w:rPr>
        <w:t xml:space="preserve">nmap -sn 192.168.{10,20,30}.0/24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IP découverte</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Hostname résolu</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Zone</w:t>
            </w:r>
          </w:p>
        </w:tc>
        <w:tc>
          <w:tcPr>
            <w:tcW w:type="dxa" w:w="4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Statut</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192.168.10.50</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192.168.10.254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pfSense interface LAN</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192.168.20.10</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dc-alpha.alpha.lab</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 (hostname résolu)</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192.168.20.254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pfSense interface SERVERS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192.168.30.10</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192.168.30.254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pfSense interface DMZ</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A.2 Scan complet DC-ALPHA (192.168.20.10)</w:t>
      </w:r>
    </w:p>
    <w:p>
      <w:pPr>
        <w:spacing w:before="80" w:after="80"/>
      </w:pPr>
      <w:r>
        <w:rPr>
          <w:rFonts w:ascii="Arial" w:cs="Arial" w:eastAsia="Arial" w:hAnsi="Arial"/>
          <w:b/>
          <w:bCs/>
          <w:sz w:val="22"/>
          <w:szCs w:val="22"/>
        </w:rPr>
        <w:t xml:space="preserve">Commande : </w:t>
      </w:r>
      <w:r>
        <w:rPr>
          <w:rFonts w:ascii="Arial" w:cs="Arial" w:eastAsia="Arial" w:hAnsi="Arial"/>
          <w:sz w:val="22"/>
          <w:szCs w:val="22"/>
        </w:rPr>
        <w:t xml:space="preserve">nmap -sV -sC -p- 192.168.20.10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1200"/>
        <w:gridCol w:w="2100"/>
        <w:gridCol w:w="4360"/>
      </w:tblGrid>
      <w:tr>
        <w:trPr>
          <w:tblHeader/>
        </w:trPr>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État</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Service</w:t>
            </w:r>
          </w:p>
        </w:tc>
        <w:tc>
          <w:tcPr>
            <w:tcW w:type="dxa" w:w="21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Version</w:t>
            </w:r>
          </w:p>
        </w:tc>
        <w:tc>
          <w:tcPr>
            <w:tcW w:type="dxa" w:w="43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Analyse</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53/tcp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DNS</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Simple DNS Plus</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 — DC</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88/tcp</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Kerberos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 Windows Kerberos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 — AD auth</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135/tcp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MSRPC</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 Windows RPC</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 — DC</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139/tcp</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NetBIOS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 Windows netbios-ssn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445/tcp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SMB</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microsoft-ds (signing required)</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Signing requis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464/tcp</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kpasswd5</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 — Kerberos</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636/tcp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LDAPS</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tcpwrapped</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LDAPS non fonctionnel</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3268/tcp</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LDAP GC</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 Windows AD LDAP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GC exposé</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3269/tcp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LDAPS GC</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tcpwrapped</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Non fonctionnel</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9389/tcp</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ADWS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.NET Message Framing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 — AD Web Svc</w:t>
            </w:r>
          </w:p>
        </w:tc>
      </w:tr>
      <w:tr>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49664+/tcp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MSRPC Dyn.</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 Windows RPC</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 — RPC éphémères</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A.3 Scan complet WEB-ALPHA (192.168.30.10)</w:t>
      </w:r>
    </w:p>
    <w:p>
      <w:pPr>
        <w:spacing w:before="80" w:after="80"/>
      </w:pPr>
      <w:r>
        <w:rPr>
          <w:rFonts w:ascii="Arial" w:cs="Arial" w:eastAsia="Arial" w:hAnsi="Arial"/>
          <w:b/>
          <w:bCs/>
          <w:sz w:val="22"/>
          <w:szCs w:val="22"/>
        </w:rPr>
        <w:t xml:space="preserve">Commande : </w:t>
      </w:r>
      <w:r>
        <w:rPr>
          <w:rFonts w:ascii="Arial" w:cs="Arial" w:eastAsia="Arial" w:hAnsi="Arial"/>
          <w:sz w:val="22"/>
          <w:szCs w:val="22"/>
        </w:rPr>
        <w:t xml:space="preserve">nmap -sV -sC -p- 192.168.30.10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2400"/>
        <w:gridCol w:w="4560"/>
      </w:tblGrid>
      <w:tr>
        <w:trPr>
          <w:tblHeader/>
        </w:trPr>
        <w:tc>
          <w:tcPr>
            <w:tcW w:type="dxa" w:w="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Port</w:t>
            </w:r>
          </w:p>
        </w:tc>
        <w:tc>
          <w:tcPr>
            <w:tcW w:type="dxa" w:w="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État</w:t>
            </w:r>
          </w:p>
        </w:tc>
        <w:tc>
          <w:tcPr>
            <w:tcW w:type="dxa" w:w="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Version</w:t>
            </w:r>
          </w:p>
        </w:tc>
        <w:tc>
          <w:tcPr>
            <w:tcW w:type="dxa" w:w="45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Analyse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80/tcp</w:t>
            </w:r>
          </w:p>
        </w:tc>
        <w:tc>
          <w:tcPr>
            <w:tcW w:type="dxa" w:w="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HTTP</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Apache httpd 2.4.52 (Ubuntu)</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Version obsolète exposée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443/tcp</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closed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HTTPS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TLS non configuré</w:t>
            </w:r>
          </w:p>
        </w:tc>
      </w:tr>
    </w:tbl>
    <w:p>
      <w:pPr>
        <w:spacing w:before="80" w:after="80"/>
      </w:pPr>
      <w:r>
        <w:rPr>
          <w:rFonts w:ascii="Arial" w:cs="Arial" w:eastAsia="Arial" w:hAnsi="Arial"/>
          <w:b/>
          <w:bCs/>
          <w:sz w:val="22"/>
          <w:szCs w:val="22"/>
        </w:rPr>
        <w:t xml:space="preserve">Scripts NSE détectés : </w:t>
      </w:r>
    </w:p>
    <w:p>
      <w:pPr>
        <w:pStyle w:val="ListParagraph"/>
        <w:numPr>
          <w:ilvl w:val="0"/>
          <w:numId w:val="3"/>
        </w:numPr>
        <w:spacing w:before="60" w:after="60"/>
      </w:pPr>
      <w:r>
        <w:rPr>
          <w:rFonts w:ascii="Arial" w:cs="Arial" w:eastAsia="Arial" w:hAnsi="Arial"/>
          <w:sz w:val="22"/>
          <w:szCs w:val="22"/>
        </w:rPr>
        <w:t xml:space="preserve">http-title: Accueil - ALPHA SERVICES</w:t>
      </w:r>
    </w:p>
    <w:p>
      <w:pPr>
        <w:pStyle w:val="ListParagraph"/>
        <w:numPr>
          <w:ilvl w:val="0"/>
          <w:numId w:val="3"/>
        </w:numPr>
        <w:spacing w:before="60" w:after="60"/>
      </w:pPr>
      <w:r>
        <w:rPr>
          <w:rFonts w:ascii="Arial" w:cs="Arial" w:eastAsia="Arial" w:hAnsi="Arial"/>
          <w:sz w:val="22"/>
          <w:szCs w:val="22"/>
        </w:rPr>
        <w:t xml:space="preserve">http-robots.txt: 2 disallowed entries: /includes/ /admin/</w:t>
      </w:r>
    </w:p>
    <w:p>
      <w:pPr>
        <w:pStyle w:val="ListParagraph"/>
        <w:numPr>
          <w:ilvl w:val="0"/>
          <w:numId w:val="3"/>
        </w:numPr>
        <w:spacing w:before="60" w:after="60"/>
      </w:pPr>
      <w:r>
        <w:rPr>
          <w:rFonts w:ascii="Arial" w:cs="Arial" w:eastAsia="Arial" w:hAnsi="Arial"/>
          <w:sz w:val="22"/>
          <w:szCs w:val="22"/>
        </w:rPr>
        <w:t xml:space="preserve">http-cookie-flags: PHPSESSID — httponly flag not set</w:t>
      </w:r>
    </w:p>
    <w:p>
      <w:pPr>
        <w:pStyle w:val="ListParagraph"/>
        <w:numPr>
          <w:ilvl w:val="0"/>
          <w:numId w:val="3"/>
        </w:numPr>
        <w:spacing w:before="60" w:after="60"/>
      </w:pPr>
      <w:r>
        <w:rPr>
          <w:rFonts w:ascii="Arial" w:cs="Arial" w:eastAsia="Arial" w:hAnsi="Arial"/>
          <w:sz w:val="22"/>
          <w:szCs w:val="22"/>
        </w:rPr>
        <w:t xml:space="preserve">http-server-header: Apache/2.4.52 (Ubuntu)</w:t>
      </w:r>
    </w:p>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A.4 Scan complet CLIENT-ALPHA (192.168.10.50)</w:t>
      </w:r>
    </w:p>
    <w:p>
      <w:pPr>
        <w:spacing w:before="80" w:after="80"/>
      </w:pPr>
      <w:r>
        <w:rPr>
          <w:rFonts w:ascii="Arial" w:cs="Arial" w:eastAsia="Arial" w:hAnsi="Arial"/>
          <w:b/>
          <w:bCs/>
          <w:sz w:val="22"/>
          <w:szCs w:val="22"/>
        </w:rPr>
        <w:t xml:space="preserve">Commande : </w:t>
      </w:r>
      <w:r>
        <w:rPr>
          <w:rFonts w:ascii="Arial" w:cs="Arial" w:eastAsia="Arial" w:hAnsi="Arial"/>
          <w:sz w:val="22"/>
          <w:szCs w:val="22"/>
        </w:rPr>
        <w:t xml:space="preserve">nmap -sV -sC 192.168.10.50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200"/>
        <w:gridCol w:w="2400"/>
        <w:gridCol w:w="4260"/>
      </w:tblGrid>
      <w:tr>
        <w:trPr>
          <w:tblHeader/>
        </w:trPr>
        <w:tc>
          <w:tcPr>
            <w:tcW w:type="dxa" w:w="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État</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Version</w:t>
            </w:r>
          </w:p>
        </w:tc>
        <w:tc>
          <w:tcPr>
            <w:tcW w:type="dxa" w:w="42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Analyse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80/tcp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HTTP</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Flexense Dup Scout 10.0.18</w:t>
            </w:r>
          </w:p>
        </w:tc>
        <w:tc>
          <w:tcPr>
            <w:tcW w:type="dxa" w:w="42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CVE RCE connues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135/tcp</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MSRPC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 Windows RPC</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139/tcp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NetBIOS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 Windows netbios</w:t>
            </w:r>
          </w:p>
        </w:tc>
        <w:tc>
          <w:tcPr>
            <w:tcW w:type="dxa" w:w="42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445/tcp</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SMB</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microsoft-ds (signing opt.)</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Signing non requis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3389/tcp</w:t>
            </w:r>
          </w:p>
        </w:tc>
        <w:tc>
          <w:tcPr>
            <w:tcW w:type="dxa" w:w="7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RDP</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Microsoft Terminal Services</w:t>
            </w:r>
          </w:p>
        </w:tc>
        <w:tc>
          <w:tcPr>
            <w:tcW w:type="dxa" w:w="42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RDP exposé — WS 10.0.17763</w:t>
            </w:r>
          </w:p>
        </w:tc>
      </w:tr>
    </w:tbl>
    <w:p>
      <w:r>
        <w:br w:type="page"/>
      </w:r>
    </w:p>
    <w:p>
      <w:pPr>
        <w:spacing w:before="320" w:after="160"/>
      </w:pPr>
      <w:r>
        <w:rPr>
          <w:rFonts w:ascii="Arial" w:cs="Arial" w:eastAsia="Arial" w:hAnsi="Arial"/>
          <w:b/>
          <w:bCs/>
          <w:color w:val="2E75B6"/>
          <w:sz w:val="26"/>
          <w:szCs w:val="26"/>
        </w:rPr>
        <w:t xml:space="preserve">Annexe B — Analyse BloodHound / Active Directory</w:t>
      </w:r>
    </w:p>
    <w:p>
      <w:pPr>
        <w:spacing w:before="8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B.1 Collecte des données</w:t>
      </w:r>
    </w:p>
    <w:p>
      <w:pPr>
        <w:spacing w:before="80" w:after="80"/>
      </w:pPr>
      <w:r>
        <w:rPr>
          <w:rFonts w:ascii="Arial" w:cs="Arial" w:eastAsia="Arial" w:hAnsi="Arial"/>
          <w:b/>
          <w:bCs/>
          <w:sz w:val="22"/>
          <w:szCs w:val="22"/>
        </w:rPr>
        <w:t xml:space="preserve">Commande : </w:t>
      </w:r>
      <w:r>
        <w:rPr>
          <w:rFonts w:ascii="Arial" w:cs="Arial" w:eastAsia="Arial" w:hAnsi="Arial"/>
          <w:sz w:val="22"/>
          <w:szCs w:val="22"/>
        </w:rPr>
        <w:t xml:space="preserve">bloodhound-python -u Carmand -p [REDACTED] -d alpha.lab -dc dc-alpha.alpha.lab -c all --zip -ns 192.168.20.10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Objet collecté</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Quantité</w:t>
            </w:r>
          </w:p>
        </w:tc>
        <w:tc>
          <w:tcPr>
            <w:tcW w:type="dxa" w:w="63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Domaines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alpha.lab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Forêts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alpha.lab (aucun trust externe)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Ordinateurs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CLIENT-ALPHA.alpha.lab, DC-ALPHA.alpha.lab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Utilisateurs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 Invité, krbtgt, Carmand, NT AUTHORITY</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Groupes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56</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Dont : Admins du domaine, Adm. Entreprise, Adm. Schéma, GG_IT, GG_finance, GG_Comercial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GPO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Default Domain Policy, Default Domain Controllers Policy, Stratégie MDP utilisateur</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Domain Controllers, Departement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Containers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Containers AD standards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Trusts</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0</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Aucune relation de confiance externe</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B.2 Analyse des comptes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200"/>
        <w:gridCol w:w="2000"/>
        <w:gridCol w:w="2000"/>
        <w:gridCol w:w="166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Compte</w:t>
            </w:r>
          </w:p>
        </w:tc>
        <w:tc>
          <w:tcPr>
            <w:tcW w:type="dxa" w:w="9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Activé</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AdminCount</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MDP sans expiration</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Dernière connexion</w:t>
            </w:r>
          </w:p>
        </w:tc>
        <w:tc>
          <w:tcPr>
            <w:tcW w:type="dxa" w:w="16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Risque</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w:t>
            </w:r>
          </w:p>
        </w:tc>
        <w:tc>
          <w:tcPr>
            <w:tcW w:type="dxa" w:w="9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Oui</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Oui</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OUI 🔴</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18 mars 2026 (22x)</w:t>
            </w:r>
          </w:p>
        </w:tc>
        <w:tc>
          <w:tcPr>
            <w:tcW w:type="dxa" w:w="16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CARMAND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Non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20 mars 2026</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KRBTGT</w:t>
            </w:r>
          </w:p>
        </w:tc>
        <w:tc>
          <w:tcPr>
            <w:tcW w:type="dxa" w:w="9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Oui</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Non ✅</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Jamais</w:t>
            </w:r>
          </w:p>
        </w:tc>
        <w:tc>
          <w:tcPr>
            <w:tcW w:type="dxa" w:w="16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Normal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INVITÉ</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OUI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Jamais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Faible</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NT AUTHORITY</w:t>
            </w:r>
          </w:p>
        </w:tc>
        <w:tc>
          <w:tcPr>
            <w:tcW w:type="dxa" w:w="9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N/A</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N/A</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N/A</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N/A</w:t>
            </w:r>
          </w:p>
        </w:tc>
        <w:tc>
          <w:tcPr>
            <w:tcW w:type="dxa" w:w="16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Référence système</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B.3 Analyse des groupes privilégiés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Groupe</w:t>
            </w:r>
          </w:p>
        </w:tc>
        <w:tc>
          <w:tcPr>
            <w:tcW w:type="dxa" w:w="2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Membres</w:t>
            </w:r>
          </w:p>
        </w:tc>
        <w:tc>
          <w:tcPr>
            <w:tcW w:type="dxa" w:w="4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Admins du domaine</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 (SID-500) uniquement</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Un seul membre — SPOF critique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Administrateurs de l'entreprise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 (SID-500) uniquement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Contrôle de la forêt AD</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Administrateurs du schéma</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 (SID-500) uniquement</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Modification du schéma possible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Administrateurs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 entrées (SID-500 + 2 groupes)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Cumul de droits sur un seul compte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Enterprise Domain Controllers</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 uniquement</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Normal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GG_IT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0 membres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Groupe vide — non utilisé</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GG_finance</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0 membres</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Groupe vide — non utilisé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GG_Comercial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0 membres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Groupe vide — non utilisé</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B.4 Analyse des GPO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GPO</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Cible</w:t>
            </w:r>
          </w:p>
        </w:tc>
        <w:tc>
          <w:tcPr>
            <w:tcW w:type="dxa" w:w="45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Default Domain Policy</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Tout le domaine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Politique de base — à auditer en détail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Default Domain Controllers Policy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OU Domain Controllers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Politique DC — à auditer en détail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Stratégie de mot de passe utilisateur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À vérifier</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GPO personnalisée — vérifier si appliquée et cohérente avec les constats</w:t>
            </w:r>
          </w:p>
        </w:tc>
      </w:tr>
    </w:tbl>
    <w:p>
      <w:r>
        <w:br w:type="page"/>
      </w:r>
    </w:p>
    <w:p>
      <w:pPr>
        <w:spacing w:before="320" w:after="160"/>
      </w:pPr>
      <w:r>
        <w:rPr>
          <w:rFonts w:ascii="Arial" w:cs="Arial" w:eastAsia="Arial" w:hAnsi="Arial"/>
          <w:b/>
          <w:bCs/>
          <w:color w:val="2E75B6"/>
          <w:sz w:val="26"/>
          <w:szCs w:val="26"/>
        </w:rPr>
        <w:t xml:space="preserve">Annexe C — Checklist EBIOS RM</w:t>
      </w:r>
    </w:p>
    <w:p>
      <w:pPr>
        <w:spacing w:before="8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C.1 Atelier 1 — Cadrage et socle de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Élément</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Statut</w:t>
            </w:r>
          </w:p>
        </w:tc>
        <w:tc>
          <w:tcPr>
            <w:tcW w:type="dxa" w:w="51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Observation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Identification du contexte organisationnel</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Réalisé</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PME ALPHA SERVICES — infrastructure virtualisée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Identification des missions critiques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Réalisé</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Service web, gestion des identités AD, services internes</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Identification des contraintes réglementaires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Partiel</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RGPD non évalué dans ce périmètre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Biens essentiels identifiés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Réalisé</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 données métiers, service web, réseau</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Biens supports identifiés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Réalisé</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 SRV-LINUX, WEB-ALPHA, PF-ALPHA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Socle de sécurité défini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Absent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Pas de politique de sécurité documentée chez ALPHA SERVICES</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C.2 Atelier 2 — Sources de risque</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120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Source de risque</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Motivation</w:t>
            </w:r>
          </w:p>
        </w:tc>
        <w:tc>
          <w:tcPr>
            <w:tcW w:type="dxa" w:w="23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Capacité</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Pertinence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Attaquant externe (cybercriminel)</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Financière / opportuniste</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 (outils publics suffisants)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Employé malveillant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Idéologique / vengeance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Moyenne (accès interne)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Moyenne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Prestataire externe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Opportuniste</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Moyenne (accès délégué)</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Erreur humaine interne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Involontaire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 (pas de formation sécu)</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Élevée</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C.3 Atelier 3 — Scénarios stratégiques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200"/>
        <w:gridCol w:w="120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Scénario</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Source</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Bien essentiel ciblé</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Gravité</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S1</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Compromission AD</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Attaquant externe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Annuaire Active Directory</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Intrusion via DMZ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Attaquant externe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Service web / réseau interne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S3</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Exfiltration de données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Interne ou externe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Données métiers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ÉLEVÉ</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Déni de service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Attaquant externe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Continuité service web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MOYEN</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C.4 Atelier 4 — Scénarios opérationnels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60"/>
        <w:gridCol w:w="1600"/>
      </w:tblGrid>
      <w:tr>
        <w:trPr>
          <w:tblHeader/>
        </w:trPr>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Étape</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 attaquant</w:t>
            </w:r>
          </w:p>
        </w:tc>
        <w:tc>
          <w:tcPr>
            <w:tcW w:type="dxa" w:w="2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Vulnérabilité exploitée</w:t>
            </w:r>
          </w:p>
        </w:tc>
        <w:tc>
          <w:tcPr>
            <w:tcW w:type="dxa" w:w="1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VM ciblée</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 — Reconnaissance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Scan Nmap public depuis Internet</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Services exposés sur port 80</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 — Exploitation web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Exploitation faille applicative Apache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Apache 2.4.52 CVE / pas de TLS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 — Accès serveur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Exécution de code sur le serveur web</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Absence de durcissement OS</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4 — Pivot DMZ → LAN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Utilisation de WEB-ALPHA comme rebond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Segmentation insuffisante pfSense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5 — Compromission poste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Exploitation Flexense RCE / RDP brute</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Flexense 10.0.18 CVE + pas de lockout</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6 — Compromission 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Pass-the-hash / credential dumping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NTLM relay (SMB signing opt.)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7 — Contrôle total</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Domain Admin via compte Administrateur</w:t>
            </w:r>
          </w:p>
        </w:tc>
        <w:tc>
          <w:tcPr>
            <w:tcW w:type="dxa" w:w="2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MDP sans expiration, 1 seul admin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C.5 Atelier 5 — Traitement du risque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360"/>
        <w:gridCol w:w="140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Scénario</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Option de traitement</w:t>
            </w:r>
          </w:p>
        </w:tc>
        <w:tc>
          <w:tcPr>
            <w:tcW w:type="dxa" w:w="43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Actions identifiées</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Délai</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S1 — Compromission AD</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Réduction</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R6, R7, R13, R16 — comptes dédiés, expiration MDP, PAM</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Immédiat + 90j</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S2 — Intrusion DMZ</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Réduction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R1, R2, R8 — HTTPS, masquer version, headers sécurité</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Immédiat + 30j</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S3 — Exfiltration</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Réduction</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R9, R11, R13 — verrouillage, patches, restriction LDAP</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30j</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S4 — Déni de service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Acceptation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Hors périmètre lab — à traiter en environnement réel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90j</w:t>
            </w:r>
          </w:p>
        </w:tc>
      </w:tr>
    </w:tbl>
    <w:p>
      <w:r>
        <w:br w:type="page"/>
      </w:r>
    </w:p>
    <w:p>
      <w:pPr>
        <w:spacing w:before="320" w:after="160"/>
      </w:pPr>
      <w:r>
        <w:rPr>
          <w:rFonts w:ascii="Arial" w:cs="Arial" w:eastAsia="Arial" w:hAnsi="Arial"/>
          <w:b/>
          <w:bCs/>
          <w:color w:val="2E75B6"/>
          <w:sz w:val="26"/>
          <w:szCs w:val="26"/>
        </w:rPr>
        <w:t xml:space="preserve">Annexe D — Plan d'adressage réseau détaillé</w:t>
      </w:r>
    </w:p>
    <w:p>
      <w:pPr>
        <w:spacing w:before="8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D.1 Interfaces pfSense (PF-ALPHA)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1600"/>
        <w:gridCol w:w="1200"/>
        <w:gridCol w:w="1960"/>
      </w:tblGrid>
      <w:tr>
        <w:trPr>
          <w:tblHeader/>
        </w:trPr>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Interface pfSense</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Nom logique</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IP pfSense</w:t>
            </w:r>
          </w:p>
        </w:tc>
        <w:tc>
          <w:tcPr>
            <w:tcW w:type="dxa" w:w="16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Réseau</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VMnet</w:t>
            </w:r>
          </w:p>
        </w:tc>
        <w:tc>
          <w:tcPr>
            <w:tcW w:type="dxa" w:w="19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Rôle</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em0 (WAN)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WAN</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192.168.8.128/24 (DHCP)</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192.168.8.0/24</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VMnet8 (NAT)</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Accès Internet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em1 (LAN)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192.168.10.254/24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192.168.10.0/24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VMnet1</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Zone postes</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em2 (opt1)</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SERVEURS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192.168.20.254/24</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192.168.20.0/24</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VMnet2</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Zone serveurs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em3 (opt2)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192.168.30.254/24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192.168.30.0/24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VMnet3</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Zone DMZ</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em4 (opt3)</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192.168.40.254/24</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192.168.40.0/24</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VMnet4</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Zone admin</w:t>
            </w:r>
          </w:p>
        </w:tc>
      </w:tr>
    </w:tbl>
    <w:p>
      <w:pPr>
        <w:spacing w:before="160" w:after="0"/>
      </w:pPr>
      <w:r>
        <w:rPr>
          <w:rFonts w:ascii="Arial" w:cs="Arial" w:eastAsia="Arial" w:hAnsi="Arial"/>
          <w:sz w:val="22"/>
          <w:szCs w:val="22"/>
        </w:rPr>
        <w:t xml:space="preserve"/>
      </w:r>
    </w:p>
    <w:p>
      <w:pPr>
        <w:spacing w:before="240" w:after="120"/>
      </w:pPr>
      <w:r>
        <w:rPr>
          <w:rFonts w:ascii="Arial" w:cs="Arial" w:eastAsia="Arial" w:hAnsi="Arial"/>
          <w:b/>
          <w:bCs/>
          <w:color w:val="1F3864"/>
          <w:sz w:val="23"/>
          <w:szCs w:val="23"/>
        </w:rPr>
        <w:t xml:space="preserve">D.2 Adressage complet des 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400"/>
        <w:gridCol w:w="1200"/>
        <w:gridCol w:w="1400"/>
        <w:gridCol w:w="1400"/>
        <w:gridCol w:w="760"/>
      </w:tblGrid>
      <w:tr>
        <w:trPr>
          <w:tblHeader/>
        </w:trPr>
        <w:tc>
          <w:tcPr>
            <w:tcW w:type="dxa" w:w="13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VM</w:t>
            </w:r>
          </w:p>
        </w:tc>
        <w:tc>
          <w:tcPr>
            <w:tcW w:type="dxa" w:w="19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Hostname FQDN</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IP</w:t>
            </w:r>
          </w:p>
        </w:tc>
        <w:tc>
          <w:tcPr>
            <w:tcW w:type="dxa" w:w="12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Masque</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Passerelle</w:t>
            </w:r>
          </w:p>
        </w:tc>
        <w:tc>
          <w:tcPr>
            <w:tcW w:type="dxa" w:w="140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DNS primaire</w:t>
            </w:r>
          </w:p>
        </w:tc>
        <w:tc>
          <w:tcPr>
            <w:tcW w:type="dxa" w:w="760"/>
            <w:tcBorders>
              <w:top w:val="single" w:color="1F3864" w:sz="2"/>
              <w:left w:val="single" w:color="1F3864" w:sz="2"/>
              <w:bottom w:val="single" w:color="1F3864" w:sz="2"/>
              <w:right w:val="single" w:color="1F3864" w:sz="2"/>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Zone</w:t>
            </w:r>
          </w:p>
        </w:tc>
      </w:tr>
      <w:tr>
        <w:tc>
          <w:tcPr>
            <w:tcW w:type="dxa" w:w="13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PF-ALPHA</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fw-alpha.alpha.lab</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Multi</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Multi</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t>
            </w:r>
          </w:p>
        </w:tc>
        <w:tc>
          <w:tcPr>
            <w:tcW w:type="dxa" w:w="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Toutes</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dc-alpha.alpha.lab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255.255.255.0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192.168.20.254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127.0.0.1</w:t>
            </w:r>
          </w:p>
        </w:tc>
        <w:tc>
          <w:tcPr>
            <w:tcW w:type="dxa" w:w="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r>
      <w:tr>
        <w:tc>
          <w:tcPr>
            <w:tcW w:type="dxa" w:w="13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SRV-LINUX</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srv-linux.alpha.lab</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192.168.20.20</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255.255.255.0</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192.168.20.254</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192.168.20.10</w:t>
            </w:r>
          </w:p>
        </w:tc>
        <w:tc>
          <w:tcPr>
            <w:tcW w:type="dxa" w:w="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SERVERS</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web-alpha.alpha.lab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255.255.255.0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192.168.30.254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192.168.20.10</w:t>
            </w:r>
          </w:p>
        </w:tc>
        <w:tc>
          <w:tcPr>
            <w:tcW w:type="dxa" w:w="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DMZ</w:t>
            </w:r>
          </w:p>
        </w:tc>
      </w:tr>
      <w:tr>
        <w:tc>
          <w:tcPr>
            <w:tcW w:type="dxa" w:w="13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client-alpha.alpha.lab</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192.168.10.50</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255.255.255.0</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192.168.10.254</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192.168.20.10</w:t>
            </w:r>
          </w:p>
        </w:tc>
        <w:tc>
          <w:tcPr>
            <w:tcW w:type="dxa" w:w="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LAN</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AUDIT-ASRC</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audit-asrc.alpha.lab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192.168.40.10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255.255.255.0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192.168.40.254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192.168.20.10</w:t>
            </w:r>
          </w:p>
        </w:tc>
        <w:tc>
          <w:tcPr>
            <w:tcW w:type="dxa" w:w="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ADMIN</w:t>
            </w:r>
          </w:p>
        </w:tc>
      </w:tr>
    </w:tbl>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2026-03-20T04:29:26.072Z</dcterms:created>
  <dcterms:modified xsi:type="dcterms:W3CDTF">2026-03-20T04:29:26.073Z</dcterms:modified>
</cp:coreProperties>
</file>

<file path=docProps/custom.xml><?xml version="1.0" encoding="utf-8"?>
<Properties xmlns="http://schemas.openxmlformats.org/officeDocument/2006/custom-properties" xmlns:vt="http://schemas.openxmlformats.org/officeDocument/2006/docPropsVTypes"/>
</file>