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37F3A" w14:textId="1B0B123C" w:rsidR="00730229" w:rsidRDefault="004D57B9" w:rsidP="004D57B9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דו"ח מסכם מעבדה 6</w:t>
      </w:r>
    </w:p>
    <w:p w14:paraId="7B4800B9" w14:textId="2DF46F7D" w:rsidR="004676CC" w:rsidRDefault="004D57B9" w:rsidP="004D57B9">
      <w:pPr>
        <w:rPr>
          <w:rtl/>
        </w:rPr>
      </w:pPr>
      <w:r>
        <w:rPr>
          <w:rFonts w:hint="cs"/>
          <w:rtl/>
        </w:rPr>
        <w:t xml:space="preserve">בהתאם לנדרש, הגדרנו מצב חדש </w:t>
      </w:r>
      <w:r>
        <w:rPr>
          <w:rtl/>
        </w:rPr>
        <w:t>–</w:t>
      </w:r>
      <w:r>
        <w:rPr>
          <w:rFonts w:hint="cs"/>
          <w:rtl/>
        </w:rPr>
        <w:t xml:space="preserve"> מצב 3. בכניסה למצב אנו מבצעים "איפוס" למצבים הקודמים כמקדם בטיחות </w:t>
      </w:r>
      <w:r>
        <w:rPr>
          <w:rtl/>
        </w:rPr>
        <w:t>–</w:t>
      </w:r>
      <w:r>
        <w:rPr>
          <w:rFonts w:hint="cs"/>
          <w:rtl/>
        </w:rPr>
        <w:t xml:space="preserve"> מנקים את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LCD</w:t>
      </w:r>
      <w:r>
        <w:rPr>
          <w:rFonts w:hint="cs"/>
          <w:rtl/>
        </w:rPr>
        <w:t xml:space="preserve">, ועוצרים את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ADC</w:t>
      </w:r>
      <w:r>
        <w:rPr>
          <w:rFonts w:hint="cs"/>
          <w:rtl/>
        </w:rPr>
        <w:t xml:space="preserve">. לאחר מכן אנו קוראים לפונקציית הקינפוג של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ADC</w:t>
      </w:r>
      <w:r>
        <w:rPr>
          <w:rFonts w:hint="cs"/>
          <w:rtl/>
        </w:rPr>
        <w:t xml:space="preserve"> עבור מצב זה (פונקציה זו זהה לפונקציית הקינפוג של מצב 1). הקינפוג מתבצע באופן הבא: </w:t>
      </w:r>
      <w:r>
        <w:rPr>
          <w:rtl/>
        </w:rPr>
        <w:br/>
      </w:r>
      <w:r>
        <w:rPr>
          <w:rFonts w:hint="cs"/>
          <w:rtl/>
        </w:rPr>
        <w:t xml:space="preserve">ברגיסטר הבקרה הראשון של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ADC</w:t>
      </w:r>
      <w:r>
        <w:rPr>
          <w:rFonts w:hint="cs"/>
          <w:rtl/>
        </w:rPr>
        <w:t xml:space="preserve">: קובעים את ערך 3 הסיביות המייצגות את מתח הייחוס כך שנעבוד בהתאם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Vcc</w:t>
      </w:r>
      <w:r>
        <w:rPr>
          <w:rFonts w:hint="cs"/>
          <w:rtl/>
        </w:rPr>
        <w:t xml:space="preserve">, את כמות המחזורים הדרושים עבור דגימה אנו מגדירים כ </w:t>
      </w:r>
      <w:r>
        <w:rPr>
          <w:rtl/>
        </w:rPr>
        <w:t>–</w:t>
      </w:r>
      <w:r>
        <w:rPr>
          <w:rFonts w:hint="cs"/>
          <w:rtl/>
        </w:rPr>
        <w:t xml:space="preserve"> 4 מחזורי שעון (את השעון אנו מגדירים ברגיסטר הבקרה השני של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ADC</w:t>
      </w:r>
      <w:r>
        <w:rPr>
          <w:rFonts w:hint="cs"/>
          <w:rtl/>
        </w:rPr>
        <w:t xml:space="preserve">), מדליקים את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ADC10</w:t>
      </w:r>
      <w:r>
        <w:rPr>
          <w:rFonts w:hint="cs"/>
          <w:rtl/>
        </w:rPr>
        <w:t>, ומאפשרים פסיקות ממנו.</w:t>
      </w:r>
      <w:r>
        <w:rPr>
          <w:rtl/>
        </w:rPr>
        <w:br/>
      </w:r>
      <w:r>
        <w:rPr>
          <w:rFonts w:hint="cs"/>
          <w:rtl/>
        </w:rPr>
        <w:t xml:space="preserve">ברגיסטר הבקרה השני של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ADC</w:t>
      </w:r>
      <w:r>
        <w:rPr>
          <w:rFonts w:hint="cs"/>
          <w:rtl/>
        </w:rPr>
        <w:t xml:space="preserve">: </w:t>
      </w:r>
      <w:r w:rsidR="00F76862">
        <w:rPr>
          <w:rFonts w:hint="cs"/>
          <w:rtl/>
        </w:rPr>
        <w:t xml:space="preserve">בוחרים את הערוץ שממנו הדגימה מתבצעת כערוץ </w:t>
      </w:r>
      <w:r w:rsidR="00F76862">
        <w:t>A3</w:t>
      </w:r>
      <w:r w:rsidR="00F76862">
        <w:rPr>
          <w:rFonts w:hint="cs"/>
          <w:rtl/>
        </w:rPr>
        <w:t xml:space="preserve"> </w:t>
      </w:r>
      <w:r w:rsidR="00123B42">
        <w:rPr>
          <w:rFonts w:hint="cs"/>
          <w:rtl/>
        </w:rPr>
        <w:t xml:space="preserve">, </w:t>
      </w:r>
      <w:r w:rsidR="004F351E">
        <w:rPr>
          <w:rFonts w:hint="cs"/>
          <w:rtl/>
        </w:rPr>
        <w:t xml:space="preserve">בוחרים את המקור המהווה טריגר לתחילת דגימה כביט התוכנתי </w:t>
      </w:r>
      <w:r w:rsidR="00DE106B">
        <w:rPr>
          <w:rtl/>
        </w:rPr>
        <w:t>–</w:t>
      </w:r>
      <w:r w:rsidR="004F351E">
        <w:rPr>
          <w:rFonts w:hint="cs"/>
          <w:rtl/>
        </w:rPr>
        <w:t xml:space="preserve"> </w:t>
      </w:r>
      <w:r w:rsidR="00DE106B">
        <w:t>ADC10SC</w:t>
      </w:r>
      <w:r w:rsidR="00DE106B">
        <w:rPr>
          <w:rFonts w:hint="cs"/>
          <w:rtl/>
        </w:rPr>
        <w:t xml:space="preserve">, בוחרים את שעון המערכת כ </w:t>
      </w:r>
      <w:r w:rsidR="00DE106B">
        <w:rPr>
          <w:rtl/>
        </w:rPr>
        <w:t>–</w:t>
      </w:r>
      <w:r w:rsidR="00DE106B">
        <w:rPr>
          <w:rFonts w:hint="cs"/>
          <w:rtl/>
        </w:rPr>
        <w:t xml:space="preserve"> </w:t>
      </w:r>
      <w:r w:rsidR="00DE106B">
        <w:t>SMCLK</w:t>
      </w:r>
      <w:r w:rsidR="00DE106B">
        <w:rPr>
          <w:rFonts w:hint="cs"/>
          <w:rtl/>
        </w:rPr>
        <w:t>,</w:t>
      </w:r>
      <w:r w:rsidR="008958AB">
        <w:rPr>
          <w:rFonts w:hint="cs"/>
          <w:rtl/>
        </w:rPr>
        <w:t xml:space="preserve"> ובוחרים את אופן הדגימות כדגימה בודדת של ערוץ בודד (את תחילת בקשת הדגימה נבצע בכל פעם באמצעות לולאה כפי </w:t>
      </w:r>
      <w:r w:rsidR="004676CC">
        <w:rPr>
          <w:rFonts w:hint="cs"/>
          <w:rtl/>
        </w:rPr>
        <w:t>שנפרט בהמשך).</w:t>
      </w:r>
      <w:r w:rsidR="004676CC">
        <w:rPr>
          <w:rtl/>
        </w:rPr>
        <w:br/>
      </w:r>
      <w:r w:rsidR="00D14658">
        <w:rPr>
          <w:rFonts w:hint="cs"/>
          <w:rtl/>
        </w:rPr>
        <w:t xml:space="preserve">ברגיסטר </w:t>
      </w:r>
      <w:r w:rsidR="00B75BDE">
        <w:rPr>
          <w:rFonts w:hint="cs"/>
          <w:rtl/>
        </w:rPr>
        <w:t xml:space="preserve">ה </w:t>
      </w:r>
      <w:r w:rsidR="00B75BDE">
        <w:rPr>
          <w:rtl/>
        </w:rPr>
        <w:t>–</w:t>
      </w:r>
      <w:r w:rsidR="00B75BDE">
        <w:rPr>
          <w:rFonts w:hint="cs"/>
          <w:rtl/>
        </w:rPr>
        <w:t xml:space="preserve"> </w:t>
      </w:r>
      <w:r w:rsidR="00B75BDE">
        <w:t>ADC10AE0</w:t>
      </w:r>
      <w:r w:rsidR="00B75BDE">
        <w:rPr>
          <w:rFonts w:hint="cs"/>
          <w:rtl/>
        </w:rPr>
        <w:t xml:space="preserve"> אנו מבצעים </w:t>
      </w:r>
      <w:r w:rsidR="00B75BDE">
        <w:t>set</w:t>
      </w:r>
      <w:r w:rsidR="00B75BDE">
        <w:rPr>
          <w:rFonts w:hint="cs"/>
          <w:rtl/>
        </w:rPr>
        <w:t xml:space="preserve"> לביט המתאים עבור ערוץ הכניסה </w:t>
      </w:r>
      <w:r w:rsidR="00060200">
        <w:t>A3</w:t>
      </w:r>
      <w:r w:rsidR="00060200">
        <w:rPr>
          <w:rFonts w:hint="cs"/>
          <w:rtl/>
        </w:rPr>
        <w:t xml:space="preserve">. </w:t>
      </w:r>
    </w:p>
    <w:p w14:paraId="5C6CBE0A" w14:textId="12049CF4" w:rsidR="003313AE" w:rsidRDefault="003313AE" w:rsidP="004D57B9">
      <w:pPr>
        <w:rPr>
          <w:rtl/>
        </w:rPr>
      </w:pPr>
      <w:r>
        <w:rPr>
          <w:rFonts w:hint="cs"/>
          <w:rtl/>
        </w:rPr>
        <w:t xml:space="preserve">לאחר החזרה מפונקציית הקינפוג אנו מנקים את רגיסטר </w:t>
      </w:r>
      <w:r w:rsidR="005F4829">
        <w:rPr>
          <w:rFonts w:hint="cs"/>
          <w:rtl/>
        </w:rPr>
        <w:t>7, רגיסטר זה ישמש אותנו כמונה המסייע בהכנסת הערכים המומרים למשתנים הגלובאליים המתאימים.</w:t>
      </w:r>
      <w:r w:rsidR="00683F63">
        <w:rPr>
          <w:rFonts w:hint="cs"/>
          <w:rtl/>
        </w:rPr>
        <w:t xml:space="preserve"> </w:t>
      </w:r>
      <w:r w:rsidR="00683F63">
        <w:rPr>
          <w:rtl/>
        </w:rPr>
        <w:br/>
      </w:r>
      <w:r w:rsidR="00683F63">
        <w:rPr>
          <w:rFonts w:hint="cs"/>
          <w:rtl/>
        </w:rPr>
        <w:t>אנו מבצעים קריאה לפונקציית המתחילה בקשת דגימה. בפונ</w:t>
      </w:r>
      <w:r w:rsidR="006801B4">
        <w:rPr>
          <w:rFonts w:hint="cs"/>
          <w:rtl/>
        </w:rPr>
        <w:t xml:space="preserve">קציה זו אנו מרימים את ביט ה </w:t>
      </w:r>
      <w:r w:rsidR="006801B4">
        <w:rPr>
          <w:rtl/>
        </w:rPr>
        <w:t>–</w:t>
      </w:r>
      <w:r w:rsidR="006801B4">
        <w:rPr>
          <w:rFonts w:hint="cs"/>
          <w:rtl/>
        </w:rPr>
        <w:t xml:space="preserve"> </w:t>
      </w:r>
      <w:r w:rsidR="00412BED">
        <w:t>ENC</w:t>
      </w:r>
      <w:r w:rsidR="00412BED">
        <w:rPr>
          <w:rFonts w:hint="cs"/>
          <w:rtl/>
        </w:rPr>
        <w:t xml:space="preserve"> ל </w:t>
      </w:r>
      <w:r w:rsidR="00412BED">
        <w:rPr>
          <w:rtl/>
        </w:rPr>
        <w:t>–</w:t>
      </w:r>
      <w:r w:rsidR="00412BED">
        <w:rPr>
          <w:rFonts w:hint="cs"/>
          <w:rtl/>
        </w:rPr>
        <w:t xml:space="preserve"> 1 לצורך אפשור המרות, ומרימים את ביט ה </w:t>
      </w:r>
      <w:r w:rsidR="00186455">
        <w:rPr>
          <w:rtl/>
        </w:rPr>
        <w:t>–</w:t>
      </w:r>
      <w:r w:rsidR="00412BED">
        <w:rPr>
          <w:rFonts w:hint="cs"/>
          <w:rtl/>
        </w:rPr>
        <w:t xml:space="preserve"> </w:t>
      </w:r>
      <w:r w:rsidR="00412BED">
        <w:t>ADC</w:t>
      </w:r>
      <w:r w:rsidR="00186455">
        <w:t>10SC</w:t>
      </w:r>
      <w:r w:rsidR="00186455">
        <w:rPr>
          <w:rFonts w:hint="cs"/>
          <w:rtl/>
        </w:rPr>
        <w:t xml:space="preserve"> כדי שתתחיל דגימה (ניתן לערוך את ביט זה גם אם ביט ה </w:t>
      </w:r>
      <w:r w:rsidR="00186455">
        <w:rPr>
          <w:rtl/>
        </w:rPr>
        <w:t>–</w:t>
      </w:r>
      <w:r w:rsidR="00186455">
        <w:rPr>
          <w:rFonts w:hint="cs"/>
          <w:rtl/>
        </w:rPr>
        <w:t xml:space="preserve"> </w:t>
      </w:r>
      <w:r w:rsidR="00186455">
        <w:t>ENC</w:t>
      </w:r>
      <w:r w:rsidR="00186455">
        <w:rPr>
          <w:rFonts w:hint="cs"/>
          <w:rtl/>
        </w:rPr>
        <w:t xml:space="preserve"> </w:t>
      </w:r>
      <w:r w:rsidR="00FE1C0E">
        <w:rPr>
          <w:rFonts w:hint="cs"/>
          <w:rtl/>
        </w:rPr>
        <w:t>מוחזק על ערך לוגי של 1).</w:t>
      </w:r>
    </w:p>
    <w:p w14:paraId="6AE81423" w14:textId="5BD6FDFD" w:rsidR="0001556B" w:rsidRDefault="00FE1C0E" w:rsidP="004D57B9">
      <w:pPr>
        <w:rPr>
          <w:rtl/>
        </w:rPr>
      </w:pPr>
      <w:r>
        <w:rPr>
          <w:rFonts w:hint="cs"/>
          <w:rtl/>
        </w:rPr>
        <w:t>בחזרה מפונקציה זו המערכת נכנסת לשינה</w:t>
      </w:r>
      <w:r w:rsidR="00C8716D">
        <w:rPr>
          <w:rFonts w:hint="cs"/>
          <w:rtl/>
        </w:rPr>
        <w:t>,</w:t>
      </w:r>
      <w:r>
        <w:rPr>
          <w:rFonts w:hint="cs"/>
          <w:rtl/>
        </w:rPr>
        <w:t xml:space="preserve"> והפסיקה</w:t>
      </w:r>
      <w:r w:rsidR="006B603B">
        <w:rPr>
          <w:rFonts w:hint="cs"/>
          <w:rtl/>
        </w:rPr>
        <w:t xml:space="preserve"> המגיעה מה </w:t>
      </w:r>
      <w:r w:rsidR="006B603B">
        <w:rPr>
          <w:rtl/>
        </w:rPr>
        <w:t>–</w:t>
      </w:r>
      <w:r w:rsidR="006B603B">
        <w:rPr>
          <w:rFonts w:hint="cs"/>
          <w:rtl/>
        </w:rPr>
        <w:t xml:space="preserve"> </w:t>
      </w:r>
      <w:r w:rsidR="006B603B">
        <w:t>ADC</w:t>
      </w:r>
      <w:r w:rsidR="006B603B">
        <w:rPr>
          <w:rFonts w:hint="cs"/>
          <w:rtl/>
        </w:rPr>
        <w:t xml:space="preserve"> בעקבות סיום המרת הערך המתקבל </w:t>
      </w:r>
      <w:r w:rsidR="006D6E5E">
        <w:rPr>
          <w:rFonts w:hint="cs"/>
          <w:rtl/>
        </w:rPr>
        <w:t>בכניסה מעירה את המערכת</w:t>
      </w:r>
      <w:r w:rsidR="00C8716D">
        <w:rPr>
          <w:rFonts w:hint="cs"/>
          <w:rtl/>
        </w:rPr>
        <w:t>,</w:t>
      </w:r>
      <w:r w:rsidR="006D6E5E">
        <w:rPr>
          <w:rFonts w:hint="cs"/>
          <w:rtl/>
        </w:rPr>
        <w:t xml:space="preserve"> ושולחת אותה</w:t>
      </w:r>
      <w:r w:rsidR="00E03264">
        <w:rPr>
          <w:rFonts w:hint="cs"/>
          <w:rtl/>
        </w:rPr>
        <w:t xml:space="preserve"> לרוטינת הפסיקה</w:t>
      </w:r>
      <w:r w:rsidR="006D6E5E">
        <w:rPr>
          <w:rFonts w:hint="cs"/>
          <w:rtl/>
        </w:rPr>
        <w:t xml:space="preserve"> </w:t>
      </w:r>
      <w:r w:rsidR="00E03264">
        <w:rPr>
          <w:rFonts w:hint="cs"/>
          <w:rtl/>
        </w:rPr>
        <w:t xml:space="preserve">לפי </w:t>
      </w:r>
      <w:r w:rsidR="006D6E5E">
        <w:rPr>
          <w:rFonts w:hint="cs"/>
          <w:rtl/>
        </w:rPr>
        <w:t xml:space="preserve">ווקטור הפסיקה של ה </w:t>
      </w:r>
      <w:r w:rsidR="006D6E5E">
        <w:rPr>
          <w:rtl/>
        </w:rPr>
        <w:t>–</w:t>
      </w:r>
      <w:r w:rsidR="006D6E5E">
        <w:rPr>
          <w:rFonts w:hint="cs"/>
          <w:rtl/>
        </w:rPr>
        <w:t xml:space="preserve"> </w:t>
      </w:r>
      <w:r w:rsidR="006D6E5E">
        <w:t>ADC</w:t>
      </w:r>
      <w:r w:rsidR="006D6E5E">
        <w:rPr>
          <w:rFonts w:hint="cs"/>
          <w:rtl/>
        </w:rPr>
        <w:t>.</w:t>
      </w:r>
      <w:r w:rsidR="00E03264">
        <w:rPr>
          <w:rFonts w:hint="cs"/>
          <w:rtl/>
        </w:rPr>
        <w:t xml:space="preserve"> ברוטינת הפסיקה מתבצעת בדיקה כי אכן מדובר במצב 3 (</w:t>
      </w:r>
      <w:r w:rsidR="005D2A8D">
        <w:rPr>
          <w:rFonts w:hint="cs"/>
          <w:rtl/>
        </w:rPr>
        <w:t xml:space="preserve">מרוטינת הפסיקה "נשלחים" גם למצבים האחרים </w:t>
      </w:r>
      <w:r w:rsidR="005D2A8D">
        <w:rPr>
          <w:rtl/>
        </w:rPr>
        <w:t>–</w:t>
      </w:r>
      <w:r w:rsidR="005D2A8D">
        <w:rPr>
          <w:rFonts w:hint="cs"/>
          <w:rtl/>
        </w:rPr>
        <w:t xml:space="preserve"> כולם משתמשים בפסיקות מה </w:t>
      </w:r>
      <w:r w:rsidR="005D2A8D">
        <w:rPr>
          <w:rtl/>
        </w:rPr>
        <w:t>–</w:t>
      </w:r>
      <w:r w:rsidR="005D2A8D">
        <w:rPr>
          <w:rFonts w:hint="cs"/>
          <w:rtl/>
        </w:rPr>
        <w:t xml:space="preserve"> </w:t>
      </w:r>
      <w:r w:rsidR="005D2A8D">
        <w:t>ADC</w:t>
      </w:r>
      <w:r w:rsidR="005D2A8D">
        <w:rPr>
          <w:rFonts w:hint="cs"/>
          <w:rtl/>
        </w:rPr>
        <w:t>)</w:t>
      </w:r>
      <w:r w:rsidR="00EE069F">
        <w:rPr>
          <w:rFonts w:hint="cs"/>
          <w:rtl/>
        </w:rPr>
        <w:t xml:space="preserve">. כאשר מזוהה כי אכן מדובר במצב 3, מתבצעת קריאה לפונקציה </w:t>
      </w:r>
      <w:r w:rsidR="0001556B">
        <w:rPr>
          <w:rFonts w:hint="cs"/>
          <w:rtl/>
        </w:rPr>
        <w:t xml:space="preserve">"המטפלת" בהמרות מוכנות. </w:t>
      </w:r>
    </w:p>
    <w:p w14:paraId="11BA7AAA" w14:textId="77777777" w:rsidR="00904204" w:rsidRDefault="00C808E2" w:rsidP="004D57B9">
      <w:pPr>
        <w:rPr>
          <w:rtl/>
        </w:rPr>
      </w:pPr>
      <w:r>
        <w:rPr>
          <w:rFonts w:hint="cs"/>
          <w:rtl/>
        </w:rPr>
        <w:t xml:space="preserve">ראשית, בפונקציה זו עוצרים את עבודת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ADC</w:t>
      </w:r>
      <w:r>
        <w:rPr>
          <w:rFonts w:hint="cs"/>
          <w:rtl/>
        </w:rPr>
        <w:t xml:space="preserve"> כמקדם בטיחות. לאחר מכן קוראים לפונקציה המחזירה לנו</w:t>
      </w:r>
      <w:r w:rsidR="00F21321">
        <w:rPr>
          <w:rFonts w:hint="cs"/>
          <w:rtl/>
        </w:rPr>
        <w:t xml:space="preserve"> (מהמחסנית) את הערך המומר. אנו מוציאים את הערך המומר מהמחסנית לרגיסטר </w:t>
      </w:r>
      <w:r w:rsidR="004C5A1A">
        <w:rPr>
          <w:rFonts w:hint="cs"/>
          <w:rtl/>
        </w:rPr>
        <w:t>5. מתבצעת בדיקה האם רגיסטר 7 עדיין שווה לאפס. אם כן, משמעות הדב</w:t>
      </w:r>
      <w:r w:rsidR="006E21C7">
        <w:rPr>
          <w:rFonts w:hint="cs"/>
          <w:rtl/>
        </w:rPr>
        <w:t>ר היא שעלינו לאחסן את הערך שנדגם במשתנה גלובאלי עבור דגימה ראשונה.</w:t>
      </w:r>
      <w:r w:rsidR="00F62A69">
        <w:rPr>
          <w:rFonts w:hint="cs"/>
          <w:rtl/>
        </w:rPr>
        <w:t xml:space="preserve"> אנו מבצעים זאת, מגדילים את רגיסטר 7 ב </w:t>
      </w:r>
      <w:r w:rsidR="00F62A69">
        <w:rPr>
          <w:rtl/>
        </w:rPr>
        <w:t>–</w:t>
      </w:r>
      <w:r w:rsidR="00F62A69">
        <w:rPr>
          <w:rFonts w:hint="cs"/>
          <w:rtl/>
        </w:rPr>
        <w:t xml:space="preserve"> 1 כדי שיהווה אינד</w:t>
      </w:r>
      <w:r w:rsidR="00B31CC4">
        <w:rPr>
          <w:rFonts w:hint="cs"/>
          <w:rtl/>
        </w:rPr>
        <w:t>י</w:t>
      </w:r>
      <w:r w:rsidR="00F62A69">
        <w:rPr>
          <w:rFonts w:hint="cs"/>
          <w:rtl/>
        </w:rPr>
        <w:t>קציה לאחסון</w:t>
      </w:r>
      <w:r w:rsidR="00B31CC4">
        <w:rPr>
          <w:rFonts w:hint="cs"/>
          <w:rtl/>
        </w:rPr>
        <w:t xml:space="preserve"> במשתנה הגלובאלי השני בסיום ההמרה הבאה, וקופצים ללולאה</w:t>
      </w:r>
      <w:r w:rsidR="00A82DF7">
        <w:rPr>
          <w:rFonts w:hint="cs"/>
          <w:rtl/>
        </w:rPr>
        <w:t>.</w:t>
      </w:r>
      <w:r w:rsidR="00A82DF7">
        <w:rPr>
          <w:rtl/>
        </w:rPr>
        <w:br/>
      </w:r>
      <w:r w:rsidR="00A82DF7">
        <w:rPr>
          <w:rFonts w:hint="cs"/>
          <w:rtl/>
        </w:rPr>
        <w:t>בלולאה מתבצע אפשור לפסיקות חיצ</w:t>
      </w:r>
      <w:r w:rsidR="00367086">
        <w:rPr>
          <w:rFonts w:hint="cs"/>
          <w:rtl/>
        </w:rPr>
        <w:t>וניות לצורך בדיקה האם עלינו לעבור מצב</w:t>
      </w:r>
      <w:r w:rsidR="00496D77">
        <w:rPr>
          <w:rFonts w:hint="cs"/>
          <w:rtl/>
        </w:rPr>
        <w:t>. לאחר בדיקה זו, מתבצעת קריאה</w:t>
      </w:r>
      <w:r w:rsidR="00904204">
        <w:rPr>
          <w:rFonts w:hint="cs"/>
          <w:rtl/>
        </w:rPr>
        <w:t xml:space="preserve"> בשנית </w:t>
      </w:r>
      <w:r w:rsidR="00496D77">
        <w:rPr>
          <w:rFonts w:hint="cs"/>
          <w:rtl/>
        </w:rPr>
        <w:t>לפונקציה המבקשת דגימה באמצעות הביט התוכנתי.</w:t>
      </w:r>
    </w:p>
    <w:p w14:paraId="041CB30A" w14:textId="0991A784" w:rsidR="000F4270" w:rsidRDefault="00904204" w:rsidP="004D57B9">
      <w:pPr>
        <w:rPr>
          <w:rtl/>
        </w:rPr>
      </w:pPr>
      <w:r>
        <w:rPr>
          <w:rFonts w:hint="cs"/>
          <w:rtl/>
        </w:rPr>
        <w:t xml:space="preserve">כאשר המערכת מתעוררת משינה בעקבות פסיקת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ADC</w:t>
      </w:r>
      <w:r>
        <w:rPr>
          <w:rFonts w:hint="cs"/>
          <w:rtl/>
        </w:rPr>
        <w:t xml:space="preserve"> </w:t>
      </w:r>
      <w:r w:rsidR="00830FCF">
        <w:rPr>
          <w:rFonts w:hint="cs"/>
          <w:rtl/>
        </w:rPr>
        <w:t xml:space="preserve">, </w:t>
      </w:r>
      <w:r>
        <w:rPr>
          <w:rFonts w:hint="cs"/>
          <w:rtl/>
        </w:rPr>
        <w:t>מתבצע התהליך לצורך ווידוא המצב כפי שהתבצע בפסיקה הראשונה</w:t>
      </w:r>
      <w:r w:rsidR="0022786E">
        <w:rPr>
          <w:rFonts w:hint="cs"/>
          <w:rtl/>
        </w:rPr>
        <w:t>. כעת, המערכת מזהה כי רגיסטר 7 שונה מאפס ולכן מאחסנת את הערך השני שנלכד במשתנה הגלובאלי השני.</w:t>
      </w:r>
      <w:r w:rsidR="000F4270">
        <w:rPr>
          <w:rFonts w:hint="cs"/>
          <w:rtl/>
        </w:rPr>
        <w:t xml:space="preserve"> מתבצע חיסור של המשתנה הגלובאלי הראשון מהשני </w:t>
      </w:r>
      <w:r w:rsidR="000F4270">
        <w:rPr>
          <w:rtl/>
        </w:rPr>
        <w:t>–</w:t>
      </w:r>
      <w:r w:rsidR="000F4270">
        <w:rPr>
          <w:rFonts w:hint="cs"/>
          <w:rtl/>
        </w:rPr>
        <w:t xml:space="preserve"> ערך זה הוא ערך "הנגזרת" </w:t>
      </w:r>
      <w:r w:rsidR="000F4270">
        <w:rPr>
          <w:rtl/>
        </w:rPr>
        <w:t>–</w:t>
      </w:r>
      <w:r w:rsidR="000F4270">
        <w:rPr>
          <w:rFonts w:hint="cs"/>
          <w:rtl/>
        </w:rPr>
        <w:t xml:space="preserve"> הערך המעיד לנו על השינוי </w:t>
      </w:r>
      <w:r w:rsidR="003C7F8D">
        <w:rPr>
          <w:rFonts w:hint="cs"/>
          <w:rtl/>
        </w:rPr>
        <w:t xml:space="preserve">בערך הנקלט בכניסה. אנו מעוניינים בערך המוחלט של תוצאת החיסור כדי לבדוק את השוני של ערך זה עם אפס. </w:t>
      </w:r>
      <w:r w:rsidR="00D20019">
        <w:rPr>
          <w:rFonts w:hint="cs"/>
          <w:rtl/>
        </w:rPr>
        <w:t xml:space="preserve">לכן, במידה ותוצאת החיסור שלילית, אנו מבצעים לה ערך מוחלט על ידי "ביצוע הדרך ההפוכה" לפי שיטת המשלים ל </w:t>
      </w:r>
      <w:r w:rsidR="00D20019">
        <w:rPr>
          <w:rtl/>
        </w:rPr>
        <w:t>–</w:t>
      </w:r>
      <w:r w:rsidR="00D20019">
        <w:rPr>
          <w:rFonts w:hint="cs"/>
          <w:rtl/>
        </w:rPr>
        <w:t xml:space="preserve"> 2 (מחסרים 1 ומ</w:t>
      </w:r>
      <w:r w:rsidR="00830FCF">
        <w:rPr>
          <w:rFonts w:hint="cs"/>
          <w:rtl/>
        </w:rPr>
        <w:t>בצ</w:t>
      </w:r>
      <w:r w:rsidR="00D20019">
        <w:rPr>
          <w:rFonts w:hint="cs"/>
          <w:rtl/>
        </w:rPr>
        <w:t>עים היפוך לסיביות).</w:t>
      </w:r>
      <w:r w:rsidR="00EB66D2">
        <w:rPr>
          <w:rFonts w:hint="cs"/>
          <w:rtl/>
        </w:rPr>
        <w:t xml:space="preserve"> </w:t>
      </w:r>
    </w:p>
    <w:p w14:paraId="0217E71E" w14:textId="27C5056C" w:rsidR="00EB66D2" w:rsidRDefault="00EB66D2" w:rsidP="004D57B9">
      <w:pPr>
        <w:rPr>
          <w:rtl/>
        </w:rPr>
      </w:pPr>
      <w:r>
        <w:rPr>
          <w:rFonts w:hint="cs"/>
          <w:rtl/>
        </w:rPr>
        <w:t xml:space="preserve">מתבצעת השוואה של תוצאת החיסור </w:t>
      </w:r>
      <w:r w:rsidR="00131C7D">
        <w:rPr>
          <w:rFonts w:hint="cs"/>
          <w:rtl/>
        </w:rPr>
        <w:t xml:space="preserve">בערך מוחלט עם 20 </w:t>
      </w:r>
      <w:r w:rsidR="00131C7D">
        <w:rPr>
          <w:rtl/>
        </w:rPr>
        <w:t>–</w:t>
      </w:r>
      <w:r w:rsidR="00131C7D">
        <w:rPr>
          <w:rFonts w:hint="cs"/>
          <w:rtl/>
        </w:rPr>
        <w:t xml:space="preserve"> זהו טווח הטעות שאנו מאפשרים למערכת</w:t>
      </w:r>
      <w:r w:rsidR="008216F1">
        <w:rPr>
          <w:rFonts w:hint="cs"/>
          <w:rtl/>
        </w:rPr>
        <w:t xml:space="preserve"> לצורך קביעה האם שני ערכים שווים ומעידים על נגזרת השווה לאפס. במידה והנגזרת "שווה לאפס" (קטנה מטווח הטעות </w:t>
      </w:r>
      <w:r w:rsidR="008216F1">
        <w:rPr>
          <w:rtl/>
        </w:rPr>
        <w:t>–</w:t>
      </w:r>
      <w:r w:rsidR="008216F1">
        <w:rPr>
          <w:rFonts w:hint="cs"/>
          <w:rtl/>
        </w:rPr>
        <w:t xml:space="preserve"> 20), אנו קוראים לפונקציה שפולטת במוצא את הערך א</w:t>
      </w:r>
      <w:r w:rsidR="00D94869">
        <w:rPr>
          <w:rFonts w:hint="cs"/>
          <w:rtl/>
        </w:rPr>
        <w:t xml:space="preserve">פס, וכאשר מתקיים "אי שוויון לאפס" אנו קוראים לפונקציה </w:t>
      </w:r>
      <w:r w:rsidR="00AB7DEF">
        <w:rPr>
          <w:rFonts w:hint="cs"/>
          <w:rtl/>
        </w:rPr>
        <w:t xml:space="preserve">הפולטת במוצא את הערך 1. </w:t>
      </w:r>
      <w:r w:rsidR="00436C3E">
        <w:rPr>
          <w:rFonts w:hint="cs"/>
          <w:rtl/>
        </w:rPr>
        <w:t xml:space="preserve">אנו מבצעים איפוס לרגיסטר 7 (המונה), </w:t>
      </w:r>
      <w:r w:rsidR="000F3327">
        <w:rPr>
          <w:rFonts w:hint="cs"/>
          <w:rtl/>
        </w:rPr>
        <w:t>וחוזרים ללולאה, וכך כל התהליך חוזר חלילה.</w:t>
      </w:r>
    </w:p>
    <w:p w14:paraId="3ED9298D" w14:textId="4075D943" w:rsidR="00FE1C0E" w:rsidRDefault="00904204" w:rsidP="004D57B9">
      <w:pPr>
        <w:rPr>
          <w:rtl/>
        </w:rPr>
      </w:pPr>
      <w:r>
        <w:rPr>
          <w:rtl/>
        </w:rPr>
        <w:br/>
      </w:r>
      <w:r w:rsidR="0001556B">
        <w:rPr>
          <w:rtl/>
        </w:rPr>
        <w:br/>
      </w:r>
    </w:p>
    <w:p w14:paraId="01C38C63" w14:textId="5C13B65D" w:rsidR="004D57B9" w:rsidRPr="004D57B9" w:rsidRDefault="004D57B9" w:rsidP="004D57B9">
      <w:pPr>
        <w:rPr>
          <w:rtl/>
        </w:rPr>
      </w:pPr>
      <w:r>
        <w:rPr>
          <w:rtl/>
        </w:rPr>
        <w:lastRenderedPageBreak/>
        <w:br/>
      </w:r>
    </w:p>
    <w:sectPr w:rsidR="004D57B9" w:rsidRPr="004D57B9" w:rsidSect="003672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B9"/>
    <w:rsid w:val="0001556B"/>
    <w:rsid w:val="00060200"/>
    <w:rsid w:val="000E2412"/>
    <w:rsid w:val="000F3327"/>
    <w:rsid w:val="000F4270"/>
    <w:rsid w:val="00123B42"/>
    <w:rsid w:val="00131C7D"/>
    <w:rsid w:val="00186455"/>
    <w:rsid w:val="0022786E"/>
    <w:rsid w:val="00284887"/>
    <w:rsid w:val="003313AE"/>
    <w:rsid w:val="00367086"/>
    <w:rsid w:val="0036721A"/>
    <w:rsid w:val="003C7F8D"/>
    <w:rsid w:val="00412BED"/>
    <w:rsid w:val="00436C3E"/>
    <w:rsid w:val="004676CC"/>
    <w:rsid w:val="00496D77"/>
    <w:rsid w:val="004C5A1A"/>
    <w:rsid w:val="004D57B9"/>
    <w:rsid w:val="004F351E"/>
    <w:rsid w:val="005D2A8D"/>
    <w:rsid w:val="005F4829"/>
    <w:rsid w:val="00623018"/>
    <w:rsid w:val="006325C0"/>
    <w:rsid w:val="006801B4"/>
    <w:rsid w:val="00683F63"/>
    <w:rsid w:val="00687B72"/>
    <w:rsid w:val="006B603B"/>
    <w:rsid w:val="006D6E5E"/>
    <w:rsid w:val="006E21C7"/>
    <w:rsid w:val="00730229"/>
    <w:rsid w:val="008216F1"/>
    <w:rsid w:val="00830FCF"/>
    <w:rsid w:val="00882F9C"/>
    <w:rsid w:val="008958AB"/>
    <w:rsid w:val="00904204"/>
    <w:rsid w:val="0094737B"/>
    <w:rsid w:val="00A2508A"/>
    <w:rsid w:val="00A82DF7"/>
    <w:rsid w:val="00AB7DEF"/>
    <w:rsid w:val="00B31CC4"/>
    <w:rsid w:val="00B75BDE"/>
    <w:rsid w:val="00BF4BF8"/>
    <w:rsid w:val="00C808E2"/>
    <w:rsid w:val="00C8716D"/>
    <w:rsid w:val="00D14658"/>
    <w:rsid w:val="00D20019"/>
    <w:rsid w:val="00D94869"/>
    <w:rsid w:val="00DE106B"/>
    <w:rsid w:val="00E03264"/>
    <w:rsid w:val="00EB66D2"/>
    <w:rsid w:val="00EC35D8"/>
    <w:rsid w:val="00EE069F"/>
    <w:rsid w:val="00F21321"/>
    <w:rsid w:val="00F61CCB"/>
    <w:rsid w:val="00F62A69"/>
    <w:rsid w:val="00F76862"/>
    <w:rsid w:val="00FE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E28A"/>
  <w15:chartTrackingRefBased/>
  <w15:docId w15:val="{C60F65C9-F6B6-4688-AA4C-7CF138B8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5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7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tencer</dc:creator>
  <cp:keywords/>
  <dc:description/>
  <cp:lastModifiedBy>carmi frank</cp:lastModifiedBy>
  <cp:revision>2</cp:revision>
  <cp:lastPrinted>2025-01-23T11:39:00Z</cp:lastPrinted>
  <dcterms:created xsi:type="dcterms:W3CDTF">2025-01-23T12:19:00Z</dcterms:created>
  <dcterms:modified xsi:type="dcterms:W3CDTF">2025-01-23T12:19:00Z</dcterms:modified>
</cp:coreProperties>
</file>