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BELL OF SILENCE</w:t>
      </w:r>
    </w:p>
    <w:p>
      <w:pPr>
        <w:pStyle w:val="Subtitle"/>
        <w:jc w:val="center"/>
      </w:pPr>
      <w:r>
        <w:t>Crowdfunding Campaign Foundation v1.0 | Spoiler-Light | 18 July 2026</w:t>
      </w:r>
    </w:p>
    <w:p>
      <w:pPr>
        <w:jc w:val="center"/>
      </w:pPr>
      <w:r>
        <w:rPr>
          <w:b/>
          <w:color w:val="5A6970"/>
          <w:sz w:val="17"/>
        </w:rPr>
        <w:t>Aurelion Project | Aurefold | Book One</w:t>
      </w:r>
    </w:p>
    <w:p/>
    <w:p>
      <w:pPr>
        <w:pStyle w:val="Heading1"/>
      </w:pPr>
      <w:r>
        <w:t>1. Campaign core</w:t>
      </w:r>
    </w:p>
    <w:p>
      <w:pPr>
        <w:pStyle w:val="Heading2"/>
      </w:pPr>
      <w:r>
        <w:t>One-sentence pitch</w:t>
      </w:r>
    </w:p>
    <w:p>
      <w:r>
        <w:t>A goatherd who cannot prove she hears anything becomes the sacred answer an entire society needs—and must escape before other people’s certainty turns her silence into law.</w:t>
      </w:r>
    </w:p>
    <w:p>
      <w:pPr>
        <w:pStyle w:val="Heading2"/>
      </w:pPr>
      <w:r>
        <w:t>Short campaign pitch</w:t>
      </w:r>
    </w:p>
    <w:p>
      <w:r>
        <w:t>The Bell of Silence is a literary political fantasy about faith, records, hunger, and the human cost of being turned into a symbol. In Aurefold, magic is never objectively confirmed, history is always contested, and no Great House is simply evil. Book One follows Sela of the Light Heights as Whitehart tries to decide whether her uncertain experience is a sacred voice—and discovers that an unfinished judgment can still control a life.</w:t>
      </w:r>
    </w:p>
    <w:p>
      <w:pPr>
        <w:pStyle w:val="Heading2"/>
      </w:pPr>
      <w:r>
        <w:t>Campaign promise</w:t>
      </w:r>
    </w:p>
    <w:p>
      <w:r>
        <w:t>Backers are funding the professional production of a completed, copyedited novel: final human proofreading, cover and interior design, print setup, fulfillment preparation, and a durable launch for the wider Aurefold series.</w:t>
      </w:r>
    </w:p>
    <w:p>
      <w:pPr>
        <w:pStyle w:val="Heading1"/>
      </w:pPr>
      <w:r>
        <w:t>2. Reader positioning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D9E5E9"/>
            <w:vAlign w:val="center"/>
          </w:tcPr>
          <w:p>
            <w:pPr>
              <w:jc w:val="center"/>
            </w:pPr>
            <w:r>
              <w:rPr>
                <w:b/>
                <w:sz w:val="16"/>
              </w:rPr>
              <w:t>Field</w:t>
            </w:r>
          </w:p>
        </w:tc>
        <w:tc>
          <w:tcPr>
            <w:tcW w:type="dxa" w:w="9360"/>
            <w:shd w:fill="D9E5E9"/>
            <w:vAlign w:val="center"/>
          </w:tcPr>
          <w:p>
            <w:pPr>
              <w:jc w:val="center"/>
            </w:pPr>
            <w:r>
              <w:rPr>
                <w:b/>
                <w:sz w:val="16"/>
              </w:rPr>
              <w:t>Campaign position</w:t>
            </w:r>
          </w:p>
        </w:tc>
      </w:tr>
      <w:tr>
        <w:tc>
          <w:tcPr>
            <w:tcW w:type="dxa" w:w="2304"/>
            <w:vAlign w:val="top"/>
          </w:tcPr>
          <w:p>
            <w:r>
              <w:rPr>
                <w:sz w:val="16"/>
              </w:rPr>
              <w:t>Primary audience</w:t>
            </w:r>
          </w:p>
        </w:tc>
        <w:tc>
          <w:tcPr>
            <w:tcW w:type="dxa" w:w="9360"/>
            <w:vAlign w:val="top"/>
          </w:tcPr>
          <w:p>
            <w:r>
              <w:rPr>
                <w:sz w:val="16"/>
              </w:rPr>
              <w:t>Readers of literary, political, and morally complex fantasy; readers who value character, institutions, and contested history over simple magic systems.</w:t>
            </w:r>
          </w:p>
        </w:tc>
      </w:tr>
      <w:tr>
        <w:tc>
          <w:tcPr>
            <w:tcW w:type="dxa" w:w="2304"/>
            <w:vAlign w:val="top"/>
          </w:tcPr>
          <w:p>
            <w:r>
              <w:rPr>
                <w:sz w:val="16"/>
              </w:rPr>
              <w:t>Core differentiator</w:t>
            </w:r>
          </w:p>
        </w:tc>
        <w:tc>
          <w:tcPr>
            <w:tcW w:type="dxa" w:w="9360"/>
            <w:vAlign w:val="top"/>
          </w:tcPr>
          <w:p>
            <w:r>
              <w:rPr>
                <w:sz w:val="16"/>
              </w:rPr>
              <w:t>A fantasy crisis driven by classification, records, food, roads, and belief rather than a singular dark lord or objectively proven prophecy.</w:t>
            </w:r>
          </w:p>
        </w:tc>
      </w:tr>
      <w:tr>
        <w:tc>
          <w:tcPr>
            <w:tcW w:type="dxa" w:w="2304"/>
            <w:vAlign w:val="top"/>
          </w:tcPr>
          <w:p>
            <w:r>
              <w:rPr>
                <w:sz w:val="16"/>
              </w:rPr>
              <w:t>Emotional promise</w:t>
            </w:r>
          </w:p>
        </w:tc>
        <w:tc>
          <w:tcPr>
            <w:tcW w:type="dxa" w:w="9360"/>
            <w:vAlign w:val="top"/>
          </w:tcPr>
          <w:p>
            <w:r>
              <w:rPr>
                <w:sz w:val="16"/>
              </w:rPr>
              <w:t>Readers should remember Sela, Fen, Alaine, Tomas, Perrin, Wren, Harl, and Tam as people whose choices survive the plot.</w:t>
            </w:r>
          </w:p>
        </w:tc>
      </w:tr>
      <w:tr>
        <w:tc>
          <w:tcPr>
            <w:tcW w:type="dxa" w:w="2304"/>
            <w:vAlign w:val="top"/>
          </w:tcPr>
          <w:p>
            <w:r>
              <w:rPr>
                <w:sz w:val="16"/>
              </w:rPr>
              <w:t>Accessibility note</w:t>
            </w:r>
          </w:p>
        </w:tc>
        <w:tc>
          <w:tcPr>
            <w:tcW w:type="dxa" w:w="9360"/>
            <w:vAlign w:val="top"/>
          </w:tcPr>
          <w:p>
            <w:r>
              <w:rPr>
                <w:sz w:val="16"/>
              </w:rPr>
              <w:t>The novel is complete at approximately 86,000 words; a final commercial pacing pass has tightened its infrastructure-heavy middle.</w:t>
            </w:r>
          </w:p>
        </w:tc>
      </w:tr>
      <w:tr>
        <w:tc>
          <w:tcPr>
            <w:tcW w:type="dxa" w:w="2304"/>
            <w:vAlign w:val="top"/>
          </w:tcPr>
          <w:p>
            <w:r>
              <w:rPr>
                <w:sz w:val="16"/>
              </w:rPr>
              <w:t>Avoid claiming</w:t>
            </w:r>
          </w:p>
        </w:tc>
        <w:tc>
          <w:tcPr>
            <w:tcW w:type="dxa" w:w="9360"/>
            <w:vAlign w:val="top"/>
          </w:tcPr>
          <w:p>
            <w:r>
              <w:rPr>
                <w:sz w:val="16"/>
              </w:rPr>
              <w:t>Do not market it as action-led epic fantasy, a solved magic mystery, or a chosen-one triumph.</w:t>
            </w:r>
          </w:p>
        </w:tc>
      </w:tr>
    </w:tbl>
    <w:p/>
    <w:p>
      <w:pPr>
        <w:pStyle w:val="Heading1"/>
      </w:pPr>
      <w:r>
        <w:t>3. Spoiler-light descriptions</w:t>
      </w:r>
    </w:p>
    <w:p>
      <w:pPr>
        <w:pStyle w:val="Heading2"/>
      </w:pPr>
      <w:r>
        <w:t>50 words</w:t>
      </w:r>
    </w:p>
    <w:p>
      <w:r>
        <w:t>Sela cannot prove the silence speaks to her. Whitehart cannot survive without deciding what her uncertainty means. As pilgrims, chroniclers, workers, and the hungry climb the mountain, one unfinished judgment becomes a crisis of faith, law, memory, and food—and Sela must choose whether refusal can still be freedom.</w:t>
      </w:r>
    </w:p>
    <w:p>
      <w:pPr>
        <w:pStyle w:val="Heading2"/>
      </w:pPr>
      <w:r>
        <w:t>150 words</w:t>
      </w:r>
    </w:p>
    <w:p>
      <w:r>
        <w:t>In the Light Heights, House Whitehart tests those believed to hear sacred guidance. Its judgments shape marriage, inheritance, office, and belonging. Sela, a practical young goatherd, offers them nothing clean: no words, no prophecy, only a direction she cannot verify. The house leaves her trial unfinished. The world does not. Pilgrims turn her ordinary acts into signs. A Blackcrest collector arrives to preserve what Whitehart burns. An Unwritten worker discovers that being noticed can be another form of ownership. As thaw, hunger, and a growing settlement press against the mountain gate, every institution finds a defensible use for Sela’s uncertainty. The Bell of Silence is the first Aurefold novel: a character-driven fantasy about faith without proof, history without objectivity, and the people who pay for what official records leave blank.</w:t>
      </w:r>
    </w:p>
    <w:p>
      <w:pPr>
        <w:pStyle w:val="Heading1"/>
      </w:pPr>
      <w:r>
        <w:t>4. Recommended reward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5E9"/>
            <w:vAlign w:val="center"/>
          </w:tcPr>
          <w:p>
            <w:pPr>
              <w:jc w:val="center"/>
            </w:pPr>
            <w:r>
              <w:rPr>
                <w:b/>
                <w:sz w:val="16"/>
              </w:rPr>
              <w:t>Tier concept</w:t>
            </w:r>
          </w:p>
        </w:tc>
        <w:tc>
          <w:tcPr>
            <w:tcW w:type="dxa" w:w="8928"/>
            <w:shd w:fill="D9E5E9"/>
            <w:vAlign w:val="center"/>
          </w:tcPr>
          <w:p>
            <w:pPr>
              <w:jc w:val="center"/>
            </w:pPr>
            <w:r>
              <w:rPr>
                <w:b/>
                <w:sz w:val="16"/>
              </w:rPr>
              <w:t>Deliverables</w:t>
            </w:r>
          </w:p>
        </w:tc>
      </w:tr>
      <w:tr>
        <w:tc>
          <w:tcPr>
            <w:tcW w:type="dxa" w:w="2880"/>
            <w:vAlign w:val="top"/>
          </w:tcPr>
          <w:p>
            <w:r>
              <w:rPr>
                <w:sz w:val="16"/>
              </w:rPr>
              <w:t>Digital Reader</w:t>
            </w:r>
          </w:p>
        </w:tc>
        <w:tc>
          <w:tcPr>
            <w:tcW w:type="dxa" w:w="8928"/>
            <w:vAlign w:val="top"/>
          </w:tcPr>
          <w:p>
            <w:r>
              <w:rPr>
                <w:sz w:val="16"/>
              </w:rPr>
              <w:t>EPUB/PDF edition; backer updates; digital thanks.</w:t>
            </w:r>
          </w:p>
        </w:tc>
      </w:tr>
      <w:tr>
        <w:tc>
          <w:tcPr>
            <w:tcW w:type="dxa" w:w="2880"/>
            <w:vAlign w:val="top"/>
          </w:tcPr>
          <w:p>
            <w:r>
              <w:rPr>
                <w:sz w:val="16"/>
              </w:rPr>
              <w:t>Paperback</w:t>
            </w:r>
          </w:p>
        </w:tc>
        <w:tc>
          <w:tcPr>
            <w:tcW w:type="dxa" w:w="8928"/>
            <w:vAlign w:val="top"/>
          </w:tcPr>
          <w:p>
            <w:r>
              <w:rPr>
                <w:sz w:val="16"/>
              </w:rPr>
              <w:t>Printed paperback plus digital edition.</w:t>
            </w:r>
          </w:p>
        </w:tc>
      </w:tr>
      <w:tr>
        <w:tc>
          <w:tcPr>
            <w:tcW w:type="dxa" w:w="2880"/>
            <w:vAlign w:val="top"/>
          </w:tcPr>
          <w:p>
            <w:r>
              <w:rPr>
                <w:sz w:val="16"/>
              </w:rPr>
              <w:t>Signed First Printing</w:t>
            </w:r>
          </w:p>
        </w:tc>
        <w:tc>
          <w:tcPr>
            <w:tcW w:type="dxa" w:w="8928"/>
            <w:vAlign w:val="top"/>
          </w:tcPr>
          <w:p>
            <w:r>
              <w:rPr>
                <w:sz w:val="16"/>
              </w:rPr>
              <w:t>Signed paperback or hardcover; numbered bookplate rather than canonized backer name.</w:t>
            </w:r>
          </w:p>
        </w:tc>
      </w:tr>
      <w:tr>
        <w:tc>
          <w:tcPr>
            <w:tcW w:type="dxa" w:w="2880"/>
            <w:vAlign w:val="top"/>
          </w:tcPr>
          <w:p>
            <w:r>
              <w:rPr>
                <w:sz w:val="16"/>
              </w:rPr>
              <w:t>Archive Edition</w:t>
            </w:r>
          </w:p>
        </w:tc>
        <w:tc>
          <w:tcPr>
            <w:tcW w:type="dxa" w:w="8928"/>
            <w:vAlign w:val="top"/>
          </w:tcPr>
          <w:p>
            <w:r>
              <w:rPr>
                <w:sz w:val="16"/>
              </w:rPr>
              <w:t>Hardcover, digital continuity booklet, and selected facsimile-style in-world record pages.</w:t>
            </w:r>
          </w:p>
        </w:tc>
      </w:tr>
      <w:tr>
        <w:tc>
          <w:tcPr>
            <w:tcW w:type="dxa" w:w="2880"/>
            <w:vAlign w:val="top"/>
          </w:tcPr>
          <w:p>
            <w:r>
              <w:rPr>
                <w:sz w:val="16"/>
              </w:rPr>
              <w:t>Founding Reader</w:t>
            </w:r>
          </w:p>
        </w:tc>
        <w:tc>
          <w:tcPr>
            <w:tcW w:type="dxa" w:w="8928"/>
            <w:vAlign w:val="top"/>
          </w:tcPr>
          <w:p>
            <w:r>
              <w:rPr>
                <w:sz w:val="16"/>
              </w:rPr>
              <w:t>Archive Edition plus online group discussion/Q&amp;A and acknowledgement page, subject to privacy consent.</w:t>
            </w:r>
          </w:p>
        </w:tc>
      </w:tr>
      <w:tr>
        <w:tc>
          <w:tcPr>
            <w:tcW w:type="dxa" w:w="2880"/>
            <w:vAlign w:val="top"/>
          </w:tcPr>
          <w:p>
            <w:r>
              <w:rPr>
                <w:sz w:val="16"/>
              </w:rPr>
              <w:t>Patron of the Road</w:t>
            </w:r>
          </w:p>
        </w:tc>
        <w:tc>
          <w:tcPr>
            <w:tcW w:type="dxa" w:w="8928"/>
            <w:vAlign w:val="top"/>
          </w:tcPr>
          <w:p>
            <w:r>
              <w:rPr>
                <w:sz w:val="16"/>
              </w:rPr>
              <w:t>Limited high tier with signed set, development seminar, and campaign credit; no right to create canon, name Houses, or solve mysteries.</w:t>
            </w:r>
          </w:p>
        </w:tc>
      </w:tr>
    </w:tbl>
    <w:p/>
    <w:p>
      <w:pPr>
        <w:pStyle w:val="Heading1"/>
      </w:pPr>
      <w:r>
        <w:t>5. Stretch goals that protect the novel</w:t>
      </w:r>
    </w:p>
    <w:p>
      <w:pPr>
        <w:pStyle w:val="ListBullet"/>
      </w:pPr>
      <w:r>
        <w:t>Professional map designed with date, maker, purpose, and explicit omissions.</w:t>
      </w:r>
    </w:p>
    <w:p>
      <w:pPr>
        <w:pStyle w:val="ListBullet"/>
      </w:pPr>
      <w:r>
        <w:t>Character portrait set or institutional object art.</w:t>
      </w:r>
    </w:p>
    <w:p>
      <w:pPr>
        <w:pStyle w:val="ListBullet"/>
      </w:pPr>
      <w:r>
        <w:t>Professionally produced audiobook sample, then full audiobook only if budget supports complete delivery.</w:t>
      </w:r>
    </w:p>
    <w:p>
      <w:pPr>
        <w:pStyle w:val="ListBullet"/>
      </w:pPr>
      <w:r>
        <w:t>Digital Book One continuity companion after publication, with spoilers clearly gated.</w:t>
      </w:r>
    </w:p>
    <w:p>
      <w:pPr>
        <w:pStyle w:val="ListBullet"/>
      </w:pPr>
      <w:r>
        <w:t>Additional language sample or accessibility edition.</w:t>
      </w:r>
    </w:p>
    <w:p>
      <w:pPr>
        <w:pStyle w:val="ListBullet"/>
      </w:pPr>
      <w:r>
        <w:t>Never use a stretch goal to add a “true” magic explanation, definitive Eleventh answer, or backer-controlled canon.</w:t>
      </w:r>
    </w:p>
    <w:p>
      <w:pPr>
        <w:pStyle w:val="Heading1"/>
      </w:pPr>
      <w:r>
        <w:t>6. Budget framework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D9E5E9"/>
            <w:vAlign w:val="center"/>
          </w:tcPr>
          <w:p>
            <w:pPr>
              <w:jc w:val="center"/>
            </w:pPr>
            <w:r>
              <w:rPr>
                <w:b/>
                <w:sz w:val="16"/>
              </w:rPr>
              <w:t>Cost area</w:t>
            </w:r>
          </w:p>
        </w:tc>
        <w:tc>
          <w:tcPr>
            <w:tcW w:type="dxa" w:w="2016"/>
            <w:shd w:fill="D9E5E9"/>
            <w:vAlign w:val="center"/>
          </w:tcPr>
          <w:p>
            <w:pPr>
              <w:jc w:val="center"/>
            </w:pPr>
            <w:r>
              <w:rPr>
                <w:b/>
                <w:sz w:val="16"/>
              </w:rPr>
              <w:t>Input</w:t>
            </w:r>
          </w:p>
        </w:tc>
        <w:tc>
          <w:tcPr>
            <w:tcW w:type="dxa" w:w="6480"/>
            <w:shd w:fill="D9E5E9"/>
            <w:vAlign w:val="center"/>
          </w:tcPr>
          <w:p>
            <w:pPr>
              <w:jc w:val="center"/>
            </w:pPr>
            <w:r>
              <w:rPr>
                <w:b/>
                <w:sz w:val="16"/>
              </w:rPr>
              <w:t>Control</w:t>
            </w:r>
          </w:p>
        </w:tc>
      </w:tr>
      <w:tr>
        <w:tc>
          <w:tcPr>
            <w:tcW w:type="dxa" w:w="3312"/>
            <w:vAlign w:val="top"/>
          </w:tcPr>
          <w:p>
            <w:r>
              <w:rPr>
                <w:sz w:val="16"/>
              </w:rPr>
              <w:t>Human proofreading</w:t>
            </w:r>
          </w:p>
        </w:tc>
        <w:tc>
          <w:tcPr>
            <w:tcW w:type="dxa" w:w="2016"/>
            <w:vAlign w:val="top"/>
          </w:tcPr>
          <w:p>
            <w:r>
              <w:rPr>
                <w:sz w:val="16"/>
              </w:rPr>
              <w:t>Quote required</w:t>
            </w:r>
          </w:p>
        </w:tc>
        <w:tc>
          <w:tcPr>
            <w:tcW w:type="dxa" w:w="6480"/>
            <w:vAlign w:val="top"/>
          </w:tcPr>
          <w:p>
            <w:r>
              <w:rPr>
                <w:sz w:val="16"/>
              </w:rPr>
              <w:t>Final spelling, grammar, and typographic proof after layout.</w:t>
            </w:r>
          </w:p>
        </w:tc>
      </w:tr>
      <w:tr>
        <w:tc>
          <w:tcPr>
            <w:tcW w:type="dxa" w:w="3312"/>
            <w:vAlign w:val="top"/>
          </w:tcPr>
          <w:p>
            <w:r>
              <w:rPr>
                <w:sz w:val="16"/>
              </w:rPr>
              <w:t>Cover design and illustration</w:t>
            </w:r>
          </w:p>
        </w:tc>
        <w:tc>
          <w:tcPr>
            <w:tcW w:type="dxa" w:w="2016"/>
            <w:vAlign w:val="top"/>
          </w:tcPr>
          <w:p>
            <w:r>
              <w:rPr>
                <w:sz w:val="16"/>
              </w:rPr>
              <w:t>Quote required</w:t>
            </w:r>
          </w:p>
        </w:tc>
        <w:tc>
          <w:tcPr>
            <w:tcW w:type="dxa" w:w="6480"/>
            <w:vAlign w:val="top"/>
          </w:tcPr>
          <w:p>
            <w:r>
              <w:rPr>
                <w:sz w:val="16"/>
              </w:rPr>
              <w:t>Commercial fantasy package with strong thumbnail performance.</w:t>
            </w:r>
          </w:p>
        </w:tc>
      </w:tr>
      <w:tr>
        <w:tc>
          <w:tcPr>
            <w:tcW w:type="dxa" w:w="3312"/>
            <w:vAlign w:val="top"/>
          </w:tcPr>
          <w:p>
            <w:r>
              <w:rPr>
                <w:sz w:val="16"/>
              </w:rPr>
              <w:t>Interior design / typesetting</w:t>
            </w:r>
          </w:p>
        </w:tc>
        <w:tc>
          <w:tcPr>
            <w:tcW w:type="dxa" w:w="2016"/>
            <w:vAlign w:val="top"/>
          </w:tcPr>
          <w:p>
            <w:r>
              <w:rPr>
                <w:sz w:val="16"/>
              </w:rPr>
              <w:t>Quote required</w:t>
            </w:r>
          </w:p>
        </w:tc>
        <w:tc>
          <w:tcPr>
            <w:tcW w:type="dxa" w:w="6480"/>
            <w:vAlign w:val="top"/>
          </w:tcPr>
          <w:p>
            <w:r>
              <w:rPr>
                <w:sz w:val="16"/>
              </w:rPr>
              <w:t>Print and ebook files; chapter ornaments optional.</w:t>
            </w:r>
          </w:p>
        </w:tc>
      </w:tr>
      <w:tr>
        <w:tc>
          <w:tcPr>
            <w:tcW w:type="dxa" w:w="3312"/>
            <w:vAlign w:val="top"/>
          </w:tcPr>
          <w:p>
            <w:r>
              <w:rPr>
                <w:sz w:val="16"/>
              </w:rPr>
              <w:t>ISBN / print setup / proofs</w:t>
            </w:r>
          </w:p>
        </w:tc>
        <w:tc>
          <w:tcPr>
            <w:tcW w:type="dxa" w:w="2016"/>
            <w:vAlign w:val="top"/>
          </w:tcPr>
          <w:p>
            <w:r>
              <w:rPr>
                <w:sz w:val="16"/>
              </w:rPr>
              <w:t>Local cost</w:t>
            </w:r>
          </w:p>
        </w:tc>
        <w:tc>
          <w:tcPr>
            <w:tcW w:type="dxa" w:w="6480"/>
            <w:vAlign w:val="top"/>
          </w:tcPr>
          <w:p>
            <w:r>
              <w:rPr>
                <w:sz w:val="16"/>
              </w:rPr>
              <w:t>Depends on platform and territory.</w:t>
            </w:r>
          </w:p>
        </w:tc>
      </w:tr>
      <w:tr>
        <w:tc>
          <w:tcPr>
            <w:tcW w:type="dxa" w:w="3312"/>
            <w:vAlign w:val="top"/>
          </w:tcPr>
          <w:p>
            <w:r>
              <w:rPr>
                <w:sz w:val="16"/>
              </w:rPr>
              <w:t>Printing and fulfillment</w:t>
            </w:r>
          </w:p>
        </w:tc>
        <w:tc>
          <w:tcPr>
            <w:tcW w:type="dxa" w:w="2016"/>
            <w:vAlign w:val="top"/>
          </w:tcPr>
          <w:p>
            <w:r>
              <w:rPr>
                <w:sz w:val="16"/>
              </w:rPr>
              <w:t>Per-unit quotes</w:t>
            </w:r>
          </w:p>
        </w:tc>
        <w:tc>
          <w:tcPr>
            <w:tcW w:type="dxa" w:w="6480"/>
            <w:vAlign w:val="top"/>
          </w:tcPr>
          <w:p>
            <w:r>
              <w:rPr>
                <w:sz w:val="16"/>
              </w:rPr>
              <w:t>Include packaging, damaged-copy reserve, taxes, and shipping volatility.</w:t>
            </w:r>
          </w:p>
        </w:tc>
      </w:tr>
      <w:tr>
        <w:tc>
          <w:tcPr>
            <w:tcW w:type="dxa" w:w="3312"/>
            <w:vAlign w:val="top"/>
          </w:tcPr>
          <w:p>
            <w:r>
              <w:rPr>
                <w:sz w:val="16"/>
              </w:rPr>
              <w:t>Platform and payment fees</w:t>
            </w:r>
          </w:p>
        </w:tc>
        <w:tc>
          <w:tcPr>
            <w:tcW w:type="dxa" w:w="2016"/>
            <w:vAlign w:val="top"/>
          </w:tcPr>
          <w:p>
            <w:r>
              <w:rPr>
                <w:sz w:val="16"/>
              </w:rPr>
              <w:t>Percentage reserve</w:t>
            </w:r>
          </w:p>
        </w:tc>
        <w:tc>
          <w:tcPr>
            <w:tcW w:type="dxa" w:w="6480"/>
            <w:vAlign w:val="top"/>
          </w:tcPr>
          <w:p>
            <w:r>
              <w:rPr>
                <w:sz w:val="16"/>
              </w:rPr>
              <w:t>Model conservatively.</w:t>
            </w:r>
          </w:p>
        </w:tc>
      </w:tr>
      <w:tr>
        <w:tc>
          <w:tcPr>
            <w:tcW w:type="dxa" w:w="3312"/>
            <w:vAlign w:val="top"/>
          </w:tcPr>
          <w:p>
            <w:r>
              <w:rPr>
                <w:sz w:val="16"/>
              </w:rPr>
              <w:t>Contingency</w:t>
            </w:r>
          </w:p>
        </w:tc>
        <w:tc>
          <w:tcPr>
            <w:tcW w:type="dxa" w:w="2016"/>
            <w:vAlign w:val="top"/>
          </w:tcPr>
          <w:p>
            <w:r>
              <w:rPr>
                <w:sz w:val="16"/>
              </w:rPr>
              <w:t>10–15%</w:t>
            </w:r>
          </w:p>
        </w:tc>
        <w:tc>
          <w:tcPr>
            <w:tcW w:type="dxa" w:w="6480"/>
            <w:vAlign w:val="top"/>
          </w:tcPr>
          <w:p>
            <w:r>
              <w:rPr>
                <w:sz w:val="16"/>
              </w:rPr>
              <w:t>Do not fund stretch art before core book delivery is secured.</w:t>
            </w:r>
          </w:p>
        </w:tc>
      </w:tr>
    </w:tbl>
    <w:p/>
    <w:p>
      <w:pPr>
        <w:pStyle w:val="Heading1"/>
      </w:pPr>
      <w:r>
        <w:t>7. Campaign video script (approximately 90 seconds)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D9E5E9"/>
            <w:vAlign w:val="center"/>
          </w:tcPr>
          <w:p>
            <w:pPr>
              <w:jc w:val="center"/>
            </w:pPr>
            <w:r>
              <w:rPr>
                <w:b/>
                <w:sz w:val="16"/>
              </w:rPr>
              <w:t>Time</w:t>
            </w:r>
          </w:p>
        </w:tc>
        <w:tc>
          <w:tcPr>
            <w:tcW w:type="dxa" w:w="10368"/>
            <w:shd w:fill="D9E5E9"/>
            <w:vAlign w:val="center"/>
          </w:tcPr>
          <w:p>
            <w:pPr>
              <w:jc w:val="center"/>
            </w:pPr>
            <w:r>
              <w:rPr>
                <w:b/>
                <w:sz w:val="16"/>
              </w:rPr>
              <w:t>Content</w:t>
            </w:r>
          </w:p>
        </w:tc>
      </w:tr>
      <w:tr>
        <w:tc>
          <w:tcPr>
            <w:tcW w:type="dxa" w:w="1440"/>
            <w:vAlign w:val="top"/>
          </w:tcPr>
          <w:p>
            <w:r>
              <w:rPr>
                <w:sz w:val="16"/>
              </w:rPr>
              <w:t>0–12 sec</w:t>
            </w:r>
          </w:p>
        </w:tc>
        <w:tc>
          <w:tcPr>
            <w:tcW w:type="dxa" w:w="10368"/>
            <w:vAlign w:val="top"/>
          </w:tcPr>
          <w:p>
            <w:r>
              <w:rPr>
                <w:sz w:val="16"/>
              </w:rPr>
              <w:t>“What happens when a society needs you to be certain—and you are honest enough to say you are not?”</w:t>
            </w:r>
          </w:p>
        </w:tc>
      </w:tr>
      <w:tr>
        <w:tc>
          <w:tcPr>
            <w:tcW w:type="dxa" w:w="1440"/>
            <w:vAlign w:val="top"/>
          </w:tcPr>
          <w:p>
            <w:r>
              <w:rPr>
                <w:sz w:val="16"/>
              </w:rPr>
              <w:t>12–28 sec</w:t>
            </w:r>
          </w:p>
        </w:tc>
        <w:tc>
          <w:tcPr>
            <w:tcW w:type="dxa" w:w="10368"/>
            <w:vAlign w:val="top"/>
          </w:tcPr>
          <w:p>
            <w:r>
              <w:rPr>
                <w:sz w:val="16"/>
              </w:rPr>
              <w:t>Introduce Aurefold, Sela, Whitehart, and the unfinished trial. Show manuscript, mountain imagery, Ledger motif, and Bell silhouette.</w:t>
            </w:r>
          </w:p>
        </w:tc>
      </w:tr>
      <w:tr>
        <w:tc>
          <w:tcPr>
            <w:tcW w:type="dxa" w:w="1440"/>
            <w:vAlign w:val="top"/>
          </w:tcPr>
          <w:p>
            <w:r>
              <w:rPr>
                <w:sz w:val="16"/>
              </w:rPr>
              <w:t>28–48 sec</w:t>
            </w:r>
          </w:p>
        </w:tc>
        <w:tc>
          <w:tcPr>
            <w:tcW w:type="dxa" w:w="10368"/>
            <w:vAlign w:val="top"/>
          </w:tcPr>
          <w:p>
            <w:r>
              <w:rPr>
                <w:sz w:val="16"/>
              </w:rPr>
              <w:t>Explain the completed novel: literary political fantasy, unconfirmed magic, contested history, no simple evil House.</w:t>
            </w:r>
          </w:p>
        </w:tc>
      </w:tr>
      <w:tr>
        <w:tc>
          <w:tcPr>
            <w:tcW w:type="dxa" w:w="1440"/>
            <w:vAlign w:val="top"/>
          </w:tcPr>
          <w:p>
            <w:r>
              <w:rPr>
                <w:sz w:val="16"/>
              </w:rPr>
              <w:t>48–68 sec</w:t>
            </w:r>
          </w:p>
        </w:tc>
        <w:tc>
          <w:tcPr>
            <w:tcW w:type="dxa" w:w="10368"/>
            <w:vAlign w:val="top"/>
          </w:tcPr>
          <w:p>
            <w:r>
              <w:rPr>
                <w:sz w:val="16"/>
              </w:rPr>
              <w:t>Explain what funding covers: proofreading, cover, interior, printing setup, fulfillment, and the foundation for the series.</w:t>
            </w:r>
          </w:p>
        </w:tc>
      </w:tr>
      <w:tr>
        <w:tc>
          <w:tcPr>
            <w:tcW w:type="dxa" w:w="1440"/>
            <w:vAlign w:val="top"/>
          </w:tcPr>
          <w:p>
            <w:r>
              <w:rPr>
                <w:sz w:val="16"/>
              </w:rPr>
              <w:t>68–82 sec</w:t>
            </w:r>
          </w:p>
        </w:tc>
        <w:tc>
          <w:tcPr>
            <w:tcW w:type="dxa" w:w="10368"/>
            <w:vAlign w:val="top"/>
          </w:tcPr>
          <w:p>
            <w:r>
              <w:rPr>
                <w:sz w:val="16"/>
              </w:rPr>
              <w:t>Read one short non-spoiler line or show “Who pays for the blank space?” as campaign motif.</w:t>
            </w:r>
          </w:p>
        </w:tc>
      </w:tr>
      <w:tr>
        <w:tc>
          <w:tcPr>
            <w:tcW w:type="dxa" w:w="1440"/>
            <w:vAlign w:val="top"/>
          </w:tcPr>
          <w:p>
            <w:r>
              <w:rPr>
                <w:sz w:val="16"/>
              </w:rPr>
              <w:t>82–90 sec</w:t>
            </w:r>
          </w:p>
        </w:tc>
        <w:tc>
          <w:tcPr>
            <w:tcW w:type="dxa" w:w="10368"/>
            <w:vAlign w:val="top"/>
          </w:tcPr>
          <w:p>
            <w:r>
              <w:rPr>
                <w:sz w:val="16"/>
              </w:rPr>
              <w:t>Direct invitation: “Help bring The Bell of Silence into print—and become one of the first readers to enter Aurefold.”</w:t>
            </w:r>
          </w:p>
        </w:tc>
      </w:tr>
    </w:tbl>
    <w:p/>
    <w:p>
      <w:pPr>
        <w:pStyle w:val="Heading1"/>
      </w:pPr>
      <w:r>
        <w:t>8. Delivery controls</w:t>
      </w:r>
    </w:p>
    <w:p>
      <w:pPr>
        <w:pStyle w:val="ListBullet"/>
      </w:pPr>
      <w:r>
        <w:t>Crowdfunding should launch only after final human proofreading quotes, print quotes, shipping zones, and tax handling are known.</w:t>
      </w:r>
    </w:p>
    <w:p>
      <w:pPr>
        <w:pStyle w:val="ListBullet"/>
      </w:pPr>
      <w:r>
        <w:t>Set the estimated delivery date from vendor lead times plus contingency, not from an ideal launch date.</w:t>
      </w:r>
    </w:p>
    <w:p>
      <w:pPr>
        <w:pStyle w:val="ListBullet"/>
      </w:pPr>
      <w:r>
        <w:t>Keep reward count and physical variants limited; every edition multiplies proofing and fulfillment risk.</w:t>
      </w:r>
    </w:p>
    <w:p>
      <w:pPr>
        <w:pStyle w:val="ListBullet"/>
      </w:pPr>
      <w:r>
        <w:t>Publish monthly updates even when there is no dramatic news; distinguish manuscript, design, print, freight, and fulfillment stages.</w:t>
      </w:r>
    </w:p>
    <w:p>
      <w:pPr>
        <w:pStyle w:val="ListBullet"/>
      </w:pPr>
      <w:r>
        <w:t>Use the supplied beta packet before final campaign copy so real reader language can replace generic claims.</w:t>
      </w:r>
    </w:p>
    <w:p>
      <w:pPr>
        <w:pStyle w:val="Heading1"/>
      </w:pPr>
      <w:r>
        <w:t>9. Campaign FAQ starters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5E9"/>
            <w:vAlign w:val="center"/>
          </w:tcPr>
          <w:p>
            <w:pPr>
              <w:jc w:val="center"/>
            </w:pPr>
            <w:r>
              <w:rPr>
                <w:b/>
                <w:sz w:val="16"/>
              </w:rPr>
              <w:t>Question</w:t>
            </w:r>
          </w:p>
        </w:tc>
        <w:tc>
          <w:tcPr>
            <w:tcW w:type="dxa" w:w="8640"/>
            <w:shd w:fill="D9E5E9"/>
            <w:vAlign w:val="center"/>
          </w:tcPr>
          <w:p>
            <w:pPr>
              <w:jc w:val="center"/>
            </w:pPr>
            <w:r>
              <w:rPr>
                <w:b/>
                <w:sz w:val="16"/>
              </w:rPr>
              <w:t>Answer</w:t>
            </w:r>
          </w:p>
        </w:tc>
      </w:tr>
      <w:tr>
        <w:tc>
          <w:tcPr>
            <w:tcW w:type="dxa" w:w="3168"/>
            <w:vAlign w:val="top"/>
          </w:tcPr>
          <w:p>
            <w:r>
              <w:rPr>
                <w:sz w:val="16"/>
              </w:rPr>
              <w:t>Is the book finished?</w:t>
            </w:r>
          </w:p>
        </w:tc>
        <w:tc>
          <w:tcPr>
            <w:tcW w:type="dxa" w:w="8640"/>
            <w:vAlign w:val="top"/>
          </w:tcPr>
          <w:p>
            <w:r>
              <w:rPr>
                <w:sz w:val="16"/>
              </w:rPr>
              <w:t>Yes. The development and commercial passes are complete, and Master v2.0 is prepared for external beta reading and final human proofreading.</w:t>
            </w:r>
          </w:p>
        </w:tc>
      </w:tr>
      <w:tr>
        <w:tc>
          <w:tcPr>
            <w:tcW w:type="dxa" w:w="3168"/>
            <w:vAlign w:val="top"/>
          </w:tcPr>
          <w:p>
            <w:r>
              <w:rPr>
                <w:sz w:val="16"/>
              </w:rPr>
              <w:t>Is this a chosen-one story?</w:t>
            </w:r>
          </w:p>
        </w:tc>
        <w:tc>
          <w:tcPr>
            <w:tcW w:type="dxa" w:w="8640"/>
            <w:vAlign w:val="top"/>
          </w:tcPr>
          <w:p>
            <w:r>
              <w:rPr>
                <w:sz w:val="16"/>
              </w:rPr>
              <w:t>No. The story is about what people and institutions do with uncertain signs, not about proving a destined savior.</w:t>
            </w:r>
          </w:p>
        </w:tc>
      </w:tr>
      <w:tr>
        <w:tc>
          <w:tcPr>
            <w:tcW w:type="dxa" w:w="3168"/>
            <w:vAlign w:val="top"/>
          </w:tcPr>
          <w:p>
            <w:r>
              <w:rPr>
                <w:sz w:val="16"/>
              </w:rPr>
              <w:t>Is the magic explained?</w:t>
            </w:r>
          </w:p>
        </w:tc>
        <w:tc>
          <w:tcPr>
            <w:tcW w:type="dxa" w:w="8640"/>
            <w:vAlign w:val="top"/>
          </w:tcPr>
          <w:p>
            <w:r>
              <w:rPr>
                <w:sz w:val="16"/>
              </w:rPr>
              <w:t>No objective magic system is confirmed. Credible human and mystical readings remain open.</w:t>
            </w:r>
          </w:p>
        </w:tc>
      </w:tr>
      <w:tr>
        <w:tc>
          <w:tcPr>
            <w:tcW w:type="dxa" w:w="3168"/>
            <w:vAlign w:val="top"/>
          </w:tcPr>
          <w:p>
            <w:r>
              <w:rPr>
                <w:sz w:val="16"/>
              </w:rPr>
              <w:t>Is this grimdark?</w:t>
            </w:r>
          </w:p>
        </w:tc>
        <w:tc>
          <w:tcPr>
            <w:tcW w:type="dxa" w:w="8640"/>
            <w:vAlign w:val="top"/>
          </w:tcPr>
          <w:p>
            <w:r>
              <w:rPr>
                <w:sz w:val="16"/>
              </w:rPr>
              <w:t>No. The novel is mature and consequential, but not built around shock, nihilism, or cruelty as spectacle.</w:t>
            </w:r>
          </w:p>
        </w:tc>
      </w:tr>
      <w:tr>
        <w:tc>
          <w:tcPr>
            <w:tcW w:type="dxa" w:w="3168"/>
            <w:vAlign w:val="top"/>
          </w:tcPr>
          <w:p>
            <w:r>
              <w:rPr>
                <w:sz w:val="16"/>
              </w:rPr>
              <w:t>Will backers control canon?</w:t>
            </w:r>
          </w:p>
        </w:tc>
        <w:tc>
          <w:tcPr>
            <w:tcW w:type="dxa" w:w="8640"/>
            <w:vAlign w:val="top"/>
          </w:tcPr>
          <w:p>
            <w:r>
              <w:rPr>
                <w:sz w:val="16"/>
              </w:rPr>
              <w:t>No. Rewards may acknowledge supporters, but locked canon and protected mysteries remain under authorial control.</w:t>
            </w:r>
          </w:p>
        </w:tc>
      </w:tr>
      <w:tr>
        <w:tc>
          <w:tcPr>
            <w:tcW w:type="dxa" w:w="3168"/>
            <w:vAlign w:val="top"/>
          </w:tcPr>
          <w:p>
            <w:r>
              <w:rPr>
                <w:sz w:val="16"/>
              </w:rPr>
              <w:t>What is Aurefold?</w:t>
            </w:r>
          </w:p>
        </w:tc>
        <w:tc>
          <w:tcPr>
            <w:tcW w:type="dxa" w:w="8640"/>
            <w:vAlign w:val="top"/>
          </w:tcPr>
          <w:p>
            <w:r>
              <w:rPr>
                <w:sz w:val="16"/>
              </w:rPr>
              <w:t>A continental fantasy series in which each novel enters a different civilization and leadership philosophy through people formed and harmed by it.</w:t>
            </w:r>
          </w:p>
        </w:tc>
      </w:tr>
    </w:tbl>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3A4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05A6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B66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A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6E7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Aurefold Book One Crowdfunding Campaign Foundation v1.0</dc:title>
  <dc:subject>Aurefold Book One continuity and publication control</dc:subject>
  <dc:creator>Aurelion Project</dc:creator>
  <cp:keywords/>
  <dc:description>generated by python-docx</dc:description>
  <cp:lastModifiedBy>Aurelion Project</cp:lastModifiedBy>
  <cp:revision>1</cp:revision>
  <dcterms:created xsi:type="dcterms:W3CDTF">2013-12-23T23:15:00Z</dcterms:created>
  <dcterms:modified xsi:type="dcterms:W3CDTF">2013-12-23T23:15:00Z</dcterms:modified>
  <cp:category/>
</cp:coreProperties>
</file>