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AUREFOLD: NOTEBOOKLM PROJECT BIBLE</w:t>
      </w:r>
    </w:p>
    <w:p>
      <w:pPr>
        <w:pStyle w:val="Subtitle"/>
        <w:jc w:val="center"/>
      </w:pPr>
      <w:r>
        <w:t>Source-grounded guide for podcasts, video overviews, film concepts, and public communication</w:t>
      </w:r>
    </w:p>
    <w:p>
      <w:pPr>
        <w:jc w:val="center"/>
      </w:pPr>
      <w:r>
        <w:rPr>
          <w:i/>
          <w:color w:val="666666"/>
        </w:rPr>
        <w:t>English source document | Internal and public-use sections clearly separated</w:t>
      </w:r>
    </w:p>
    <w:p>
      <w:pPr>
        <w:jc w:val="center"/>
      </w:pPr>
      <w:r>
        <w:rPr>
          <w:color w:val="666666"/>
          <w:sz w:val="17"/>
        </w:rPr>
        <w:t>Authority: Aurefold Constitution v1.8, Canon Ledger v1.8, and The Bell of Silence Master v2.0</w:t>
      </w:r>
    </w:p>
    <w:p/>
    <w:tbl>
      <w:tblPr>
        <w:tblW w:type="auto" w:w="0"/>
        <w:jc w:val="center"/>
        <w:tblLayout w:type="autofit"/>
        <w:tblLook w:firstColumn="1" w:firstRow="1" w:lastColumn="0" w:lastRow="0" w:noHBand="0" w:noVBand="1" w:val="04A0"/>
      </w:tblPr>
      <w:tblGrid>
        <w:gridCol w:w="9994"/>
      </w:tblGrid>
      <w:tr>
        <w:tc>
          <w:tcPr>
            <w:tcW w:type="dxa" w:w="9994"/>
            <w:shd w:fill="EDE8DF"/>
            <w:tcMar>
              <w:top w:w="140" w:type="dxa"/>
              <w:start w:w="160" w:type="dxa"/>
              <w:bottom w:w="140" w:type="dxa"/>
              <w:end w:w="160" w:type="dxa"/>
            </w:tcMar>
          </w:tcPr>
          <w:p>
            <w:r>
              <w:rPr>
                <w:b/>
                <w:color w:val="1E2A38"/>
                <w:sz w:val="22"/>
              </w:rPr>
              <w:t>How to use this source</w:t>
            </w:r>
          </w:p>
          <w:p>
            <w:pPr>
              <w:spacing w:after="0"/>
            </w:pPr>
            <w:r>
              <w:t>Upload this document together with the Constitution v1.8, Canon Ledger v1.8, Book One Character &amp; Knowledge Map, Timeline, and the full Master v2.0. When a conflict appears, the Constitution controls. This document summarizes; it does not create new canon.</w:t>
            </w:r>
          </w:p>
        </w:tc>
      </w:tr>
    </w:tbl>
    <w:p>
      <w:pPr>
        <w:pStyle w:val="Heading1"/>
      </w:pPr>
      <w:r>
        <w:t>1. One-sentence identity</w:t>
      </w:r>
    </w:p>
    <w:p>
      <w:r>
        <w:t>Aurefold is a long-form political fantasy world in which ten human civilizations embody competing philosophies of leadership, history is always contested, and the supernatural remains permanently open to more than one credible interpretation.</w:t>
      </w:r>
    </w:p>
    <w:p>
      <w:pPr>
        <w:pStyle w:val="Heading1"/>
      </w:pPr>
      <w:r>
        <w:t>2. The public-facing hook</w:t>
      </w:r>
    </w:p>
    <w:tbl>
      <w:tblPr>
        <w:tblW w:type="auto" w:w="0"/>
        <w:jc w:val="center"/>
        <w:tblLayout w:type="autofit"/>
        <w:tblLook w:firstColumn="1" w:firstRow="1" w:lastColumn="0" w:lastRow="0" w:noHBand="0" w:noVBand="1" w:val="04A0"/>
      </w:tblPr>
      <w:tblGrid>
        <w:gridCol w:w="9994"/>
      </w:tblGrid>
      <w:tr>
        <w:tc>
          <w:tcPr>
            <w:tcW w:type="dxa" w:w="9994"/>
            <w:shd w:fill="E8EDF2"/>
            <w:tcMar>
              <w:top w:w="140" w:type="dxa"/>
              <w:start w:w="160" w:type="dxa"/>
              <w:bottom w:w="140" w:type="dxa"/>
              <w:end w:w="160" w:type="dxa"/>
            </w:tcMar>
          </w:tcPr>
          <w:p>
            <w:r>
              <w:rPr>
                <w:b/>
                <w:color w:val="1E2A38"/>
                <w:sz w:val="22"/>
              </w:rPr>
              <w:t>Primary campaign line</w:t>
            </w:r>
          </w:p>
          <w:p>
            <w:pPr>
              <w:spacing w:after="0"/>
            </w:pPr>
            <w:r>
              <w:t>A world where every truth has a keeper—and every silence has a cost.</w:t>
            </w:r>
          </w:p>
        </w:tc>
      </w:tr>
    </w:tbl>
    <w:p>
      <w:r>
        <w:t>Sela wants to return to her work, her family, and the ordinary life she understands. But when her community begins treating her uncertainty as sacred, every attempt to correct them strengthens the story growing around her. Pilgrims arrive. A camp becomes a settlement. Institutions compete to record, interpret, protect, and use her. When a gate closes against a desperate crowd, no one can agree who struck first—but the bodies remain.</w:t>
      </w:r>
    </w:p>
    <w:p>
      <w:r>
        <w:t>The Bell of Silence is the first novel in Aurefold: a political and literary fantasy series about faith, history, power, human responsibility, and the stories societies need in order to survive.</w:t>
      </w:r>
    </w:p>
    <w:p>
      <w:pPr>
        <w:pStyle w:val="Heading1"/>
      </w:pPr>
      <w:r>
        <w:t>3. What the creator has built</w:t>
      </w:r>
    </w:p>
    <w:p>
      <w:pPr>
        <w:pStyle w:val="ListBullet"/>
      </w:pPr>
      <w:r>
        <w:t>A completed and continuity-locked first novel, The Bell of Silence, approximately 86,000 words, set in 396 A.U.</w:t>
      </w:r>
    </w:p>
    <w:p>
      <w:pPr>
        <w:pStyle w:val="ListBullet"/>
      </w:pPr>
      <w:r>
        <w:t>A constitutional canon with 84 numbered Canon Locks and a separate Canon Ledger used as an audit instrument.</w:t>
      </w:r>
    </w:p>
    <w:p>
      <w:pPr>
        <w:pStyle w:val="ListBullet"/>
      </w:pPr>
      <w:r>
        <w:t>Ten Great Houses, each representing a defensible philosophy rather than a moral alignment.</w:t>
      </w:r>
    </w:p>
    <w:p>
      <w:pPr>
        <w:pStyle w:val="ListBullet"/>
      </w:pPr>
      <w:r>
        <w:t>A decentralized political order, the Tenfold Compact, with no emperor, permanent throne, or imperial army.</w:t>
      </w:r>
    </w:p>
    <w:p>
      <w:pPr>
        <w:pStyle w:val="ListBullet"/>
      </w:pPr>
      <w:r>
        <w:t>A long-series mystery involving an erased Eleventh House and the Ashen Crown that may never receive an objective final solution.</w:t>
      </w:r>
    </w:p>
    <w:p>
      <w:pPr>
        <w:pStyle w:val="ListBullet"/>
      </w:pPr>
      <w:r>
        <w:t>A technology and material-life baseline mixing Renaissance, late medieval, ancient, and distinctly Aurefold innovations without industrialization.</w:t>
      </w:r>
    </w:p>
    <w:p>
      <w:pPr>
        <w:pStyle w:val="ListBullet"/>
      </w:pPr>
      <w:r>
        <w:t>A historical method in which maps, chronicles, songs, testimony, law, rumor, and archives compete rather than merge into one objective account.</w:t>
      </w:r>
    </w:p>
    <w:p>
      <w:pPr>
        <w:pStyle w:val="ListBullet"/>
      </w:pPr>
      <w:r>
        <w:t>A complete Book One continuity package: timeline, object ledger, character and knowledge map, copyedit report, and publication master.</w:t>
      </w:r>
    </w:p>
    <w:p>
      <w:pPr>
        <w:pStyle w:val="Heading1"/>
      </w:pPr>
      <w:r>
        <w:t>4. Core creative principles</w:t>
      </w:r>
    </w:p>
    <w:tbl>
      <w:tblPr>
        <w:tblStyle w:val="TableGrid"/>
        <w:tblW w:type="auto" w:w="0"/>
        <w:jc w:val="center"/>
        <w:tblLook w:firstColumn="1" w:firstRow="1" w:lastColumn="0" w:lastRow="0" w:noHBand="0" w:noVBand="1" w:val="04A0"/>
      </w:tblPr>
      <w:tblGrid>
        <w:gridCol w:w="4997"/>
        <w:gridCol w:w="4997"/>
      </w:tblGrid>
      <w:tr>
        <w:tc>
          <w:tcPr>
            <w:tcW w:type="dxa" w:w="2448"/>
            <w:shd w:fill="1E2A38"/>
            <w:vAlign w:val="center"/>
            <w:tcMar>
              <w:top w:w="100" w:type="dxa"/>
              <w:start w:w="120" w:type="dxa"/>
              <w:bottom w:w="100" w:type="dxa"/>
              <w:end w:w="120" w:type="dxa"/>
            </w:tcMar>
          </w:tcPr>
          <w:p>
            <w:r>
              <w:rPr>
                <w:b/>
                <w:color w:val="FFFFFF"/>
              </w:rPr>
              <w:t>Principle</w:t>
            </w:r>
          </w:p>
        </w:tc>
        <w:tc>
          <w:tcPr>
            <w:tcW w:type="dxa" w:w="7488"/>
            <w:shd w:fill="1E2A38"/>
            <w:vAlign w:val="center"/>
            <w:tcMar>
              <w:top w:w="100" w:type="dxa"/>
              <w:start w:w="120" w:type="dxa"/>
              <w:bottom w:w="100" w:type="dxa"/>
              <w:end w:w="120" w:type="dxa"/>
            </w:tcMar>
          </w:tcPr>
          <w:p>
            <w:r>
              <w:rPr>
                <w:b/>
                <w:color w:val="FFFFFF"/>
              </w:rPr>
              <w:t>Meaning in practice</w:t>
            </w:r>
          </w:p>
        </w:tc>
      </w:tr>
      <w:tr>
        <w:tc>
          <w:tcPr>
            <w:tcW w:type="dxa" w:w="2448"/>
            <w:tcMar>
              <w:top w:w="100" w:type="dxa"/>
              <w:start w:w="120" w:type="dxa"/>
              <w:bottom w:w="100" w:type="dxa"/>
              <w:end w:w="120" w:type="dxa"/>
            </w:tcMar>
            <w:vAlign w:val="top"/>
          </w:tcPr>
          <w:p>
            <w:r>
              <w:t>World before Story</w:t>
            </w:r>
          </w:p>
        </w:tc>
        <w:tc>
          <w:tcPr>
            <w:tcW w:type="dxa" w:w="7488"/>
            <w:tcMar>
              <w:top w:w="100" w:type="dxa"/>
              <w:start w:w="120" w:type="dxa"/>
              <w:bottom w:w="100" w:type="dxa"/>
              <w:end w:w="120" w:type="dxa"/>
            </w:tcMar>
            <w:vAlign w:val="top"/>
          </w:tcPr>
          <w:p>
            <w:r>
              <w:t>The world does not exist only to service the current plot; institutions have histories, procedures, beneficiaries, and victims.</w:t>
            </w:r>
          </w:p>
        </w:tc>
      </w:tr>
      <w:tr>
        <w:tc>
          <w:tcPr>
            <w:tcW w:type="dxa" w:w="2448"/>
            <w:shd w:fill="F7F4EE"/>
            <w:tcMar>
              <w:top w:w="100" w:type="dxa"/>
              <w:start w:w="120" w:type="dxa"/>
              <w:bottom w:w="100" w:type="dxa"/>
              <w:end w:w="120" w:type="dxa"/>
            </w:tcMar>
            <w:vAlign w:val="top"/>
          </w:tcPr>
          <w:p>
            <w:r>
              <w:t>Civilization before Kingdom</w:t>
            </w:r>
          </w:p>
        </w:tc>
        <w:tc>
          <w:tcPr>
            <w:tcW w:type="dxa" w:w="7488"/>
            <w:shd w:fill="F7F4EE"/>
            <w:tcMar>
              <w:top w:w="100" w:type="dxa"/>
              <w:start w:w="120" w:type="dxa"/>
              <w:bottom w:w="100" w:type="dxa"/>
              <w:end w:w="120" w:type="dxa"/>
            </w:tcMar>
            <w:vAlign w:val="top"/>
          </w:tcPr>
          <w:p>
            <w:r>
              <w:t>Each House is a civilization and leadership philosophy, not merely a ruling family or color-coded faction.</w:t>
            </w:r>
          </w:p>
        </w:tc>
      </w:tr>
      <w:tr>
        <w:tc>
          <w:tcPr>
            <w:tcW w:type="dxa" w:w="2448"/>
            <w:tcMar>
              <w:top w:w="100" w:type="dxa"/>
              <w:start w:w="120" w:type="dxa"/>
              <w:bottom w:w="100" w:type="dxa"/>
              <w:end w:w="120" w:type="dxa"/>
            </w:tcMar>
            <w:vAlign w:val="top"/>
          </w:tcPr>
          <w:p>
            <w:r>
              <w:t>History before Plot</w:t>
            </w:r>
          </w:p>
        </w:tc>
        <w:tc>
          <w:tcPr>
            <w:tcW w:type="dxa" w:w="7488"/>
            <w:tcMar>
              <w:top w:w="100" w:type="dxa"/>
              <w:start w:w="120" w:type="dxa"/>
              <w:bottom w:w="100" w:type="dxa"/>
              <w:end w:w="120" w:type="dxa"/>
            </w:tcMar>
            <w:vAlign w:val="top"/>
          </w:tcPr>
          <w:p>
            <w:r>
              <w:t>Events are understood through records, memories, songs, maps, and interested witnesses.</w:t>
            </w:r>
          </w:p>
        </w:tc>
      </w:tr>
      <w:tr>
        <w:tc>
          <w:tcPr>
            <w:tcW w:type="dxa" w:w="2448"/>
            <w:shd w:fill="F7F4EE"/>
            <w:tcMar>
              <w:top w:w="100" w:type="dxa"/>
              <w:start w:w="120" w:type="dxa"/>
              <w:bottom w:w="100" w:type="dxa"/>
              <w:end w:w="120" w:type="dxa"/>
            </w:tcMar>
            <w:vAlign w:val="top"/>
          </w:tcPr>
          <w:p>
            <w:r>
              <w:t>Emotion before Spectacle</w:t>
            </w:r>
          </w:p>
        </w:tc>
        <w:tc>
          <w:tcPr>
            <w:tcW w:type="dxa" w:w="7488"/>
            <w:shd w:fill="F7F4EE"/>
            <w:tcMar>
              <w:top w:w="100" w:type="dxa"/>
              <w:start w:w="120" w:type="dxa"/>
              <w:bottom w:w="100" w:type="dxa"/>
              <w:end w:w="120" w:type="dxa"/>
            </w:tcMar>
            <w:vAlign w:val="top"/>
          </w:tcPr>
          <w:p>
            <w:r>
              <w:t>A small private loss can matter more than a battle; spectacle must be earned through character.</w:t>
            </w:r>
          </w:p>
        </w:tc>
      </w:tr>
      <w:tr>
        <w:tc>
          <w:tcPr>
            <w:tcW w:type="dxa" w:w="2448"/>
            <w:tcMar>
              <w:top w:w="100" w:type="dxa"/>
              <w:start w:w="120" w:type="dxa"/>
              <w:bottom w:w="100" w:type="dxa"/>
              <w:end w:w="120" w:type="dxa"/>
            </w:tcMar>
            <w:vAlign w:val="top"/>
          </w:tcPr>
          <w:p>
            <w:r>
              <w:t>Consequences before Convenience</w:t>
            </w:r>
          </w:p>
        </w:tc>
        <w:tc>
          <w:tcPr>
            <w:tcW w:type="dxa" w:w="7488"/>
            <w:tcMar>
              <w:top w:w="100" w:type="dxa"/>
              <w:start w:w="120" w:type="dxa"/>
              <w:bottom w:w="100" w:type="dxa"/>
              <w:end w:w="120" w:type="dxa"/>
            </w:tcMar>
            <w:vAlign w:val="top"/>
          </w:tcPr>
          <w:p>
            <w:r>
              <w:t>Violence, policy, hunger, and error leave durable bodily and political effects.</w:t>
            </w:r>
          </w:p>
        </w:tc>
      </w:tr>
      <w:tr>
        <w:tc>
          <w:tcPr>
            <w:tcW w:type="dxa" w:w="2448"/>
            <w:shd w:fill="F7F4EE"/>
            <w:tcMar>
              <w:top w:w="100" w:type="dxa"/>
              <w:start w:w="120" w:type="dxa"/>
              <w:bottom w:w="100" w:type="dxa"/>
              <w:end w:w="120" w:type="dxa"/>
            </w:tcMar>
            <w:vAlign w:val="top"/>
          </w:tcPr>
          <w:p>
            <w:r>
              <w:t>Mystery before Explanation</w:t>
            </w:r>
          </w:p>
        </w:tc>
        <w:tc>
          <w:tcPr>
            <w:tcW w:type="dxa" w:w="7488"/>
            <w:shd w:fill="F7F4EE"/>
            <w:tcMar>
              <w:top w:w="100" w:type="dxa"/>
              <w:start w:w="120" w:type="dxa"/>
              <w:bottom w:w="100" w:type="dxa"/>
              <w:end w:w="120" w:type="dxa"/>
            </w:tcMar>
            <w:vAlign w:val="top"/>
          </w:tcPr>
          <w:p>
            <w:r>
              <w:t>Ambiguity is not a temporary puzzle box waiting for a magical answer.</w:t>
            </w:r>
          </w:p>
        </w:tc>
      </w:tr>
      <w:tr>
        <w:tc>
          <w:tcPr>
            <w:tcW w:type="dxa" w:w="2448"/>
            <w:tcMar>
              <w:top w:w="100" w:type="dxa"/>
              <w:start w:w="120" w:type="dxa"/>
              <w:bottom w:w="100" w:type="dxa"/>
              <w:end w:w="120" w:type="dxa"/>
            </w:tcMar>
            <w:vAlign w:val="top"/>
          </w:tcPr>
          <w:p>
            <w:r>
              <w:t>Readers before Trends</w:t>
            </w:r>
          </w:p>
        </w:tc>
        <w:tc>
          <w:tcPr>
            <w:tcW w:type="dxa" w:w="7488"/>
            <w:tcMar>
              <w:top w:w="100" w:type="dxa"/>
              <w:start w:w="120" w:type="dxa"/>
              <w:bottom w:w="100" w:type="dxa"/>
              <w:end w:w="120" w:type="dxa"/>
            </w:tcMar>
            <w:vAlign w:val="top"/>
          </w:tcPr>
          <w:p>
            <w:r>
              <w:t>The series protects its identity instead of imitating whatever fantasy trend is currently dominant.</w:t>
            </w:r>
          </w:p>
        </w:tc>
      </w:tr>
    </w:tbl>
    <w:p/>
    <w:p>
      <w:pPr>
        <w:pStyle w:val="Heading1"/>
      </w:pPr>
      <w:r>
        <w:t>5. Non-negotiable canon boundaries</w:t>
      </w:r>
    </w:p>
    <w:p>
      <w:pPr>
        <w:pStyle w:val="ListBullet"/>
      </w:pPr>
      <w:r>
        <w:t>The world and series are called Aurefold. Aurelion is the administrative project name and the name of the ancient pre-House empire.</w:t>
      </w:r>
    </w:p>
    <w:p>
      <w:pPr>
        <w:pStyle w:val="ListBullet"/>
      </w:pPr>
      <w:r>
        <w:t>Magic is never objectively confirmed. Every apparently supernatural event must retain at least one credible non-magical explanation.</w:t>
      </w:r>
    </w:p>
    <w:p>
      <w:pPr>
        <w:pStyle w:val="ListBullet"/>
      </w:pPr>
      <w:r>
        <w:t>No hidden hard-magic system will later be revealed.</w:t>
      </w:r>
    </w:p>
    <w:p>
      <w:pPr>
        <w:pStyle w:val="ListBullet"/>
      </w:pPr>
      <w:r>
        <w:t>Death is permanent. There is no literal resurrection.</w:t>
      </w:r>
    </w:p>
    <w:p>
      <w:pPr>
        <w:pStyle w:val="ListBullet"/>
      </w:pPr>
      <w:r>
        <w:t>There is no verified prophet, chosen savior, objectively proven god, soul, or afterlife.</w:t>
      </w:r>
    </w:p>
    <w:p>
      <w:pPr>
        <w:pStyle w:val="ListBullet"/>
      </w:pPr>
      <w:r>
        <w:t>Only human civilizations are confirmed; there are no confirmed intelligent non-human peoples.</w:t>
      </w:r>
    </w:p>
    <w:p>
      <w:pPr>
        <w:pStyle w:val="ListBullet"/>
      </w:pPr>
      <w:r>
        <w:t>There are ten recognized Great Houses. None is purely evil; an honorable person must be able to defend each House philosophy.</w:t>
      </w:r>
    </w:p>
    <w:p>
      <w:pPr>
        <w:pStyle w:val="ListBullet"/>
      </w:pPr>
      <w:r>
        <w:t>The erased Eleventh House and Ashen Crown mystery can never be conclusively solved by one relic, bloodline, grave, text, or final revelation.</w:t>
      </w:r>
    </w:p>
    <w:p>
      <w:pPr>
        <w:pStyle w:val="ListBullet"/>
      </w:pPr>
      <w:r>
        <w:t>The Hall of Eleven has eleven places and ten votes; the meaning of the eleventh place remains unexplained.</w:t>
      </w:r>
    </w:p>
    <w:p>
      <w:pPr>
        <w:pStyle w:val="ListBullet"/>
      </w:pPr>
      <w:r>
        <w:t>History is never objective. Blackcrest maintains the official Chronicle but does not own truth.</w:t>
      </w:r>
    </w:p>
    <w:p>
      <w:pPr>
        <w:pStyle w:val="Heading1"/>
      </w:pPr>
      <w:r>
        <w:t>6. The Ten Great Houses</w:t>
      </w:r>
    </w:p>
    <w:tbl>
      <w:tblPr>
        <w:tblStyle w:val="TableGrid"/>
        <w:tblW w:type="auto" w:w="0"/>
        <w:jc w:val="center"/>
        <w:tblLook w:firstColumn="1" w:firstRow="1" w:lastColumn="0" w:lastRow="0" w:noHBand="0" w:noVBand="1" w:val="04A0"/>
      </w:tblPr>
      <w:tblGrid>
        <w:gridCol w:w="3331"/>
        <w:gridCol w:w="3331"/>
        <w:gridCol w:w="3331"/>
      </w:tblGrid>
      <w:tr>
        <w:tc>
          <w:tcPr>
            <w:tcW w:type="dxa" w:w="1872"/>
            <w:shd w:fill="1E2A38"/>
            <w:vAlign w:val="center"/>
            <w:tcMar>
              <w:top w:w="100" w:type="dxa"/>
              <w:start w:w="120" w:type="dxa"/>
              <w:bottom w:w="100" w:type="dxa"/>
              <w:end w:w="120" w:type="dxa"/>
            </w:tcMar>
          </w:tcPr>
          <w:p>
            <w:r>
              <w:rPr>
                <w:b/>
                <w:color w:val="FFFFFF"/>
              </w:rPr>
              <w:t>House</w:t>
            </w:r>
          </w:p>
        </w:tc>
        <w:tc>
          <w:tcPr>
            <w:tcW w:type="dxa" w:w="2304"/>
            <w:shd w:fill="1E2A38"/>
            <w:vAlign w:val="center"/>
            <w:tcMar>
              <w:top w:w="100" w:type="dxa"/>
              <w:start w:w="120" w:type="dxa"/>
              <w:bottom w:w="100" w:type="dxa"/>
              <w:end w:w="120" w:type="dxa"/>
            </w:tcMar>
          </w:tcPr>
          <w:p>
            <w:r>
              <w:rPr>
                <w:b/>
                <w:color w:val="FFFFFF"/>
              </w:rPr>
              <w:t>Ideal</w:t>
            </w:r>
          </w:p>
        </w:tc>
        <w:tc>
          <w:tcPr>
            <w:tcW w:type="dxa" w:w="5760"/>
            <w:shd w:fill="1E2A38"/>
            <w:vAlign w:val="center"/>
            <w:tcMar>
              <w:top w:w="100" w:type="dxa"/>
              <w:start w:w="120" w:type="dxa"/>
              <w:bottom w:w="100" w:type="dxa"/>
              <w:end w:w="120" w:type="dxa"/>
            </w:tcMar>
          </w:tcPr>
          <w:p>
            <w:r>
              <w:rPr>
                <w:b/>
                <w:color w:val="FFFFFF"/>
              </w:rPr>
              <w:t>Public dramatic promise</w:t>
            </w:r>
          </w:p>
        </w:tc>
      </w:tr>
      <w:tr>
        <w:tc>
          <w:tcPr>
            <w:tcW w:type="dxa" w:w="1872"/>
            <w:tcMar>
              <w:top w:w="100" w:type="dxa"/>
              <w:start w:w="120" w:type="dxa"/>
              <w:bottom w:w="100" w:type="dxa"/>
              <w:end w:w="120" w:type="dxa"/>
            </w:tcMar>
            <w:vAlign w:val="top"/>
          </w:tcPr>
          <w:p>
            <w:r>
              <w:t>Blackthorn</w:t>
            </w:r>
          </w:p>
        </w:tc>
        <w:tc>
          <w:tcPr>
            <w:tcW w:type="dxa" w:w="2304"/>
            <w:tcMar>
              <w:top w:w="100" w:type="dxa"/>
              <w:start w:w="120" w:type="dxa"/>
              <w:bottom w:w="100" w:type="dxa"/>
              <w:end w:w="120" w:type="dxa"/>
            </w:tcMar>
            <w:vAlign w:val="top"/>
          </w:tcPr>
          <w:p>
            <w:r>
              <w:t>Intellect</w:t>
            </w:r>
          </w:p>
        </w:tc>
        <w:tc>
          <w:tcPr>
            <w:tcW w:type="dxa" w:w="5760"/>
            <w:tcMar>
              <w:top w:w="100" w:type="dxa"/>
              <w:start w:w="120" w:type="dxa"/>
              <w:bottom w:w="100" w:type="dxa"/>
              <w:end w:w="120" w:type="dxa"/>
            </w:tcMar>
            <w:vAlign w:val="top"/>
          </w:tcPr>
          <w:p>
            <w:r>
              <w:t>What should the most capable mind be permitted to decide for everyone else?</w:t>
            </w:r>
          </w:p>
        </w:tc>
      </w:tr>
      <w:tr>
        <w:tc>
          <w:tcPr>
            <w:tcW w:type="dxa" w:w="1872"/>
            <w:shd w:fill="F7F4EE"/>
            <w:tcMar>
              <w:top w:w="100" w:type="dxa"/>
              <w:start w:w="120" w:type="dxa"/>
              <w:bottom w:w="100" w:type="dxa"/>
              <w:end w:w="120" w:type="dxa"/>
            </w:tcMar>
            <w:vAlign w:val="top"/>
          </w:tcPr>
          <w:p>
            <w:r>
              <w:t>Ashbourne</w:t>
            </w:r>
          </w:p>
        </w:tc>
        <w:tc>
          <w:tcPr>
            <w:tcW w:type="dxa" w:w="2304"/>
            <w:shd w:fill="F7F4EE"/>
            <w:tcMar>
              <w:top w:w="100" w:type="dxa"/>
              <w:start w:w="120" w:type="dxa"/>
              <w:bottom w:w="100" w:type="dxa"/>
              <w:end w:w="120" w:type="dxa"/>
            </w:tcMar>
            <w:vAlign w:val="top"/>
          </w:tcPr>
          <w:p>
            <w:r>
              <w:t>Courage</w:t>
            </w:r>
          </w:p>
        </w:tc>
        <w:tc>
          <w:tcPr>
            <w:tcW w:type="dxa" w:w="5760"/>
            <w:shd w:fill="F7F4EE"/>
            <w:tcMar>
              <w:top w:w="100" w:type="dxa"/>
              <w:start w:w="120" w:type="dxa"/>
              <w:bottom w:w="100" w:type="dxa"/>
              <w:end w:w="120" w:type="dxa"/>
            </w:tcMar>
            <w:vAlign w:val="top"/>
          </w:tcPr>
          <w:p>
            <w:r>
              <w:t>When does bravery protect others, and when does it demand that others pay?</w:t>
            </w:r>
          </w:p>
        </w:tc>
      </w:tr>
      <w:tr>
        <w:tc>
          <w:tcPr>
            <w:tcW w:type="dxa" w:w="1872"/>
            <w:tcMar>
              <w:top w:w="100" w:type="dxa"/>
              <w:start w:w="120" w:type="dxa"/>
              <w:bottom w:w="100" w:type="dxa"/>
              <w:end w:w="120" w:type="dxa"/>
            </w:tcMar>
            <w:vAlign w:val="top"/>
          </w:tcPr>
          <w:p>
            <w:r>
              <w:t>Whitehart</w:t>
            </w:r>
          </w:p>
        </w:tc>
        <w:tc>
          <w:tcPr>
            <w:tcW w:type="dxa" w:w="2304"/>
            <w:tcMar>
              <w:top w:w="100" w:type="dxa"/>
              <w:start w:w="120" w:type="dxa"/>
              <w:bottom w:w="100" w:type="dxa"/>
              <w:end w:w="120" w:type="dxa"/>
            </w:tcMar>
            <w:vAlign w:val="top"/>
          </w:tcPr>
          <w:p>
            <w:r>
              <w:t>Faith</w:t>
            </w:r>
          </w:p>
        </w:tc>
        <w:tc>
          <w:tcPr>
            <w:tcW w:type="dxa" w:w="5760"/>
            <w:tcMar>
              <w:top w:w="100" w:type="dxa"/>
              <w:start w:w="120" w:type="dxa"/>
              <w:bottom w:w="100" w:type="dxa"/>
              <w:end w:w="120" w:type="dxa"/>
            </w:tcMar>
            <w:vAlign w:val="top"/>
          </w:tcPr>
          <w:p>
            <w:r>
              <w:t>Can a community survive without shared meaning, and what happens when meaning requires certainty?</w:t>
            </w:r>
          </w:p>
        </w:tc>
      </w:tr>
      <w:tr>
        <w:tc>
          <w:tcPr>
            <w:tcW w:type="dxa" w:w="1872"/>
            <w:shd w:fill="F7F4EE"/>
            <w:tcMar>
              <w:top w:w="100" w:type="dxa"/>
              <w:start w:w="120" w:type="dxa"/>
              <w:bottom w:w="100" w:type="dxa"/>
              <w:end w:w="120" w:type="dxa"/>
            </w:tcMar>
            <w:vAlign w:val="top"/>
          </w:tcPr>
          <w:p>
            <w:r>
              <w:t>Stormrider</w:t>
            </w:r>
          </w:p>
        </w:tc>
        <w:tc>
          <w:tcPr>
            <w:tcW w:type="dxa" w:w="2304"/>
            <w:shd w:fill="F7F4EE"/>
            <w:tcMar>
              <w:top w:w="100" w:type="dxa"/>
              <w:start w:w="120" w:type="dxa"/>
              <w:bottom w:w="100" w:type="dxa"/>
              <w:end w:w="120" w:type="dxa"/>
            </w:tcMar>
            <w:vAlign w:val="top"/>
          </w:tcPr>
          <w:p>
            <w:r>
              <w:t>Unity</w:t>
            </w:r>
          </w:p>
        </w:tc>
        <w:tc>
          <w:tcPr>
            <w:tcW w:type="dxa" w:w="5760"/>
            <w:shd w:fill="F7F4EE"/>
            <w:tcMar>
              <w:top w:w="100" w:type="dxa"/>
              <w:start w:w="120" w:type="dxa"/>
              <w:bottom w:w="100" w:type="dxa"/>
              <w:end w:w="120" w:type="dxa"/>
            </w:tcMar>
            <w:vAlign w:val="top"/>
          </w:tcPr>
          <w:p>
            <w:r>
              <w:t>How much freedom may be bound together in order to keep roads, people, and obligations from breaking apart?</w:t>
            </w:r>
          </w:p>
        </w:tc>
      </w:tr>
      <w:tr>
        <w:tc>
          <w:tcPr>
            <w:tcW w:type="dxa" w:w="1872"/>
            <w:tcMar>
              <w:top w:w="100" w:type="dxa"/>
              <w:start w:w="120" w:type="dxa"/>
              <w:bottom w:w="100" w:type="dxa"/>
              <w:end w:w="120" w:type="dxa"/>
            </w:tcMar>
            <w:vAlign w:val="top"/>
          </w:tcPr>
          <w:p>
            <w:r>
              <w:t>Ravenshade</w:t>
            </w:r>
          </w:p>
        </w:tc>
        <w:tc>
          <w:tcPr>
            <w:tcW w:type="dxa" w:w="2304"/>
            <w:tcMar>
              <w:top w:w="100" w:type="dxa"/>
              <w:start w:w="120" w:type="dxa"/>
              <w:bottom w:w="100" w:type="dxa"/>
              <w:end w:w="120" w:type="dxa"/>
            </w:tcMar>
            <w:vAlign w:val="top"/>
          </w:tcPr>
          <w:p>
            <w:r>
              <w:t>Information</w:t>
            </w:r>
          </w:p>
        </w:tc>
        <w:tc>
          <w:tcPr>
            <w:tcW w:type="dxa" w:w="5760"/>
            <w:tcMar>
              <w:top w:w="100" w:type="dxa"/>
              <w:start w:w="120" w:type="dxa"/>
              <w:bottom w:w="100" w:type="dxa"/>
              <w:end w:w="120" w:type="dxa"/>
            </w:tcMar>
            <w:vAlign w:val="top"/>
          </w:tcPr>
          <w:p>
            <w:r>
              <w:t>Who is safer when information moves freely, and who becomes exposed?</w:t>
            </w:r>
          </w:p>
        </w:tc>
      </w:tr>
      <w:tr>
        <w:tc>
          <w:tcPr>
            <w:tcW w:type="dxa" w:w="1872"/>
            <w:shd w:fill="F7F4EE"/>
            <w:tcMar>
              <w:top w:w="100" w:type="dxa"/>
              <w:start w:w="120" w:type="dxa"/>
              <w:bottom w:w="100" w:type="dxa"/>
              <w:end w:w="120" w:type="dxa"/>
            </w:tcMar>
            <w:vAlign w:val="top"/>
          </w:tcPr>
          <w:p>
            <w:r>
              <w:t>Ironvale</w:t>
            </w:r>
          </w:p>
        </w:tc>
        <w:tc>
          <w:tcPr>
            <w:tcW w:type="dxa" w:w="2304"/>
            <w:shd w:fill="F7F4EE"/>
            <w:tcMar>
              <w:top w:w="100" w:type="dxa"/>
              <w:start w:w="120" w:type="dxa"/>
              <w:bottom w:w="100" w:type="dxa"/>
              <w:end w:w="120" w:type="dxa"/>
            </w:tcMar>
            <w:vAlign w:val="top"/>
          </w:tcPr>
          <w:p>
            <w:r>
              <w:t>Innovation</w:t>
            </w:r>
          </w:p>
        </w:tc>
        <w:tc>
          <w:tcPr>
            <w:tcW w:type="dxa" w:w="5760"/>
            <w:shd w:fill="F7F4EE"/>
            <w:tcMar>
              <w:top w:w="100" w:type="dxa"/>
              <w:start w:w="120" w:type="dxa"/>
              <w:bottom w:w="100" w:type="dxa"/>
              <w:end w:w="120" w:type="dxa"/>
            </w:tcMar>
            <w:vAlign w:val="top"/>
          </w:tcPr>
          <w:p>
            <w:r>
              <w:t>Who benefits first from invention, and who is made obsolete or vulnerable?</w:t>
            </w:r>
          </w:p>
        </w:tc>
      </w:tr>
      <w:tr>
        <w:tc>
          <w:tcPr>
            <w:tcW w:type="dxa" w:w="1872"/>
            <w:tcMar>
              <w:top w:w="100" w:type="dxa"/>
              <w:start w:w="120" w:type="dxa"/>
              <w:bottom w:w="100" w:type="dxa"/>
              <w:end w:w="120" w:type="dxa"/>
            </w:tcMar>
            <w:vAlign w:val="top"/>
          </w:tcPr>
          <w:p>
            <w:r>
              <w:t>Blackcrest</w:t>
            </w:r>
          </w:p>
        </w:tc>
        <w:tc>
          <w:tcPr>
            <w:tcW w:type="dxa" w:w="2304"/>
            <w:tcMar>
              <w:top w:w="100" w:type="dxa"/>
              <w:start w:w="120" w:type="dxa"/>
              <w:bottom w:w="100" w:type="dxa"/>
              <w:end w:w="120" w:type="dxa"/>
            </w:tcMar>
            <w:vAlign w:val="top"/>
          </w:tcPr>
          <w:p>
            <w:r>
              <w:t>The Victor's History</w:t>
            </w:r>
          </w:p>
        </w:tc>
        <w:tc>
          <w:tcPr>
            <w:tcW w:type="dxa" w:w="5760"/>
            <w:tcMar>
              <w:top w:w="100" w:type="dxa"/>
              <w:start w:w="120" w:type="dxa"/>
              <w:bottom w:w="100" w:type="dxa"/>
              <w:end w:w="120" w:type="dxa"/>
            </w:tcMar>
            <w:vAlign w:val="top"/>
          </w:tcPr>
          <w:p>
            <w:r>
              <w:t>Who decides which surviving account becomes usable history?</w:t>
            </w:r>
          </w:p>
        </w:tc>
      </w:tr>
      <w:tr>
        <w:tc>
          <w:tcPr>
            <w:tcW w:type="dxa" w:w="1872"/>
            <w:shd w:fill="F7F4EE"/>
            <w:tcMar>
              <w:top w:w="100" w:type="dxa"/>
              <w:start w:w="120" w:type="dxa"/>
              <w:bottom w:w="100" w:type="dxa"/>
              <w:end w:w="120" w:type="dxa"/>
            </w:tcMar>
            <w:vAlign w:val="top"/>
          </w:tcPr>
          <w:p>
            <w:r>
              <w:t>Stonebear</w:t>
            </w:r>
          </w:p>
        </w:tc>
        <w:tc>
          <w:tcPr>
            <w:tcW w:type="dxa" w:w="2304"/>
            <w:shd w:fill="F7F4EE"/>
            <w:tcMar>
              <w:top w:w="100" w:type="dxa"/>
              <w:start w:w="120" w:type="dxa"/>
              <w:bottom w:w="100" w:type="dxa"/>
              <w:end w:w="120" w:type="dxa"/>
            </w:tcMar>
            <w:vAlign w:val="top"/>
          </w:tcPr>
          <w:p>
            <w:r>
              <w:t>Honor</w:t>
            </w:r>
          </w:p>
        </w:tc>
        <w:tc>
          <w:tcPr>
            <w:tcW w:type="dxa" w:w="5760"/>
            <w:shd w:fill="F7F4EE"/>
            <w:tcMar>
              <w:top w:w="100" w:type="dxa"/>
              <w:start w:w="120" w:type="dxa"/>
              <w:bottom w:w="100" w:type="dxa"/>
              <w:end w:w="120" w:type="dxa"/>
            </w:tcMar>
            <w:vAlign w:val="top"/>
          </w:tcPr>
          <w:p>
            <w:r>
              <w:t>Can a public code restrain power without turning human complexity into shame?</w:t>
            </w:r>
          </w:p>
        </w:tc>
      </w:tr>
      <w:tr>
        <w:tc>
          <w:tcPr>
            <w:tcW w:type="dxa" w:w="1872"/>
            <w:tcMar>
              <w:top w:w="100" w:type="dxa"/>
              <w:start w:w="120" w:type="dxa"/>
              <w:bottom w:w="100" w:type="dxa"/>
              <w:end w:w="120" w:type="dxa"/>
            </w:tcMar>
            <w:vAlign w:val="top"/>
          </w:tcPr>
          <w:p>
            <w:r>
              <w:t>Tidebreaker</w:t>
            </w:r>
          </w:p>
        </w:tc>
        <w:tc>
          <w:tcPr>
            <w:tcW w:type="dxa" w:w="2304"/>
            <w:tcMar>
              <w:top w:w="100" w:type="dxa"/>
              <w:start w:w="120" w:type="dxa"/>
              <w:bottom w:w="100" w:type="dxa"/>
              <w:end w:w="120" w:type="dxa"/>
            </w:tcMar>
            <w:vAlign w:val="top"/>
          </w:tcPr>
          <w:p>
            <w:r>
              <w:t>Knowledge</w:t>
            </w:r>
          </w:p>
        </w:tc>
        <w:tc>
          <w:tcPr>
            <w:tcW w:type="dxa" w:w="5760"/>
            <w:tcMar>
              <w:top w:w="100" w:type="dxa"/>
              <w:start w:w="120" w:type="dxa"/>
              <w:bottom w:w="100" w:type="dxa"/>
              <w:end w:w="120" w:type="dxa"/>
            </w:tcMar>
            <w:vAlign w:val="top"/>
          </w:tcPr>
          <w:p>
            <w:r>
              <w:t>When does preserving knowledge become control over those who produced it?</w:t>
            </w:r>
          </w:p>
        </w:tc>
      </w:tr>
      <w:tr>
        <w:tc>
          <w:tcPr>
            <w:tcW w:type="dxa" w:w="1872"/>
            <w:shd w:fill="F7F4EE"/>
            <w:tcMar>
              <w:top w:w="100" w:type="dxa"/>
              <w:start w:w="120" w:type="dxa"/>
              <w:bottom w:w="100" w:type="dxa"/>
              <w:end w:w="120" w:type="dxa"/>
            </w:tcMar>
            <w:vAlign w:val="top"/>
          </w:tcPr>
          <w:p>
            <w:r>
              <w:t>Phoenix</w:t>
            </w:r>
          </w:p>
        </w:tc>
        <w:tc>
          <w:tcPr>
            <w:tcW w:type="dxa" w:w="2304"/>
            <w:shd w:fill="F7F4EE"/>
            <w:tcMar>
              <w:top w:w="100" w:type="dxa"/>
              <w:start w:w="120" w:type="dxa"/>
              <w:bottom w:w="100" w:type="dxa"/>
              <w:end w:w="120" w:type="dxa"/>
            </w:tcMar>
            <w:vAlign w:val="top"/>
          </w:tcPr>
          <w:p>
            <w:r>
              <w:t>The Future</w:t>
            </w:r>
          </w:p>
        </w:tc>
        <w:tc>
          <w:tcPr>
            <w:tcW w:type="dxa" w:w="5760"/>
            <w:shd w:fill="F7F4EE"/>
            <w:tcMar>
              <w:top w:w="100" w:type="dxa"/>
              <w:start w:w="120" w:type="dxa"/>
              <w:bottom w:w="100" w:type="dxa"/>
              <w:end w:w="120" w:type="dxa"/>
            </w:tcMar>
            <w:vAlign w:val="top"/>
          </w:tcPr>
          <w:p>
            <w:r>
              <w:t>What may the present sacrifice for a future it cannot verify?</w:t>
            </w:r>
          </w:p>
        </w:tc>
      </w:tr>
    </w:tbl>
    <w:p/>
    <w:p>
      <w:pPr>
        <w:pStyle w:val="Heading1"/>
      </w:pPr>
      <w:r>
        <w:t>7. Book One: spoiler-free orientation</w:t>
      </w:r>
    </w:p>
    <w:p>
      <w:r>
        <w:t>The Bell of Silence takes place in the Light Heights, where House Whitehart tests claims of divine hearing. The institution destroys the notes from each trial so that a tester’s uncertainty cannot harden into doctrine; only the judgment survives. That procedure protects Whitehart’s authority while making its conclusions impossible to independently examine.</w:t>
      </w:r>
    </w:p>
    <w:p>
      <w:r>
        <w:t>Sela, a practical goatherd, undergoes an inconclusive trial. She does not claim a clear revelation. Yet the social effects begin immediately: food portions change, work is taken from her, ordinary objects acquire meaning, and visitors arrive. A grave opens in thawing ground. A chronicler and an investigator come to examine what Whitehart records and what its records erase. A pilgrim camp becomes an economy, then a settlement, then a political fact.</w:t>
      </w:r>
    </w:p>
    <w:p>
      <w:r>
        <w:t>The novel’s suspense comes from escalation: a private uncertainty becomes a public need, public need becomes infrastructure, infrastructure becomes authority, and authority becomes lethal even when no single person intends the final harm.</w:t>
      </w:r>
    </w:p>
    <w:p>
      <w:pPr>
        <w:pStyle w:val="Heading1"/>
      </w:pPr>
      <w:r>
        <w:t>8. Book One: full internal synopsis — spoilers</w:t>
      </w:r>
    </w:p>
    <w:tbl>
      <w:tblPr>
        <w:tblW w:type="auto" w:w="0"/>
        <w:jc w:val="center"/>
        <w:tblLayout w:type="autofit"/>
        <w:tblLook w:firstColumn="1" w:firstRow="1" w:lastColumn="0" w:lastRow="0" w:noHBand="0" w:noVBand="1" w:val="04A0"/>
      </w:tblPr>
      <w:tblGrid>
        <w:gridCol w:w="9994"/>
      </w:tblGrid>
      <w:tr>
        <w:tc>
          <w:tcPr>
            <w:tcW w:type="dxa" w:w="9994"/>
            <w:shd w:fill="F4E1DF"/>
            <w:tcMar>
              <w:top w:w="140" w:type="dxa"/>
              <w:start w:w="160" w:type="dxa"/>
              <w:bottom w:w="140" w:type="dxa"/>
              <w:end w:w="160" w:type="dxa"/>
            </w:tcMar>
          </w:tcPr>
          <w:p>
            <w:r>
              <w:rPr>
                <w:b/>
                <w:color w:val="1E2A38"/>
                <w:sz w:val="22"/>
              </w:rPr>
              <w:t>Spoiler boundary</w:t>
            </w:r>
          </w:p>
          <w:p>
            <w:pPr>
              <w:spacing w:after="0"/>
            </w:pPr>
            <w:r>
              <w:t>The following section may be used for internal podcast episodes, creator commentary, adaptation development, or post-publication analysis. Do not use it in a public introductory episode unless spoilers are clearly announced.</w:t>
            </w:r>
          </w:p>
        </w:tc>
      </w:tr>
    </w:tbl>
    <w:p>
      <w:r>
        <w:t>Crown-watch investigator Wren discovers that Whitehart’s records can be procedurally complete while preserving no supporting evidence. Blackcrest chronicler Perrin is commissioned to investigate who pays for the blank spaces created by Whitehart’s method.</w:t>
      </w:r>
    </w:p>
    <w:p>
      <w:r>
        <w:t>At Whitehart, Sela’s trial produces no definitive judgment. Tomas, the tester, burns his notes as procedure requires, but begins to understand that he has tested Sela’s uncertainty while never testing the certainty of Mother Alaine. Alaine privately knows she cannot prove that she has ever heard anything supernatural; her wisdom is inseparable from experience, fear, adaptation, and the institution’s need for useful answers.</w:t>
      </w:r>
    </w:p>
    <w:p>
      <w:r>
        <w:t>Sela’s ordinary life is steadily appropriated. Her food, work, tools, family obligations, and silences become evidence for others. She publicly speaks the name of Col, a boy entered under a red judgment sixteen years earlier. Col’s mother Merta has never received an answer about his fate. A grave exposed by thaw appears suggestive but proves nothing.</w:t>
      </w:r>
    </w:p>
    <w:p>
      <w:r>
        <w:t>Perrin and Wren investigate the consequences of Whitehart’s judgments. Fen, whose trial was never closed, has lived for years as an Unwritten man: physically present but excluded from marriage, inheritance, public recognition, and ordinary standing. Perrin’s attention gives Fen temporary visibility while also purchasing access to other people’s secrets.</w:t>
      </w:r>
    </w:p>
    <w:p>
      <w:r>
        <w:t>A rescue in dangerous ground kills Harl, Sela’s road-wise relative. Competing accounts simplify what occurred, turning practical risk, rope selection, fear, retreat, and labor into a cleaner story. Harl’s son Tam inherits both skill and anger. Later, his violence permanently damages the singer Corrin’s jaw and voice; Corrin can no longer perform the longest verses and must turn toward writing and teaching them.</w:t>
      </w:r>
    </w:p>
    <w:p>
      <w:r>
        <w:t>The pilgrim camp expands through water systems, food rules, labor guarantees, credit, road work, ownership claims, and planned streets. Each competent intervention helps people and creates a new form of power. Sela’s private time is consumed by public necessity. A settlement is born without any institution fully admitting that it founded one.</w:t>
      </w:r>
    </w:p>
    <w:p>
      <w:r>
        <w:t>Whitehart eventually closes its inward-opening gate under conditions of fear, hunger, crowding, rumor, and partial knowledge. The crush kills nine people while twelve remain missing as a separate, incompatible count. No objective first attacker is established. Bodies against the inward-opening leaves make reopening physically impossible.</w:t>
      </w:r>
    </w:p>
    <w:p>
      <w:r>
        <w:t>Afterward, Wilda confesses that she once helped Col escape ritual death and sent him east, but she cannot confirm whether he survived. Fen tells Merta. Merta later attempts the pass but turns back. Wren divides her report and withholds dangerous linkage; it is accepted only as working material, never as authoritative Chronicle text. Tomas leaves Sela’s Ledger page blank rather than manufacture a judgment. Fen remains. Sela leaves east with Harl’s knife and without institutional escort. The Bell sounds behind her, but its strokes receive no objective explanation.</w:t>
      </w:r>
    </w:p>
    <w:p>
      <w:pPr>
        <w:pStyle w:val="Heading1"/>
      </w:pPr>
      <w:r>
        <w:t>9. Principal characters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shd w:fill="1E2A38"/>
            <w:vAlign w:val="center"/>
            <w:tcMar>
              <w:top w:w="100" w:type="dxa"/>
              <w:start w:w="120" w:type="dxa"/>
              <w:bottom w:w="100" w:type="dxa"/>
              <w:end w:w="120" w:type="dxa"/>
            </w:tcMar>
          </w:tcPr>
          <w:p>
            <w:r>
              <w:rPr>
                <w:b/>
                <w:color w:val="FFFFFF"/>
              </w:rPr>
              <w:t>Character</w:t>
            </w:r>
          </w:p>
        </w:tc>
        <w:tc>
          <w:tcPr>
            <w:tcW w:type="dxa" w:w="3024"/>
            <w:shd w:fill="1E2A38"/>
            <w:vAlign w:val="center"/>
            <w:tcMar>
              <w:top w:w="100" w:type="dxa"/>
              <w:start w:w="120" w:type="dxa"/>
              <w:bottom w:w="100" w:type="dxa"/>
              <w:end w:w="120" w:type="dxa"/>
            </w:tcMar>
          </w:tcPr>
          <w:p>
            <w:r>
              <w:rPr>
                <w:b/>
                <w:color w:val="FFFFFF"/>
              </w:rPr>
              <w:t>Human desire</w:t>
            </w:r>
          </w:p>
        </w:tc>
        <w:tc>
          <w:tcPr>
            <w:tcW w:type="dxa" w:w="3888"/>
            <w:shd w:fill="1E2A38"/>
            <w:vAlign w:val="center"/>
            <w:tcMar>
              <w:top w:w="100" w:type="dxa"/>
              <w:start w:w="120" w:type="dxa"/>
              <w:bottom w:w="100" w:type="dxa"/>
              <w:end w:w="120" w:type="dxa"/>
            </w:tcMar>
          </w:tcPr>
          <w:p>
            <w:r>
              <w:rPr>
                <w:b/>
                <w:color w:val="FFFFFF"/>
              </w:rPr>
              <w:t>Contradiction</w:t>
            </w:r>
          </w:p>
        </w:tc>
        <w:tc>
          <w:tcPr>
            <w:tcW w:type="dxa" w:w="3600"/>
            <w:shd w:fill="1E2A38"/>
            <w:vAlign w:val="center"/>
            <w:tcMar>
              <w:top w:w="100" w:type="dxa"/>
              <w:start w:w="120" w:type="dxa"/>
              <w:bottom w:w="100" w:type="dxa"/>
              <w:end w:w="120" w:type="dxa"/>
            </w:tcMar>
          </w:tcPr>
          <w:p>
            <w:r>
              <w:rPr>
                <w:b/>
                <w:color w:val="FFFFFF"/>
              </w:rPr>
              <w:t>Adaptation note</w:t>
            </w:r>
          </w:p>
        </w:tc>
      </w:tr>
      <w:tr>
        <w:tc>
          <w:tcPr>
            <w:tcW w:type="dxa" w:w="1584"/>
            <w:tcMar>
              <w:top w:w="100" w:type="dxa"/>
              <w:start w:w="120" w:type="dxa"/>
              <w:bottom w:w="100" w:type="dxa"/>
              <w:end w:w="120" w:type="dxa"/>
            </w:tcMar>
            <w:vAlign w:val="top"/>
          </w:tcPr>
          <w:p>
            <w:r>
              <w:t>Sela</w:t>
            </w:r>
          </w:p>
        </w:tc>
        <w:tc>
          <w:tcPr>
            <w:tcW w:type="dxa" w:w="3024"/>
            <w:tcMar>
              <w:top w:w="100" w:type="dxa"/>
              <w:start w:w="120" w:type="dxa"/>
              <w:bottom w:w="100" w:type="dxa"/>
              <w:end w:w="120" w:type="dxa"/>
            </w:tcMar>
            <w:vAlign w:val="top"/>
          </w:tcPr>
          <w:p>
            <w:r>
              <w:t>To retain an ordinary life, useful work, family obligations, and ownership of her own uncertainty.</w:t>
            </w:r>
          </w:p>
        </w:tc>
        <w:tc>
          <w:tcPr>
            <w:tcW w:type="dxa" w:w="3888"/>
            <w:tcMar>
              <w:top w:w="100" w:type="dxa"/>
              <w:start w:w="120" w:type="dxa"/>
              <w:bottom w:w="100" w:type="dxa"/>
              <w:end w:w="120" w:type="dxa"/>
            </w:tcMar>
            <w:vAlign w:val="top"/>
          </w:tcPr>
          <w:p>
            <w:r>
              <w:t>Her refusal to provide meaning becomes the strongest meaning others can use.</w:t>
            </w:r>
          </w:p>
        </w:tc>
        <w:tc>
          <w:tcPr>
            <w:tcW w:type="dxa" w:w="3600"/>
            <w:tcMar>
              <w:top w:w="100" w:type="dxa"/>
              <w:start w:w="120" w:type="dxa"/>
              <w:bottom w:w="100" w:type="dxa"/>
              <w:end w:w="120" w:type="dxa"/>
            </w:tcMar>
            <w:vAlign w:val="top"/>
          </w:tcPr>
          <w:p>
            <w:r>
              <w:t>Never portray her as glowing, chosen, or secretly omniscient. Her intelligence is practical and embodied.</w:t>
            </w:r>
          </w:p>
        </w:tc>
      </w:tr>
      <w:tr>
        <w:tc>
          <w:tcPr>
            <w:tcW w:type="dxa" w:w="1584"/>
            <w:shd w:fill="F7F4EE"/>
            <w:tcMar>
              <w:top w:w="100" w:type="dxa"/>
              <w:start w:w="120" w:type="dxa"/>
              <w:bottom w:w="100" w:type="dxa"/>
              <w:end w:w="120" w:type="dxa"/>
            </w:tcMar>
            <w:vAlign w:val="top"/>
          </w:tcPr>
          <w:p>
            <w:r>
              <w:t>Alaine</w:t>
            </w:r>
          </w:p>
        </w:tc>
        <w:tc>
          <w:tcPr>
            <w:tcW w:type="dxa" w:w="3024"/>
            <w:shd w:fill="F7F4EE"/>
            <w:tcMar>
              <w:top w:w="100" w:type="dxa"/>
              <w:start w:w="120" w:type="dxa"/>
              <w:bottom w:w="100" w:type="dxa"/>
              <w:end w:w="120" w:type="dxa"/>
            </w:tcMar>
            <w:vAlign w:val="top"/>
          </w:tcPr>
          <w:p>
            <w:r>
              <w:t>To preserve Whitehart, protect Sela, and keep a community from collapsing into unusable uncertainty.</w:t>
            </w:r>
          </w:p>
        </w:tc>
        <w:tc>
          <w:tcPr>
            <w:tcW w:type="dxa" w:w="3888"/>
            <w:shd w:fill="F7F4EE"/>
            <w:tcMar>
              <w:top w:w="100" w:type="dxa"/>
              <w:start w:w="120" w:type="dxa"/>
              <w:bottom w:w="100" w:type="dxa"/>
              <w:end w:w="120" w:type="dxa"/>
            </w:tcMar>
            <w:vAlign w:val="top"/>
          </w:tcPr>
          <w:p>
            <w:r>
              <w:t>Her love and manipulation are both real; her wisdom may be adaptation rather than revelation.</w:t>
            </w:r>
          </w:p>
        </w:tc>
        <w:tc>
          <w:tcPr>
            <w:tcW w:type="dxa" w:w="3600"/>
            <w:shd w:fill="F7F4EE"/>
            <w:tcMar>
              <w:top w:w="100" w:type="dxa"/>
              <w:start w:w="120" w:type="dxa"/>
              <w:bottom w:w="100" w:type="dxa"/>
              <w:end w:w="120" w:type="dxa"/>
            </w:tcMar>
            <w:vAlign w:val="top"/>
          </w:tcPr>
          <w:p>
            <w:r>
              <w:t>She should feel warm, formidable, tired, and dangerous—not villainous or mystical.</w:t>
            </w:r>
          </w:p>
        </w:tc>
      </w:tr>
      <w:tr>
        <w:tc>
          <w:tcPr>
            <w:tcW w:type="dxa" w:w="1584"/>
            <w:tcMar>
              <w:top w:w="100" w:type="dxa"/>
              <w:start w:w="120" w:type="dxa"/>
              <w:bottom w:w="100" w:type="dxa"/>
              <w:end w:w="120" w:type="dxa"/>
            </w:tcMar>
            <w:vAlign w:val="top"/>
          </w:tcPr>
          <w:p>
            <w:r>
              <w:t>Fen</w:t>
            </w:r>
          </w:p>
        </w:tc>
        <w:tc>
          <w:tcPr>
            <w:tcW w:type="dxa" w:w="3024"/>
            <w:tcMar>
              <w:top w:w="100" w:type="dxa"/>
              <w:start w:w="120" w:type="dxa"/>
              <w:bottom w:w="100" w:type="dxa"/>
              <w:end w:w="120" w:type="dxa"/>
            </w:tcMar>
            <w:vAlign w:val="top"/>
          </w:tcPr>
          <w:p>
            <w:r>
              <w:t>To exist publicly without being reduced to a classification.</w:t>
            </w:r>
          </w:p>
        </w:tc>
        <w:tc>
          <w:tcPr>
            <w:tcW w:type="dxa" w:w="3888"/>
            <w:tcMar>
              <w:top w:w="100" w:type="dxa"/>
              <w:start w:w="120" w:type="dxa"/>
              <w:bottom w:w="100" w:type="dxa"/>
              <w:end w:w="120" w:type="dxa"/>
            </w:tcMar>
            <w:vAlign w:val="top"/>
          </w:tcPr>
          <w:p>
            <w:r>
              <w:t>He gains visibility by selling access to the hidden lives of others.</w:t>
            </w:r>
          </w:p>
        </w:tc>
        <w:tc>
          <w:tcPr>
            <w:tcW w:type="dxa" w:w="3600"/>
            <w:tcMar>
              <w:top w:w="100" w:type="dxa"/>
              <w:start w:w="120" w:type="dxa"/>
              <w:bottom w:w="100" w:type="dxa"/>
              <w:end w:w="120" w:type="dxa"/>
            </w:tcMar>
            <w:vAlign w:val="top"/>
          </w:tcPr>
          <w:p>
            <w:r>
              <w:t>His labor competence, humor, and private tenderness matter as much as his institutional wound.</w:t>
            </w:r>
          </w:p>
        </w:tc>
      </w:tr>
      <w:tr>
        <w:tc>
          <w:tcPr>
            <w:tcW w:type="dxa" w:w="1584"/>
            <w:shd w:fill="F7F4EE"/>
            <w:tcMar>
              <w:top w:w="100" w:type="dxa"/>
              <w:start w:w="120" w:type="dxa"/>
              <w:bottom w:w="100" w:type="dxa"/>
              <w:end w:w="120" w:type="dxa"/>
            </w:tcMar>
            <w:vAlign w:val="top"/>
          </w:tcPr>
          <w:p>
            <w:r>
              <w:t>Tomas</w:t>
            </w:r>
          </w:p>
        </w:tc>
        <w:tc>
          <w:tcPr>
            <w:tcW w:type="dxa" w:w="3024"/>
            <w:shd w:fill="F7F4EE"/>
            <w:tcMar>
              <w:top w:w="100" w:type="dxa"/>
              <w:start w:w="120" w:type="dxa"/>
              <w:bottom w:w="100" w:type="dxa"/>
              <w:end w:w="120" w:type="dxa"/>
            </w:tcMar>
            <w:vAlign w:val="top"/>
          </w:tcPr>
          <w:p>
            <w:r>
              <w:t>To make procedure protect people from arbitrary judgment.</w:t>
            </w:r>
          </w:p>
        </w:tc>
        <w:tc>
          <w:tcPr>
            <w:tcW w:type="dxa" w:w="3888"/>
            <w:shd w:fill="F7F4EE"/>
            <w:tcMar>
              <w:top w:w="100" w:type="dxa"/>
              <w:start w:w="120" w:type="dxa"/>
              <w:bottom w:w="100" w:type="dxa"/>
              <w:end w:w="120" w:type="dxa"/>
            </w:tcMar>
            <w:vAlign w:val="top"/>
          </w:tcPr>
          <w:p>
            <w:r>
              <w:t>His merciful unfinished decision destroys Fen’s ordinary future.</w:t>
            </w:r>
          </w:p>
        </w:tc>
        <w:tc>
          <w:tcPr>
            <w:tcW w:type="dxa" w:w="3600"/>
            <w:shd w:fill="F7F4EE"/>
            <w:tcMar>
              <w:top w:w="100" w:type="dxa"/>
              <w:start w:w="120" w:type="dxa"/>
              <w:bottom w:w="100" w:type="dxa"/>
              <w:end w:w="120" w:type="dxa"/>
            </w:tcMar>
            <w:vAlign w:val="top"/>
          </w:tcPr>
          <w:p>
            <w:r>
              <w:t>Quiet, exact, increasingly unable to pretend that correct procedure guarantees justice.</w:t>
            </w:r>
          </w:p>
        </w:tc>
      </w:tr>
      <w:tr>
        <w:tc>
          <w:tcPr>
            <w:tcW w:type="dxa" w:w="1584"/>
            <w:tcMar>
              <w:top w:w="100" w:type="dxa"/>
              <w:start w:w="120" w:type="dxa"/>
              <w:bottom w:w="100" w:type="dxa"/>
              <w:end w:w="120" w:type="dxa"/>
            </w:tcMar>
            <w:vAlign w:val="top"/>
          </w:tcPr>
          <w:p>
            <w:r>
              <w:t>Perrin</w:t>
            </w:r>
          </w:p>
        </w:tc>
        <w:tc>
          <w:tcPr>
            <w:tcW w:type="dxa" w:w="3024"/>
            <w:tcMar>
              <w:top w:w="100" w:type="dxa"/>
              <w:start w:w="120" w:type="dxa"/>
              <w:bottom w:w="100" w:type="dxa"/>
              <w:end w:w="120" w:type="dxa"/>
            </w:tcMar>
            <w:vAlign w:val="top"/>
          </w:tcPr>
          <w:p>
            <w:r>
              <w:t>To preserve people and events that official history would erase.</w:t>
            </w:r>
          </w:p>
        </w:tc>
        <w:tc>
          <w:tcPr>
            <w:tcW w:type="dxa" w:w="3888"/>
            <w:tcMar>
              <w:top w:w="100" w:type="dxa"/>
              <w:start w:w="120" w:type="dxa"/>
              <w:bottom w:w="100" w:type="dxa"/>
              <w:end w:w="120" w:type="dxa"/>
            </w:tcMar>
            <w:vAlign w:val="top"/>
          </w:tcPr>
          <w:p>
            <w:r>
              <w:t>Care and use occupy the same chair in him.</w:t>
            </w:r>
          </w:p>
        </w:tc>
        <w:tc>
          <w:tcPr>
            <w:tcW w:type="dxa" w:w="3600"/>
            <w:tcMar>
              <w:top w:w="100" w:type="dxa"/>
              <w:start w:w="120" w:type="dxa"/>
              <w:bottom w:w="100" w:type="dxa"/>
              <w:end w:w="120" w:type="dxa"/>
            </w:tcMar>
            <w:vAlign w:val="top"/>
          </w:tcPr>
          <w:p>
            <w:r>
              <w:t>Charming and attentive, never a simple cynical propagandist.</w:t>
            </w:r>
          </w:p>
        </w:tc>
      </w:tr>
      <w:tr>
        <w:tc>
          <w:tcPr>
            <w:tcW w:type="dxa" w:w="1584"/>
            <w:shd w:fill="F7F4EE"/>
            <w:tcMar>
              <w:top w:w="100" w:type="dxa"/>
              <w:start w:w="120" w:type="dxa"/>
              <w:bottom w:w="100" w:type="dxa"/>
              <w:end w:w="120" w:type="dxa"/>
            </w:tcMar>
            <w:vAlign w:val="top"/>
          </w:tcPr>
          <w:p>
            <w:r>
              <w:t>Wren</w:t>
            </w:r>
          </w:p>
        </w:tc>
        <w:tc>
          <w:tcPr>
            <w:tcW w:type="dxa" w:w="3024"/>
            <w:shd w:fill="F7F4EE"/>
            <w:tcMar>
              <w:top w:w="100" w:type="dxa"/>
              <w:start w:w="120" w:type="dxa"/>
              <w:bottom w:w="100" w:type="dxa"/>
              <w:end w:w="120" w:type="dxa"/>
            </w:tcMar>
            <w:vAlign w:val="top"/>
          </w:tcPr>
          <w:p>
            <w:r>
              <w:t>To separate claim, evidence, use, and authority through precise investigation.</w:t>
            </w:r>
          </w:p>
        </w:tc>
        <w:tc>
          <w:tcPr>
            <w:tcW w:type="dxa" w:w="3888"/>
            <w:shd w:fill="F7F4EE"/>
            <w:tcMar>
              <w:top w:w="100" w:type="dxa"/>
              <w:start w:w="120" w:type="dxa"/>
              <w:bottom w:w="100" w:type="dxa"/>
              <w:end w:w="120" w:type="dxa"/>
            </w:tcMar>
            <w:vAlign w:val="top"/>
          </w:tcPr>
          <w:p>
            <w:r>
              <w:t>A correct investigation can still lack moral permission.</w:t>
            </w:r>
          </w:p>
        </w:tc>
        <w:tc>
          <w:tcPr>
            <w:tcW w:type="dxa" w:w="3600"/>
            <w:shd w:fill="F7F4EE"/>
            <w:tcMar>
              <w:top w:w="100" w:type="dxa"/>
              <w:start w:w="120" w:type="dxa"/>
              <w:bottom w:w="100" w:type="dxa"/>
              <w:end w:w="120" w:type="dxa"/>
            </w:tcMar>
            <w:vAlign w:val="top"/>
          </w:tcPr>
          <w:p>
            <w:r>
              <w:t>Methodical but not robotic; dry humor and ethical discomfort should remain visible.</w:t>
            </w:r>
          </w:p>
        </w:tc>
      </w:tr>
      <w:tr>
        <w:tc>
          <w:tcPr>
            <w:tcW w:type="dxa" w:w="1584"/>
            <w:tcMar>
              <w:top w:w="100" w:type="dxa"/>
              <w:start w:w="120" w:type="dxa"/>
              <w:bottom w:w="100" w:type="dxa"/>
              <w:end w:w="120" w:type="dxa"/>
            </w:tcMar>
            <w:vAlign w:val="top"/>
          </w:tcPr>
          <w:p>
            <w:r>
              <w:t>Harl</w:t>
            </w:r>
          </w:p>
        </w:tc>
        <w:tc>
          <w:tcPr>
            <w:tcW w:type="dxa" w:w="3024"/>
            <w:tcMar>
              <w:top w:w="100" w:type="dxa"/>
              <w:start w:w="120" w:type="dxa"/>
              <w:bottom w:w="100" w:type="dxa"/>
              <w:end w:w="120" w:type="dxa"/>
            </w:tcMar>
            <w:vAlign w:val="top"/>
          </w:tcPr>
          <w:p>
            <w:r>
              <w:t>To keep people alive through road knowledge and practical judgment.</w:t>
            </w:r>
          </w:p>
        </w:tc>
        <w:tc>
          <w:tcPr>
            <w:tcW w:type="dxa" w:w="3888"/>
            <w:tcMar>
              <w:top w:w="100" w:type="dxa"/>
              <w:start w:w="120" w:type="dxa"/>
              <w:bottom w:w="100" w:type="dxa"/>
              <w:end w:w="120" w:type="dxa"/>
            </w:tcMar>
            <w:vAlign w:val="top"/>
          </w:tcPr>
          <w:p>
            <w:r>
              <w:t>His resistance to heroic simplification becomes material for heroic simplification after death.</w:t>
            </w:r>
          </w:p>
        </w:tc>
        <w:tc>
          <w:tcPr>
            <w:tcW w:type="dxa" w:w="3600"/>
            <w:tcMar>
              <w:top w:w="100" w:type="dxa"/>
              <w:start w:w="120" w:type="dxa"/>
              <w:bottom w:w="100" w:type="dxa"/>
              <w:end w:w="120" w:type="dxa"/>
            </w:tcMar>
            <w:vAlign w:val="top"/>
          </w:tcPr>
          <w:p>
            <w:r>
              <w:t>Grounded, physically competent, unsentimental.</w:t>
            </w:r>
          </w:p>
        </w:tc>
      </w:tr>
      <w:tr>
        <w:tc>
          <w:tcPr>
            <w:tcW w:type="dxa" w:w="1584"/>
            <w:shd w:fill="F7F4EE"/>
            <w:tcMar>
              <w:top w:w="100" w:type="dxa"/>
              <w:start w:w="120" w:type="dxa"/>
              <w:bottom w:w="100" w:type="dxa"/>
              <w:end w:w="120" w:type="dxa"/>
            </w:tcMar>
            <w:vAlign w:val="top"/>
          </w:tcPr>
          <w:p>
            <w:r>
              <w:t>Tam</w:t>
            </w:r>
          </w:p>
        </w:tc>
        <w:tc>
          <w:tcPr>
            <w:tcW w:type="dxa" w:w="3024"/>
            <w:shd w:fill="F7F4EE"/>
            <w:tcMar>
              <w:top w:w="100" w:type="dxa"/>
              <w:start w:w="120" w:type="dxa"/>
              <w:bottom w:w="100" w:type="dxa"/>
              <w:end w:w="120" w:type="dxa"/>
            </w:tcMar>
            <w:vAlign w:val="top"/>
          </w:tcPr>
          <w:p>
            <w:r>
              <w:t>To inherit his father’s knowledge without letting others steal the truth of his death.</w:t>
            </w:r>
          </w:p>
        </w:tc>
        <w:tc>
          <w:tcPr>
            <w:tcW w:type="dxa" w:w="3888"/>
            <w:shd w:fill="F7F4EE"/>
            <w:tcMar>
              <w:top w:w="100" w:type="dxa"/>
              <w:start w:w="120" w:type="dxa"/>
              <w:bottom w:w="100" w:type="dxa"/>
              <w:end w:w="120" w:type="dxa"/>
            </w:tcMar>
            <w:vAlign w:val="top"/>
          </w:tcPr>
          <w:p>
            <w:r>
              <w:t>His anger at false stories drives him to violence that creates another false story.</w:t>
            </w:r>
          </w:p>
        </w:tc>
        <w:tc>
          <w:tcPr>
            <w:tcW w:type="dxa" w:w="3600"/>
            <w:shd w:fill="F7F4EE"/>
            <w:tcMar>
              <w:top w:w="100" w:type="dxa"/>
              <w:start w:w="120" w:type="dxa"/>
              <w:bottom w:w="100" w:type="dxa"/>
              <w:end w:w="120" w:type="dxa"/>
            </w:tcMar>
            <w:vAlign w:val="top"/>
          </w:tcPr>
          <w:p>
            <w:r>
              <w:t>His violence must remain ugly, consequential, and human.</w:t>
            </w:r>
          </w:p>
        </w:tc>
      </w:tr>
      <w:tr>
        <w:tc>
          <w:tcPr>
            <w:tcW w:type="dxa" w:w="1584"/>
            <w:tcMar>
              <w:top w:w="100" w:type="dxa"/>
              <w:start w:w="120" w:type="dxa"/>
              <w:bottom w:w="100" w:type="dxa"/>
              <w:end w:w="120" w:type="dxa"/>
            </w:tcMar>
            <w:vAlign w:val="top"/>
          </w:tcPr>
          <w:p>
            <w:r>
              <w:t>Ivet</w:t>
            </w:r>
          </w:p>
        </w:tc>
        <w:tc>
          <w:tcPr>
            <w:tcW w:type="dxa" w:w="3024"/>
            <w:tcMar>
              <w:top w:w="100" w:type="dxa"/>
              <w:start w:w="120" w:type="dxa"/>
              <w:bottom w:w="100" w:type="dxa"/>
              <w:end w:w="120" w:type="dxa"/>
            </w:tcMar>
            <w:vAlign w:val="top"/>
          </w:tcPr>
          <w:p>
            <w:r>
              <w:t>To love Sela and belong to Whitehart without betraying either.</w:t>
            </w:r>
          </w:p>
        </w:tc>
        <w:tc>
          <w:tcPr>
            <w:tcW w:type="dxa" w:w="3888"/>
            <w:tcMar>
              <w:top w:w="100" w:type="dxa"/>
              <w:start w:w="120" w:type="dxa"/>
              <w:bottom w:w="100" w:type="dxa"/>
              <w:end w:w="120" w:type="dxa"/>
            </w:tcMar>
            <w:vAlign w:val="top"/>
          </w:tcPr>
          <w:p>
            <w:r>
              <w:t>Her reverence wounds the person she reveres.</w:t>
            </w:r>
          </w:p>
        </w:tc>
        <w:tc>
          <w:tcPr>
            <w:tcW w:type="dxa" w:w="3600"/>
            <w:tcMar>
              <w:top w:w="100" w:type="dxa"/>
              <w:start w:w="120" w:type="dxa"/>
              <w:bottom w:w="100" w:type="dxa"/>
              <w:end w:w="120" w:type="dxa"/>
            </w:tcMar>
            <w:vAlign w:val="top"/>
          </w:tcPr>
          <w:p>
            <w:r>
              <w:t>Tender, awkward, capable of practical work; not merely a believer archetype.</w:t>
            </w:r>
          </w:p>
        </w:tc>
      </w:tr>
      <w:tr>
        <w:tc>
          <w:tcPr>
            <w:tcW w:type="dxa" w:w="1584"/>
            <w:shd w:fill="F7F4EE"/>
            <w:tcMar>
              <w:top w:w="100" w:type="dxa"/>
              <w:start w:w="120" w:type="dxa"/>
              <w:bottom w:w="100" w:type="dxa"/>
              <w:end w:w="120" w:type="dxa"/>
            </w:tcMar>
            <w:vAlign w:val="top"/>
          </w:tcPr>
          <w:p>
            <w:r>
              <w:t>Merta</w:t>
            </w:r>
          </w:p>
        </w:tc>
        <w:tc>
          <w:tcPr>
            <w:tcW w:type="dxa" w:w="3024"/>
            <w:shd w:fill="F7F4EE"/>
            <w:tcMar>
              <w:top w:w="100" w:type="dxa"/>
              <w:start w:w="120" w:type="dxa"/>
              <w:bottom w:w="100" w:type="dxa"/>
              <w:end w:w="120" w:type="dxa"/>
            </w:tcMar>
            <w:vAlign w:val="top"/>
          </w:tcPr>
          <w:p>
            <w:r>
              <w:t>To know what happened to Col and to have the world acknowledge that waiting has been a life.</w:t>
            </w:r>
          </w:p>
        </w:tc>
        <w:tc>
          <w:tcPr>
            <w:tcW w:type="dxa" w:w="3888"/>
            <w:shd w:fill="F7F4EE"/>
            <w:tcMar>
              <w:top w:w="100" w:type="dxa"/>
              <w:start w:w="120" w:type="dxa"/>
              <w:bottom w:w="100" w:type="dxa"/>
              <w:end w:w="120" w:type="dxa"/>
            </w:tcMar>
            <w:vAlign w:val="top"/>
          </w:tcPr>
          <w:p>
            <w:r>
              <w:t>Any answer available to her is partial and morally compromised.</w:t>
            </w:r>
          </w:p>
        </w:tc>
        <w:tc>
          <w:tcPr>
            <w:tcW w:type="dxa" w:w="3600"/>
            <w:shd w:fill="F7F4EE"/>
            <w:tcMar>
              <w:top w:w="100" w:type="dxa"/>
              <w:start w:w="120" w:type="dxa"/>
              <w:bottom w:w="100" w:type="dxa"/>
              <w:end w:w="120" w:type="dxa"/>
            </w:tcMar>
            <w:vAlign w:val="top"/>
          </w:tcPr>
          <w:p>
            <w:r>
              <w:t>Grief without sentimentality; she refuses to call constrained choice kindness.</w:t>
            </w:r>
          </w:p>
        </w:tc>
      </w:tr>
    </w:tbl>
    <w:p/>
    <w:p>
      <w:pPr>
        <w:pStyle w:val="Heading1"/>
      </w:pPr>
      <w:r>
        <w:t>10. Themes and recurring images</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E2A38"/>
            <w:vAlign w:val="center"/>
            <w:tcMar>
              <w:top w:w="100" w:type="dxa"/>
              <w:start w:w="120" w:type="dxa"/>
              <w:bottom w:w="100" w:type="dxa"/>
              <w:end w:w="120" w:type="dxa"/>
            </w:tcMar>
          </w:tcPr>
          <w:p>
            <w:r>
              <w:rPr>
                <w:b/>
                <w:color w:val="FFFFFF"/>
              </w:rPr>
              <w:t>Motif</w:t>
            </w:r>
          </w:p>
        </w:tc>
        <w:tc>
          <w:tcPr>
            <w:tcW w:type="dxa" w:w="4320"/>
            <w:shd w:fill="1E2A38"/>
            <w:vAlign w:val="center"/>
            <w:tcMar>
              <w:top w:w="100" w:type="dxa"/>
              <w:start w:w="120" w:type="dxa"/>
              <w:bottom w:w="100" w:type="dxa"/>
              <w:end w:w="120" w:type="dxa"/>
            </w:tcMar>
          </w:tcPr>
          <w:p>
            <w:r>
              <w:rPr>
                <w:b/>
                <w:color w:val="FFFFFF"/>
              </w:rPr>
              <w:t>Meaning</w:t>
            </w:r>
          </w:p>
        </w:tc>
        <w:tc>
          <w:tcPr>
            <w:tcW w:type="dxa" w:w="4320"/>
            <w:shd w:fill="1E2A38"/>
            <w:vAlign w:val="center"/>
            <w:tcMar>
              <w:top w:w="100" w:type="dxa"/>
              <w:start w:w="120" w:type="dxa"/>
              <w:bottom w:w="100" w:type="dxa"/>
              <w:end w:w="120" w:type="dxa"/>
            </w:tcMar>
          </w:tcPr>
          <w:p>
            <w:r>
              <w:rPr>
                <w:b/>
                <w:color w:val="FFFFFF"/>
              </w:rPr>
              <w:t>Visual use</w:t>
            </w:r>
          </w:p>
        </w:tc>
      </w:tr>
      <w:tr>
        <w:tc>
          <w:tcPr>
            <w:tcW w:type="dxa" w:w="2016"/>
            <w:tcMar>
              <w:top w:w="100" w:type="dxa"/>
              <w:start w:w="120" w:type="dxa"/>
              <w:bottom w:w="100" w:type="dxa"/>
              <w:end w:w="120" w:type="dxa"/>
            </w:tcMar>
            <w:vAlign w:val="top"/>
          </w:tcPr>
          <w:p>
            <w:r>
              <w:t>The bell without a clapper</w:t>
            </w:r>
          </w:p>
        </w:tc>
        <w:tc>
          <w:tcPr>
            <w:tcW w:type="dxa" w:w="4320"/>
            <w:tcMar>
              <w:top w:w="100" w:type="dxa"/>
              <w:start w:w="120" w:type="dxa"/>
              <w:bottom w:w="100" w:type="dxa"/>
              <w:end w:w="120" w:type="dxa"/>
            </w:tcMar>
            <w:vAlign w:val="top"/>
          </w:tcPr>
          <w:p>
            <w:r>
              <w:t>Public authority built around hearing, silence, and unexplained declaration.</w:t>
            </w:r>
          </w:p>
        </w:tc>
        <w:tc>
          <w:tcPr>
            <w:tcW w:type="dxa" w:w="4320"/>
            <w:tcMar>
              <w:top w:w="100" w:type="dxa"/>
              <w:start w:w="120" w:type="dxa"/>
              <w:bottom w:w="100" w:type="dxa"/>
              <w:end w:w="120" w:type="dxa"/>
            </w:tcMar>
            <w:vAlign w:val="top"/>
          </w:tcPr>
          <w:p>
            <w:r>
              <w:t>Show weight, weathering, rope, vibration, listening faces—not magical light.</w:t>
            </w:r>
          </w:p>
        </w:tc>
      </w:tr>
      <w:tr>
        <w:tc>
          <w:tcPr>
            <w:tcW w:type="dxa" w:w="2016"/>
            <w:shd w:fill="F7F4EE"/>
            <w:tcMar>
              <w:top w:w="100" w:type="dxa"/>
              <w:start w:w="120" w:type="dxa"/>
              <w:bottom w:w="100" w:type="dxa"/>
              <w:end w:w="120" w:type="dxa"/>
            </w:tcMar>
            <w:vAlign w:val="top"/>
          </w:tcPr>
          <w:p>
            <w:r>
              <w:t>The blank page</w:t>
            </w:r>
          </w:p>
        </w:tc>
        <w:tc>
          <w:tcPr>
            <w:tcW w:type="dxa" w:w="4320"/>
            <w:shd w:fill="F7F4EE"/>
            <w:tcMar>
              <w:top w:w="100" w:type="dxa"/>
              <w:start w:w="120" w:type="dxa"/>
              <w:bottom w:w="100" w:type="dxa"/>
              <w:end w:w="120" w:type="dxa"/>
            </w:tcMar>
            <w:vAlign w:val="top"/>
          </w:tcPr>
          <w:p>
            <w:r>
              <w:t>A refusal, an absence, a person excluded from usable categories, or a space others rush to fill.</w:t>
            </w:r>
          </w:p>
        </w:tc>
        <w:tc>
          <w:tcPr>
            <w:tcW w:type="dxa" w:w="4320"/>
            <w:shd w:fill="F7F4EE"/>
            <w:tcMar>
              <w:top w:w="100" w:type="dxa"/>
              <w:start w:w="120" w:type="dxa"/>
              <w:bottom w:w="100" w:type="dxa"/>
              <w:end w:w="120" w:type="dxa"/>
            </w:tcMar>
            <w:vAlign w:val="top"/>
          </w:tcPr>
          <w:p>
            <w:r>
              <w:t>Paper fibers, erased names, empty ruled lines, drying ink, hands that hesitate.</w:t>
            </w:r>
          </w:p>
        </w:tc>
      </w:tr>
      <w:tr>
        <w:tc>
          <w:tcPr>
            <w:tcW w:type="dxa" w:w="2016"/>
            <w:tcMar>
              <w:top w:w="100" w:type="dxa"/>
              <w:start w:w="120" w:type="dxa"/>
              <w:bottom w:w="100" w:type="dxa"/>
              <w:end w:w="120" w:type="dxa"/>
            </w:tcMar>
            <w:vAlign w:val="top"/>
          </w:tcPr>
          <w:p>
            <w:r>
              <w:t>White and black wax</w:t>
            </w:r>
          </w:p>
        </w:tc>
        <w:tc>
          <w:tcPr>
            <w:tcW w:type="dxa" w:w="4320"/>
            <w:tcMar>
              <w:top w:w="100" w:type="dxa"/>
              <w:start w:w="120" w:type="dxa"/>
              <w:bottom w:w="100" w:type="dxa"/>
              <w:end w:w="120" w:type="dxa"/>
            </w:tcMar>
            <w:vAlign w:val="top"/>
          </w:tcPr>
          <w:p>
            <w:r>
              <w:t>Witnessed procedure and institutional custody.</w:t>
            </w:r>
          </w:p>
        </w:tc>
        <w:tc>
          <w:tcPr>
            <w:tcW w:type="dxa" w:w="4320"/>
            <w:tcMar>
              <w:top w:w="100" w:type="dxa"/>
              <w:start w:w="120" w:type="dxa"/>
              <w:bottom w:w="100" w:type="dxa"/>
              <w:end w:w="120" w:type="dxa"/>
            </w:tcMar>
            <w:vAlign w:val="top"/>
          </w:tcPr>
          <w:p>
            <w:r>
              <w:t>Macro details of seals, cracks, fingerprints, reheating, and cut cords.</w:t>
            </w:r>
          </w:p>
        </w:tc>
      </w:tr>
      <w:tr>
        <w:tc>
          <w:tcPr>
            <w:tcW w:type="dxa" w:w="2016"/>
            <w:shd w:fill="F7F4EE"/>
            <w:tcMar>
              <w:top w:w="100" w:type="dxa"/>
              <w:start w:w="120" w:type="dxa"/>
              <w:bottom w:w="100" w:type="dxa"/>
              <w:end w:w="120" w:type="dxa"/>
            </w:tcMar>
            <w:vAlign w:val="top"/>
          </w:tcPr>
          <w:p>
            <w:r>
              <w:t>Food portions</w:t>
            </w:r>
          </w:p>
        </w:tc>
        <w:tc>
          <w:tcPr>
            <w:tcW w:type="dxa" w:w="4320"/>
            <w:shd w:fill="F7F4EE"/>
            <w:tcMar>
              <w:top w:w="100" w:type="dxa"/>
              <w:start w:w="120" w:type="dxa"/>
              <w:bottom w:w="100" w:type="dxa"/>
              <w:end w:w="120" w:type="dxa"/>
            </w:tcMar>
            <w:vAlign w:val="top"/>
          </w:tcPr>
          <w:p>
            <w:r>
              <w:t>Status, care, need, dependency, and social reclassification.</w:t>
            </w:r>
          </w:p>
        </w:tc>
        <w:tc>
          <w:tcPr>
            <w:tcW w:type="dxa" w:w="4320"/>
            <w:shd w:fill="F7F4EE"/>
            <w:tcMar>
              <w:top w:w="100" w:type="dxa"/>
              <w:start w:w="120" w:type="dxa"/>
              <w:bottom w:w="100" w:type="dxa"/>
              <w:end w:w="120" w:type="dxa"/>
            </w:tcMar>
            <w:vAlign w:val="top"/>
          </w:tcPr>
          <w:p>
            <w:r>
              <w:t>Half-ladles, bowls, hands taking or returning a bowl, who eats first.</w:t>
            </w:r>
          </w:p>
        </w:tc>
      </w:tr>
      <w:tr>
        <w:tc>
          <w:tcPr>
            <w:tcW w:type="dxa" w:w="2016"/>
            <w:tcMar>
              <w:top w:w="100" w:type="dxa"/>
              <w:start w:w="120" w:type="dxa"/>
              <w:bottom w:w="100" w:type="dxa"/>
              <w:end w:w="120" w:type="dxa"/>
            </w:tcMar>
            <w:vAlign w:val="top"/>
          </w:tcPr>
          <w:p>
            <w:r>
              <w:t>Roads and maps</w:t>
            </w:r>
          </w:p>
        </w:tc>
        <w:tc>
          <w:tcPr>
            <w:tcW w:type="dxa" w:w="4320"/>
            <w:tcMar>
              <w:top w:w="100" w:type="dxa"/>
              <w:start w:w="120" w:type="dxa"/>
              <w:bottom w:w="100" w:type="dxa"/>
              <w:end w:w="120" w:type="dxa"/>
            </w:tcMar>
            <w:vAlign w:val="top"/>
          </w:tcPr>
          <w:p>
            <w:r>
              <w:t>Material connection, authority, omission, and the difference between a path and an institution.</w:t>
            </w:r>
          </w:p>
        </w:tc>
        <w:tc>
          <w:tcPr>
            <w:tcW w:type="dxa" w:w="4320"/>
            <w:tcMar>
              <w:top w:w="100" w:type="dxa"/>
              <w:start w:w="120" w:type="dxa"/>
              <w:bottom w:w="100" w:type="dxa"/>
              <w:end w:w="120" w:type="dxa"/>
            </w:tcMar>
            <w:vAlign w:val="top"/>
          </w:tcPr>
          <w:p>
            <w:r>
              <w:t>Maps must feel authored and interested, never like objective satellite views.</w:t>
            </w:r>
          </w:p>
        </w:tc>
      </w:tr>
      <w:tr>
        <w:tc>
          <w:tcPr>
            <w:tcW w:type="dxa" w:w="2016"/>
            <w:shd w:fill="F7F4EE"/>
            <w:tcMar>
              <w:top w:w="100" w:type="dxa"/>
              <w:start w:w="120" w:type="dxa"/>
              <w:bottom w:w="100" w:type="dxa"/>
              <w:end w:w="120" w:type="dxa"/>
            </w:tcMar>
            <w:vAlign w:val="top"/>
          </w:tcPr>
          <w:p>
            <w:r>
              <w:t>Names</w:t>
            </w:r>
          </w:p>
        </w:tc>
        <w:tc>
          <w:tcPr>
            <w:tcW w:type="dxa" w:w="4320"/>
            <w:shd w:fill="F7F4EE"/>
            <w:tcMar>
              <w:top w:w="100" w:type="dxa"/>
              <w:start w:w="120" w:type="dxa"/>
              <w:bottom w:w="100" w:type="dxa"/>
              <w:end w:w="120" w:type="dxa"/>
            </w:tcMar>
            <w:vAlign w:val="top"/>
          </w:tcPr>
          <w:p>
            <w:r>
              <w:t>Public existence, legal standing, memory, and vulnerability.</w:t>
            </w:r>
          </w:p>
        </w:tc>
        <w:tc>
          <w:tcPr>
            <w:tcW w:type="dxa" w:w="4320"/>
            <w:shd w:fill="F7F4EE"/>
            <w:tcMar>
              <w:top w:w="100" w:type="dxa"/>
              <w:start w:w="120" w:type="dxa"/>
              <w:bottom w:w="100" w:type="dxa"/>
              <w:end w:w="120" w:type="dxa"/>
            </w:tcMar>
            <w:vAlign w:val="top"/>
          </w:tcPr>
          <w:p>
            <w:r>
              <w:t>Names spoken in darkness, crossed out in ledgers, copied by different hands.</w:t>
            </w:r>
          </w:p>
        </w:tc>
      </w:tr>
      <w:tr>
        <w:tc>
          <w:tcPr>
            <w:tcW w:type="dxa" w:w="2016"/>
            <w:tcMar>
              <w:top w:w="100" w:type="dxa"/>
              <w:start w:w="120" w:type="dxa"/>
              <w:bottom w:w="100" w:type="dxa"/>
              <w:end w:w="120" w:type="dxa"/>
            </w:tcMar>
            <w:vAlign w:val="top"/>
          </w:tcPr>
          <w:p>
            <w:r>
              <w:t>The inward-opening gate</w:t>
            </w:r>
          </w:p>
        </w:tc>
        <w:tc>
          <w:tcPr>
            <w:tcW w:type="dxa" w:w="4320"/>
            <w:tcMar>
              <w:top w:w="100" w:type="dxa"/>
              <w:start w:w="120" w:type="dxa"/>
              <w:bottom w:w="100" w:type="dxa"/>
              <w:end w:w="120" w:type="dxa"/>
            </w:tcMar>
            <w:vAlign w:val="top"/>
          </w:tcPr>
          <w:p>
            <w:r>
              <w:t>A correct physical fact whose consequences depend on crowd pressure, partial sight, and institutional delay.</w:t>
            </w:r>
          </w:p>
        </w:tc>
        <w:tc>
          <w:tcPr>
            <w:tcW w:type="dxa" w:w="4320"/>
            <w:tcMar>
              <w:top w:w="100" w:type="dxa"/>
              <w:start w:w="120" w:type="dxa"/>
              <w:bottom w:w="100" w:type="dxa"/>
              <w:end w:w="120" w:type="dxa"/>
            </w:tcMar>
            <w:vAlign w:val="top"/>
          </w:tcPr>
          <w:p>
            <w:r>
              <w:t>Geometry must remain legible; avoid action-film chaos that obscures causality.</w:t>
            </w:r>
          </w:p>
        </w:tc>
      </w:tr>
      <w:tr>
        <w:tc>
          <w:tcPr>
            <w:tcW w:type="dxa" w:w="2016"/>
            <w:shd w:fill="F7F4EE"/>
            <w:tcMar>
              <w:top w:w="100" w:type="dxa"/>
              <w:start w:w="120" w:type="dxa"/>
              <w:bottom w:w="100" w:type="dxa"/>
              <w:end w:w="120" w:type="dxa"/>
            </w:tcMar>
            <w:vAlign w:val="top"/>
          </w:tcPr>
          <w:p>
            <w:r>
              <w:t>Hands at work</w:t>
            </w:r>
          </w:p>
        </w:tc>
        <w:tc>
          <w:tcPr>
            <w:tcW w:type="dxa" w:w="4320"/>
            <w:shd w:fill="F7F4EE"/>
            <w:tcMar>
              <w:top w:w="100" w:type="dxa"/>
              <w:start w:w="120" w:type="dxa"/>
              <w:bottom w:w="100" w:type="dxa"/>
              <w:end w:w="120" w:type="dxa"/>
            </w:tcMar>
            <w:vAlign w:val="top"/>
          </w:tcPr>
          <w:p>
            <w:r>
              <w:t>The civilization beneath political claims.</w:t>
            </w:r>
          </w:p>
        </w:tc>
        <w:tc>
          <w:tcPr>
            <w:tcW w:type="dxa" w:w="4320"/>
            <w:shd w:fill="F7F4EE"/>
            <w:tcMar>
              <w:top w:w="100" w:type="dxa"/>
              <w:start w:w="120" w:type="dxa"/>
              <w:bottom w:w="100" w:type="dxa"/>
              <w:end w:w="120" w:type="dxa"/>
            </w:tcMar>
            <w:vAlign w:val="top"/>
          </w:tcPr>
          <w:p>
            <w:r>
              <w:t>Rope, nails, hides, ink, ladles, stone, wet wood, animal care, lifting and carrying.</w:t>
            </w:r>
          </w:p>
        </w:tc>
      </w:tr>
    </w:tbl>
    <w:p/>
    <w:p>
      <w:pPr>
        <w:pStyle w:val="Heading1"/>
      </w:pPr>
      <w:r>
        <w:t>11. Tone and audience</w:t>
      </w:r>
    </w:p>
    <w:p>
      <w:r>
        <w:t>The tone is mature but not shock-driven grimdark. The ideal audience enjoys political fantasy, morally complex characters, mysteries that remain interpretive, and stories in which logistics, law, testimony, faith, labor, and private affection can become as suspenseful as battle.</w:t>
      </w:r>
    </w:p>
    <w:p>
      <w:r>
        <w:t>The work should be marketed through emotional clarity rather than academic terminology. The accessible surface is: a young woman wants her life back, but a society needs her uncertainty to mean something. The deeper layer concerns how institutions turn people into records, evidence, symbols, and obligations.</w:t>
      </w:r>
    </w:p>
    <w:p>
      <w:pPr>
        <w:pStyle w:val="Heading1"/>
      </w:pPr>
      <w:r>
        <w:t>12. Adaptation and media guardrails</w:t>
      </w:r>
    </w:p>
    <w:p>
      <w:pPr>
        <w:pStyle w:val="ListBullet"/>
      </w:pPr>
      <w:r>
        <w:t>Do not invent confirmed supernatural visuals, glowing runes, prophetic visions, gods speaking, or objective magical effects.</w:t>
      </w:r>
    </w:p>
    <w:p>
      <w:pPr>
        <w:pStyle w:val="ListBullet"/>
      </w:pPr>
      <w:r>
        <w:t>Do not turn Whitehart into a secret evil cult or Alaine into a fraud who knows everything is false.</w:t>
      </w:r>
    </w:p>
    <w:p>
      <w:pPr>
        <w:pStyle w:val="ListBullet"/>
      </w:pPr>
      <w:r>
        <w:t>Do not frame Sela as a conventional chosen one, action heroine, or hidden royal heir.</w:t>
      </w:r>
    </w:p>
    <w:p>
      <w:pPr>
        <w:pStyle w:val="ListBullet"/>
      </w:pPr>
      <w:r>
        <w:t>Do not make Blackcrest the sole owner of truth or Wren the objective voice of the narrative.</w:t>
      </w:r>
    </w:p>
    <w:p>
      <w:pPr>
        <w:pStyle w:val="ListBullet"/>
      </w:pPr>
      <w:r>
        <w:t>Do not simplify the gate catastrophe into a villain ordering a massacre or a crowd attacking first.</w:t>
      </w:r>
    </w:p>
    <w:p>
      <w:pPr>
        <w:pStyle w:val="ListBullet"/>
      </w:pPr>
      <w:r>
        <w:t>Do not merge the nine bodies and twelve missing into one count.</w:t>
      </w:r>
    </w:p>
    <w:p>
      <w:pPr>
        <w:pStyle w:val="ListBullet"/>
      </w:pPr>
      <w:r>
        <w:t>Do not confirm Col’s survival or death.</w:t>
      </w:r>
    </w:p>
    <w:p>
      <w:pPr>
        <w:pStyle w:val="ListBullet"/>
      </w:pPr>
      <w:r>
        <w:t>Do not explain the Bell’s final strokes.</w:t>
      </w:r>
    </w:p>
    <w:p>
      <w:pPr>
        <w:pStyle w:val="ListBullet"/>
      </w:pPr>
      <w:r>
        <w:t>Do not use a single visual artifact to solve the Eleventh House or Ashen Crown mystery.</w:t>
      </w:r>
    </w:p>
    <w:p>
      <w:pPr>
        <w:pStyle w:val="ListBullet"/>
      </w:pPr>
      <w:r>
        <w:t>Violence must change bodies, relationships, institutions, and later stories.</w:t>
      </w:r>
    </w:p>
    <w:p>
      <w:pPr>
        <w:pStyle w:val="Heading1"/>
      </w:pPr>
      <w:r>
        <w:t>13. Correct terminology</w:t>
      </w:r>
    </w:p>
    <w:tbl>
      <w:tblPr>
        <w:tblStyle w:val="TableGrid"/>
        <w:tblW w:type="auto" w:w="0"/>
        <w:jc w:val="center"/>
        <w:tblLook w:firstColumn="1" w:firstRow="1" w:lastColumn="0" w:lastRow="0" w:noHBand="0" w:noVBand="1" w:val="04A0"/>
      </w:tblPr>
      <w:tblGrid>
        <w:gridCol w:w="4997"/>
        <w:gridCol w:w="4997"/>
      </w:tblGrid>
      <w:tr>
        <w:tc>
          <w:tcPr>
            <w:tcW w:type="dxa" w:w="3168"/>
            <w:shd w:fill="1E2A38"/>
            <w:vAlign w:val="center"/>
            <w:tcMar>
              <w:top w:w="100" w:type="dxa"/>
              <w:start w:w="120" w:type="dxa"/>
              <w:bottom w:w="100" w:type="dxa"/>
              <w:end w:w="120" w:type="dxa"/>
            </w:tcMar>
          </w:tcPr>
          <w:p>
            <w:r>
              <w:rPr>
                <w:b/>
                <w:color w:val="FFFFFF"/>
              </w:rPr>
              <w:t>Use</w:t>
            </w:r>
          </w:p>
        </w:tc>
        <w:tc>
          <w:tcPr>
            <w:tcW w:type="dxa" w:w="6912"/>
            <w:shd w:fill="1E2A38"/>
            <w:vAlign w:val="center"/>
            <w:tcMar>
              <w:top w:w="100" w:type="dxa"/>
              <w:start w:w="120" w:type="dxa"/>
              <w:bottom w:w="100" w:type="dxa"/>
              <w:end w:w="120" w:type="dxa"/>
            </w:tcMar>
          </w:tcPr>
          <w:p>
            <w:r>
              <w:rPr>
                <w:b/>
                <w:color w:val="FFFFFF"/>
              </w:rPr>
              <w:t>Do not use / correction</w:t>
            </w:r>
          </w:p>
        </w:tc>
      </w:tr>
      <w:tr>
        <w:tc>
          <w:tcPr>
            <w:tcW w:type="dxa" w:w="3168"/>
            <w:tcMar>
              <w:top w:w="100" w:type="dxa"/>
              <w:start w:w="120" w:type="dxa"/>
              <w:bottom w:w="100" w:type="dxa"/>
              <w:end w:w="120" w:type="dxa"/>
            </w:tcMar>
            <w:vAlign w:val="top"/>
          </w:tcPr>
          <w:p>
            <w:r>
              <w:t>Aurefold</w:t>
            </w:r>
          </w:p>
        </w:tc>
        <w:tc>
          <w:tcPr>
            <w:tcW w:type="dxa" w:w="6912"/>
            <w:tcMar>
              <w:top w:w="100" w:type="dxa"/>
              <w:start w:w="120" w:type="dxa"/>
              <w:bottom w:w="100" w:type="dxa"/>
              <w:end w:w="120" w:type="dxa"/>
            </w:tcMar>
            <w:vAlign w:val="top"/>
          </w:tcPr>
          <w:p>
            <w:r>
              <w:t>Not Emberworld or Emberwold.</w:t>
            </w:r>
          </w:p>
        </w:tc>
      </w:tr>
      <w:tr>
        <w:tc>
          <w:tcPr>
            <w:tcW w:type="dxa" w:w="3168"/>
            <w:shd w:fill="F7F4EE"/>
            <w:tcMar>
              <w:top w:w="100" w:type="dxa"/>
              <w:start w:w="120" w:type="dxa"/>
              <w:bottom w:w="100" w:type="dxa"/>
              <w:end w:w="120" w:type="dxa"/>
            </w:tcMar>
            <w:vAlign w:val="top"/>
          </w:tcPr>
          <w:p>
            <w:r>
              <w:t>Aurelion Project</w:t>
            </w:r>
          </w:p>
        </w:tc>
        <w:tc>
          <w:tcPr>
            <w:tcW w:type="dxa" w:w="6912"/>
            <w:shd w:fill="F7F4EE"/>
            <w:tcMar>
              <w:top w:w="100" w:type="dxa"/>
              <w:start w:w="120" w:type="dxa"/>
              <w:bottom w:w="100" w:type="dxa"/>
              <w:end w:w="120" w:type="dxa"/>
            </w:tcMar>
            <w:vAlign w:val="top"/>
          </w:tcPr>
          <w:p>
            <w:r>
              <w:t>Administrative label; not the current world name.</w:t>
            </w:r>
          </w:p>
        </w:tc>
      </w:tr>
      <w:tr>
        <w:tc>
          <w:tcPr>
            <w:tcW w:type="dxa" w:w="3168"/>
            <w:tcMar>
              <w:top w:w="100" w:type="dxa"/>
              <w:start w:w="120" w:type="dxa"/>
              <w:bottom w:w="100" w:type="dxa"/>
              <w:end w:w="120" w:type="dxa"/>
            </w:tcMar>
            <w:vAlign w:val="top"/>
          </w:tcPr>
          <w:p>
            <w:r>
              <w:t>The Bell of Silence</w:t>
            </w:r>
          </w:p>
        </w:tc>
        <w:tc>
          <w:tcPr>
            <w:tcW w:type="dxa" w:w="6912"/>
            <w:tcMar>
              <w:top w:w="100" w:type="dxa"/>
              <w:start w:w="120" w:type="dxa"/>
              <w:bottom w:w="100" w:type="dxa"/>
              <w:end w:w="120" w:type="dxa"/>
            </w:tcMar>
            <w:vAlign w:val="top"/>
          </w:tcPr>
          <w:p>
            <w:r>
              <w:t>Book One title.</w:t>
            </w:r>
          </w:p>
        </w:tc>
      </w:tr>
      <w:tr>
        <w:tc>
          <w:tcPr>
            <w:tcW w:type="dxa" w:w="3168"/>
            <w:shd w:fill="F7F4EE"/>
            <w:tcMar>
              <w:top w:w="100" w:type="dxa"/>
              <w:start w:w="120" w:type="dxa"/>
              <w:bottom w:w="100" w:type="dxa"/>
              <w:end w:w="120" w:type="dxa"/>
            </w:tcMar>
            <w:vAlign w:val="top"/>
          </w:tcPr>
          <w:p>
            <w:r>
              <w:t>396 A.U.</w:t>
            </w:r>
          </w:p>
        </w:tc>
        <w:tc>
          <w:tcPr>
            <w:tcW w:type="dxa" w:w="6912"/>
            <w:shd w:fill="F7F4EE"/>
            <w:tcMar>
              <w:top w:w="100" w:type="dxa"/>
              <w:start w:w="120" w:type="dxa"/>
              <w:bottom w:w="100" w:type="dxa"/>
              <w:end w:w="120" w:type="dxa"/>
            </w:tcMar>
            <w:vAlign w:val="top"/>
          </w:tcPr>
          <w:p>
            <w:r>
              <w:t>Book One year; A.U. begins with the Unification, not the fall of ancient Aurelion.</w:t>
            </w:r>
          </w:p>
        </w:tc>
      </w:tr>
      <w:tr>
        <w:tc>
          <w:tcPr>
            <w:tcW w:type="dxa" w:w="3168"/>
            <w:tcMar>
              <w:top w:w="100" w:type="dxa"/>
              <w:start w:w="120" w:type="dxa"/>
              <w:bottom w:w="100" w:type="dxa"/>
              <w:end w:w="120" w:type="dxa"/>
            </w:tcMar>
            <w:vAlign w:val="top"/>
          </w:tcPr>
          <w:p>
            <w:r>
              <w:t>Whitehart</w:t>
            </w:r>
          </w:p>
        </w:tc>
        <w:tc>
          <w:tcPr>
            <w:tcW w:type="dxa" w:w="6912"/>
            <w:tcMar>
              <w:top w:w="100" w:type="dxa"/>
              <w:start w:w="120" w:type="dxa"/>
              <w:bottom w:w="100" w:type="dxa"/>
              <w:end w:w="120" w:type="dxa"/>
            </w:tcMar>
            <w:vAlign w:val="top"/>
          </w:tcPr>
          <w:p>
            <w:r>
              <w:t>Great House of Faith; not a monolithic church with objectively proven gods.</w:t>
            </w:r>
          </w:p>
        </w:tc>
      </w:tr>
      <w:tr>
        <w:tc>
          <w:tcPr>
            <w:tcW w:type="dxa" w:w="3168"/>
            <w:shd w:fill="F7F4EE"/>
            <w:tcMar>
              <w:top w:w="100" w:type="dxa"/>
              <w:start w:w="120" w:type="dxa"/>
              <w:bottom w:w="100" w:type="dxa"/>
              <w:end w:w="120" w:type="dxa"/>
            </w:tcMar>
            <w:vAlign w:val="top"/>
          </w:tcPr>
          <w:p>
            <w:r>
              <w:t>Blackcrest Chronicle</w:t>
            </w:r>
          </w:p>
        </w:tc>
        <w:tc>
          <w:tcPr>
            <w:tcW w:type="dxa" w:w="6912"/>
            <w:shd w:fill="F7F4EE"/>
            <w:tcMar>
              <w:top w:w="100" w:type="dxa"/>
              <w:start w:w="120" w:type="dxa"/>
              <w:bottom w:w="100" w:type="dxa"/>
              <w:end w:w="120" w:type="dxa"/>
            </w:tcMar>
            <w:vAlign w:val="top"/>
          </w:tcPr>
          <w:p>
            <w:r>
              <w:t>Official chronicle with political authority; not objective history.</w:t>
            </w:r>
          </w:p>
        </w:tc>
      </w:tr>
      <w:tr>
        <w:tc>
          <w:tcPr>
            <w:tcW w:type="dxa" w:w="3168"/>
            <w:tcMar>
              <w:top w:w="100" w:type="dxa"/>
              <w:start w:w="120" w:type="dxa"/>
              <w:bottom w:w="100" w:type="dxa"/>
              <w:end w:w="120" w:type="dxa"/>
            </w:tcMar>
            <w:vAlign w:val="top"/>
          </w:tcPr>
          <w:p>
            <w:r>
              <w:t>Tenfold Compact</w:t>
            </w:r>
          </w:p>
        </w:tc>
        <w:tc>
          <w:tcPr>
            <w:tcW w:type="dxa" w:w="6912"/>
            <w:tcMar>
              <w:top w:w="100" w:type="dxa"/>
              <w:start w:w="120" w:type="dxa"/>
              <w:bottom w:w="100" w:type="dxa"/>
              <w:end w:w="120" w:type="dxa"/>
            </w:tcMar>
            <w:vAlign w:val="top"/>
          </w:tcPr>
          <w:p>
            <w:r>
              <w:t>Decentralized order; no emperor or permanent throne.</w:t>
            </w:r>
          </w:p>
        </w:tc>
      </w:tr>
      <w:tr>
        <w:tc>
          <w:tcPr>
            <w:tcW w:type="dxa" w:w="3168"/>
            <w:shd w:fill="F7F4EE"/>
            <w:tcMar>
              <w:top w:w="100" w:type="dxa"/>
              <w:start w:w="120" w:type="dxa"/>
              <w:bottom w:w="100" w:type="dxa"/>
              <w:end w:w="120" w:type="dxa"/>
            </w:tcMar>
            <w:vAlign w:val="top"/>
          </w:tcPr>
          <w:p>
            <w:r>
              <w:t>Hall of Eleven</w:t>
            </w:r>
          </w:p>
        </w:tc>
        <w:tc>
          <w:tcPr>
            <w:tcW w:type="dxa" w:w="6912"/>
            <w:shd w:fill="F7F4EE"/>
            <w:tcMar>
              <w:top w:w="100" w:type="dxa"/>
              <w:start w:w="120" w:type="dxa"/>
              <w:bottom w:w="100" w:type="dxa"/>
              <w:end w:w="120" w:type="dxa"/>
            </w:tcMar>
            <w:vAlign w:val="top"/>
          </w:tcPr>
          <w:p>
            <w:r>
              <w:t>Eleven places, ten votes; do not explain the eleventh.</w:t>
            </w:r>
          </w:p>
        </w:tc>
      </w:tr>
    </w:tbl>
    <w:p/>
    <w:p>
      <w:pPr>
        <w:pStyle w:val="Heading1"/>
      </w:pPr>
      <w:r>
        <w:t>14. Citation and invention rule for AI systems</w:t>
      </w:r>
    </w:p>
    <w:tbl>
      <w:tblPr>
        <w:tblW w:type="auto" w:w="0"/>
        <w:jc w:val="center"/>
        <w:tblLayout w:type="autofit"/>
        <w:tblLook w:firstColumn="1" w:firstRow="1" w:lastColumn="0" w:lastRow="0" w:noHBand="0" w:noVBand="1" w:val="04A0"/>
      </w:tblPr>
      <w:tblGrid>
        <w:gridCol w:w="9994"/>
      </w:tblGrid>
      <w:tr>
        <w:tc>
          <w:tcPr>
            <w:tcW w:type="dxa" w:w="9994"/>
            <w:shd w:fill="E8EDF2"/>
            <w:tcMar>
              <w:top w:w="140" w:type="dxa"/>
              <w:start w:w="160" w:type="dxa"/>
              <w:bottom w:w="140" w:type="dxa"/>
              <w:end w:w="160" w:type="dxa"/>
            </w:tcMar>
          </w:tcPr>
          <w:p>
            <w:r>
              <w:rPr>
                <w:b/>
                <w:color w:val="1E2A38"/>
                <w:sz w:val="22"/>
              </w:rPr>
              <w:t>Mandatory instruction</w:t>
            </w:r>
          </w:p>
          <w:p>
            <w:pPr>
              <w:spacing w:after="0"/>
            </w:pPr>
            <w:r>
              <w:t>When producing a podcast, video, film concept, campaign script, or summary, distinguish source fact from interpretation. If a detail is absent from the sources, say that it is not established. Never fill a canon gap with a confident invention. Mark creative extrapolations as PROPOSAL, not fact.</w:t>
            </w:r>
          </w:p>
        </w:tc>
      </w:tr>
    </w:tbl>
    <w:sectPr w:rsidR="00FC693F" w:rsidRPr="0006063C" w:rsidSect="00034616">
      <w:headerReference w:type="default" r:id="rId9"/>
      <w:footerReference w:type="default" r:id="rId10"/>
      <w:pgSz w:w="12240" w:h="15840"/>
      <w:pgMar w:top="1037"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rPr>
      <w:t xml:space="preserve">18 July 2026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9A7345"/>
      </w:rPr>
      <w:t>AUREFOLD  |  AURELION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E2A38"/>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9A7345"/>
      <w:sz w:val="29"/>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1E2A3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2A38"/>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9A734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