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AUREFOLD BOOK ONE</w:t>
      </w:r>
    </w:p>
    <w:p>
      <w:pPr>
        <w:pStyle w:val="Subtitle"/>
        <w:jc w:val="center"/>
      </w:pPr>
      <w:r>
        <w:t>Object Ledger v1.0 | The Bell of Silence | 18 July 2026</w:t>
      </w:r>
    </w:p>
    <w:p>
      <w:pPr>
        <w:jc w:val="center"/>
      </w:pPr>
      <w:r>
        <w:rPr>
          <w:b/>
          <w:color w:val="5A6970"/>
          <w:sz w:val="17"/>
        </w:rPr>
        <w:t>Aurelion Project | Aurefold | Book One</w:t>
      </w:r>
    </w:p>
    <w:p/>
    <w:p>
      <w:r>
        <w:rPr>
          <w:b/>
        </w:rPr>
        <w:t xml:space="preserve">Authority status: </w:t>
      </w:r>
      <w:r>
        <w:t>GOVERNING BOOK-SPECIFIC CONTINUITY. Tracks materially consequential objects, records, tools, and built systems. Creates no new Canon Lock.</w:t>
      </w:r>
    </w:p>
    <w:p>
      <w:pPr>
        <w:pStyle w:val="Heading1"/>
      </w:pPr>
      <w:r>
        <w:t>1. Governing object rules</w:t>
      </w:r>
    </w:p>
    <w:p>
      <w:pPr>
        <w:pStyle w:val="ListBullet"/>
      </w:pPr>
      <w:r>
        <w:t>An object may carry evidence, labor, custody, debt, ritual, memory, or legal effect without proving objective history.</w:t>
      </w:r>
    </w:p>
    <w:p>
      <w:pPr>
        <w:pStyle w:val="ListBullet"/>
      </w:pPr>
      <w:r>
        <w:t>Custody changes must be recorded when they alter character power or cross-book continuity.</w:t>
      </w:r>
    </w:p>
    <w:p>
      <w:pPr>
        <w:pStyle w:val="ListBullet"/>
      </w:pPr>
      <w:r>
        <w:t>No object may independently prove magic, Col’s fate, or the erased Eleventh House.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800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Object / record</w:t>
            </w:r>
          </w:p>
        </w:tc>
        <w:tc>
          <w:tcPr>
            <w:tcW w:type="dxa" w:w="1224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First major use</w:t>
            </w:r>
          </w:p>
        </w:tc>
        <w:tc>
          <w:tcPr>
            <w:tcW w:type="dxa" w:w="2880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Custody and movement</w:t>
            </w:r>
          </w:p>
        </w:tc>
        <w:tc>
          <w:tcPr>
            <w:tcW w:type="dxa" w:w="3240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Narrative / political function</w:t>
            </w:r>
          </w:p>
        </w:tc>
        <w:tc>
          <w:tcPr>
            <w:tcW w:type="dxa" w:w="2448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End state</w:t>
            </w:r>
          </w:p>
        </w:tc>
        <w:tc>
          <w:tcPr>
            <w:tcW w:type="dxa" w:w="1080"/>
            <w:shd w:fill="D9E5E9"/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Status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Whitehart Ledger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Held by Whitehart; Tomas controls testing entry; Fen’s page unfinished; Selas page left blank.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Turns procedure into standing, inheritance, office, marriage, and external recognition.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Selas page blank; Fen unclosed; Col red entry remains.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LÅST / 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Burned trial notes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1 / prologue context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Tomas writes temporary observation and burns it; Whitehart practice destroys reasoning after judgment.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Protects uncertainty from doctrine while preventing later review.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No surviving Selas trial note.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LÅST practice in Book One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Perrin’s commission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Prologue / Ch. 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Issued at Crown-watch; carried to Whitehart; authorizes collection without compulsion.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Connects local trial to Jubilee and Chronicle power.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Commission fulfilled incompletely; use remains open.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Perrin’s small notebook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Prologue onward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Perrin records Wren’s unwanted elegant phrase and later ordinary testimony.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Care and extraction in one object.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Leaves Whitehart with Perrin.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Sela’s wire-bound bowl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Brought from home; taken, washed, returned; packed then left with Ivet.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Private family object repeatedly turned toward reverence.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Remains at Whitehart with Ivet / household continuity.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Harl’s knife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Harl lends it; retains ownership; after death Tam cleans, oils, and gives it hilt-first to Sela in Ch. 33.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Practical trust, inheritance, and earned departure object.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Sela leaves east carrying it.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LÅST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Sela’s goat counters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27 (earlier private use implied)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One white stone with grey stripe becomes one of Ansels nine ration-day objects; placed in Selas palm by Alaine.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Turns childhood work into political authority and burden.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Custody after gate order not narratively important.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The good chair in Merta’s kitchen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12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Kept empty for Col; Merta later moves and sits in it.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Waiting, refusal, and partial reclamation.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Remains with Merta.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Col’s sleeve / coat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6 / Ch. 30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Merta preserves clothing; lays coat across table when Fen brings Wilda’s account.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Material grief without proof of survival or death.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Remains with Merta as she considers the pass.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Protected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East Shoulder grave material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Exposed by thaw; examined, disputed, and reclosed.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Evidence whose arrangement and provenance cannot be recovered cleanly.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Reclosed; no single object proves identity or Eleventh.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LÅST safeguard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Bell and shod beam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Throughout / Ch. 34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Bell has no clapper; people operate outer beam by hand; sounds beyond normal political count.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Institution requires human labor to make silence speak.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Sounding unexplained.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LÅST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Harl’s older rope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15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Tam selects it for wet-knot and load behavior; used in rescue.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Practical expertise later simplified into hero story.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Physical final state secondary; account remains contested.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Four body marks / tags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16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Fen receives bodies and records physical marks while office ownership remains unclear.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Identification versus public narrative.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Burial completed; records survive in multiple forms.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Wren’s field notes and source marks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11 onward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Measurements, reconstructions, source separations; later divided into report and key.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Makes method visible and later limits its own use.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Accepted as working material, not authoritative Chronicle text.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Entered cross-book continuity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Marked cups and white cloth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19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Used to trace water and illness; marks stigmatize households after illness declines.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Technique helps bodies and harms standing.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Social residue remains.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Duskport credit papers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20 onward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Authorize timber, fittings, carts, grain, and labor; costs and profit read publicly by Nella.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Aid creates debt, traceability, and future leverage.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Obligations remain after grain arrival.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Iron fittings and runnel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21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Delivered by Tervan; fails, is corrected with Fen’s hidden route knowledge; becomes water spine and street.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Infrastructure converts temporary camp into durable settlement.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Runnel remains; ownership and maintenance political.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Bright planning cord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22–24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Appears beside work systems; Yrsa uses it for lines; goat disrupts it; converted into ink plan and pegs.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Planning precedes permission and creates behavior.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Cord partly cut and reused; plan persists.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Permanent pegs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24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Placed for fire, roads, ovens, and plots; begin to lean before Orla arrives.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Temporary guidance becomes land claim and settlement fact.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Remain as contested physical evidence.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Two bent nails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21 / 23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Sela salvages rejected iron for her mother’s roof; Yrsa consumes the day intended to use them.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Private promise measured against public necessity.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Remain with Sela until home visit; final custody not cross-book critical.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Nine ration-day objects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27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Button, nail, cherry stones, copper mark, tooth, game piece, harness ring, goat counter.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Makes scarcity bodily and unforgeable by a sleeve.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Used to authorize debate and closure horizon.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Gate leaves, hinges, and bar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27–31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Open inward; tested with casks; closed by Whitehart; crowd pressure blocks reopening; later measured by Wren.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Material architecture defeats abstract intention.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Damaged but extant; inward opening preserved.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LÅST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Treatment sheets / wrist tags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28–31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Maera names bodies and bodily marks; Wren separates identification from future-use data.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Medicine, burial, identity, and later harm in one record.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Nine body records preserved; not reconciled to twelve missing.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LÅST count safeguard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Nella’s grain carts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Prepared earlier; arrive Ch. 31–32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Purchased in Month Six, loaded before closure, delayed by road; costs published.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Prevents deus-ex-machina reading while creating debt and political reality.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Grain distributed; contracts remain.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Halla’s grain ticket / entered name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32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Nella writes Halla’s name with explicit future refusal.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Protection, debt, literacy gap, and future power.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Halla keeps ticket; later life held outside Book One.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Corrin’s staff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32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Broken during Tams assault.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Violence changes singer, song, and attacker.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Broken; Corrin survives with permanent voice/jaw consequence.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Entered continuity</w:t>
            </w:r>
          </w:p>
        </w:tc>
      </w:tr>
      <w:tr>
        <w:tc>
          <w:tcPr>
            <w:tcW w:type="dxa" w:w="1800"/>
            <w:vAlign w:val="top"/>
          </w:tcPr>
          <w:p>
            <w:r>
              <w:rPr>
                <w:sz w:val="14"/>
              </w:rPr>
              <w:t>False quotation grain wrapper</w:t>
            </w:r>
          </w:p>
        </w:tc>
        <w:tc>
          <w:tcPr>
            <w:tcW w:type="dxa" w:w="1224"/>
            <w:vAlign w:val="top"/>
          </w:tcPr>
          <w:p>
            <w:r>
              <w:rPr>
                <w:sz w:val="14"/>
              </w:rPr>
              <w:t>Ch. 33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4"/>
              </w:rPr>
              <w:t>Line copied in several hands; Tomas burns one wrapper but copies already circulate.</w:t>
            </w:r>
          </w:p>
        </w:tc>
        <w:tc>
          <w:tcPr>
            <w:tcW w:type="dxa" w:w="3240"/>
            <w:vAlign w:val="top"/>
          </w:tcPr>
          <w:p>
            <w:r>
              <w:rPr>
                <w:sz w:val="14"/>
              </w:rPr>
              <w:t>Words no longer require original speaker or object.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4"/>
              </w:rPr>
              <w:t>Quotation survives.</w:t>
            </w:r>
          </w:p>
        </w:tc>
        <w:tc>
          <w:tcPr>
            <w:tcW w:type="dxa" w:w="1080"/>
            <w:vAlign w:val="top"/>
          </w:tcPr>
          <w:p>
            <w:r>
              <w:rPr>
                <w:sz w:val="14"/>
              </w:rPr>
              <w:t>Governing</w:t>
            </w:r>
          </w:p>
        </w:tc>
      </w:tr>
    </w:tbl>
    <w:p/>
    <w:p>
      <w:pPr>
        <w:pStyle w:val="Heading1"/>
      </w:pPr>
      <w:r>
        <w:t>2. Cross-book object locks</w:t>
      </w:r>
    </w:p>
    <w:p>
      <w:pPr>
        <w:pStyle w:val="ListBullet"/>
      </w:pPr>
      <w:r>
        <w:t>Sela leaves with Harl’s knife.</w:t>
      </w:r>
    </w:p>
    <w:p>
      <w:pPr>
        <w:pStyle w:val="ListBullet"/>
      </w:pPr>
      <w:r>
        <w:t>Sela does not leave with her wooden bowl.</w:t>
      </w:r>
    </w:p>
    <w:p>
      <w:pPr>
        <w:pStyle w:val="ListBullet"/>
      </w:pPr>
      <w:r>
        <w:t>The Ledger page remains blank.</w:t>
      </w:r>
    </w:p>
    <w:p>
      <w:pPr>
        <w:pStyle w:val="ListBullet"/>
      </w:pPr>
      <w:r>
        <w:t>Wren’s divided report exists but lacks authoritative Chronicle status.</w:t>
      </w:r>
    </w:p>
    <w:p>
      <w:pPr>
        <w:pStyle w:val="ListBullet"/>
      </w:pPr>
      <w:r>
        <w:t>No relic or document proves Col, magic, or the Eleventh.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5A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B667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A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96E7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Aurefold Book One Object Ledger v1.0</dc:title>
  <dc:subject>Aurefold Book One continuity and publication control</dc:subject>
  <dc:creator>Aurelion Project</dc:creator>
  <cp:keywords/>
  <dc:description>generated by python-docx</dc:description>
  <cp:lastModifiedBy>Aurelion Project</cp:lastModifiedBy>
  <cp:revision>1</cp:revision>
  <dcterms:created xsi:type="dcterms:W3CDTF">2013-12-23T23:15:00Z</dcterms:created>
  <dcterms:modified xsi:type="dcterms:W3CDTF">2013-12-23T23:15:00Z</dcterms:modified>
  <cp:category/>
</cp:coreProperties>
</file>