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E8734A"/>
          <w:sz w:val="20"/>
          <w:szCs w:val="20"/>
        </w:rPr>
        <w:t xml:space="preserve">GROUP 6  ·  GENERATION GHANA &amp; KENYA DATA ANALYTICS PROGRAMME</w:t>
      </w:r>
    </w:p>
    <w:p>
      <w:pPr>
        <w:spacing w:before="240"/>
        <w:jc w:val="center"/>
      </w:pPr>
      <w:r>
        <w:rPr>
          <w:rFonts w:ascii="Cambria" w:cs="Cambria" w:eastAsia="Cambria" w:hAnsi="Cambria"/>
          <w:b/>
          <w:bCs/>
          <w:color w:val="1E2761"/>
          <w:sz w:val="64"/>
          <w:szCs w:val="64"/>
        </w:rPr>
        <w:t xml:space="preserve">Workforce Analytics</w:t>
      </w:r>
    </w:p>
    <w:p>
      <w:pPr>
        <w:spacing w:after="360" w:before="120"/>
        <w:jc w:val="center"/>
      </w:pPr>
      <w:r>
        <w:rPr>
          <w:rFonts w:ascii="Calibri" w:cs="Calibri" w:eastAsia="Calibri" w:hAnsi="Calibri"/>
          <w:i/>
          <w:iCs/>
          <w:color w:val="5B6B87"/>
          <w:sz w:val="26"/>
          <w:szCs w:val="26"/>
        </w:rPr>
        <w:t xml:space="preserve">Analyst Report: A Data-Driven Diagnosis of Talent, Performance &amp; Retention Risk</w:t>
      </w:r>
    </w:p>
    <w:p>
      <w:pPr>
        <w:spacing w:after="80"/>
        <w:jc w:val="center"/>
      </w:pPr>
      <w:r>
        <w:rPr>
          <w:rFonts w:ascii="Calibri" w:cs="Calibri" w:eastAsia="Calibri" w:hAnsi="Calibri"/>
          <w:b/>
          <w:bCs/>
          <w:color w:val="1E2761"/>
          <w:sz w:val="21"/>
          <w:szCs w:val="21"/>
        </w:rPr>
        <w:t xml:space="preserve">Prepared for Roblox Africa Operations · Ghana Hub Leadership</w:t>
      </w:r>
    </w:p>
    <w:p>
      <w:pPr>
        <w:spacing w:after="80"/>
        <w:jc w:val="center"/>
      </w:pPr>
      <w:r>
        <w:rPr>
          <w:rFonts w:ascii="Calibri" w:cs="Calibri" w:eastAsia="Calibri" w:hAnsi="Calibri"/>
          <w:color w:val="444444"/>
          <w:sz w:val="20"/>
          <w:szCs w:val="20"/>
        </w:rPr>
        <w:t xml:space="preserve">Roblox HRMS  ·  30,000-Employee Workforce Study  ·  8 Departments</w:t>
      </w:r>
    </w:p>
    <w:p>
      <w:pPr>
        <w:spacing w:after="80"/>
        <w:jc w:val="center"/>
      </w:pPr>
      <w:r>
        <w:rPr>
          <w:rFonts w:ascii="Calibri" w:cs="Calibri" w:eastAsia="Calibri" w:hAnsi="Calibri"/>
          <w:color w:val="444444"/>
          <w:sz w:val="20"/>
          <w:szCs w:val="20"/>
        </w:rPr>
        <w:t xml:space="preserve">Data Pipeline: Excel Cleaning  →  MySQL  →  Power BI  →  Executive Reporting</w:t>
      </w:r>
    </w:p>
    <w:p>
      <w:pPr>
        <w:spacing w:before="700"/>
        <w:jc w:val="center"/>
      </w:pPr>
      <w:r>
        <w:rPr>
          <w:rFonts w:ascii="Calibri" w:cs="Calibri" w:eastAsia="Calibri" w:hAnsi="Calibri"/>
          <w:b/>
          <w:bCs/>
          <w:color w:val="1E2761"/>
          <w:sz w:val="22"/>
          <w:szCs w:val="22"/>
        </w:rPr>
        <w:t xml:space="preserve">Prepared by Group 6</w:t>
      </w:r>
    </w:p>
    <w:p>
      <w:pPr>
        <w:spacing w:after="40"/>
        <w:jc w:val="center"/>
      </w:pPr>
      <w:r>
        <w:rPr>
          <w:rFonts w:ascii="Calibri" w:cs="Calibri" w:eastAsia="Calibri" w:hAnsi="Calibri"/>
          <w:color w:val="444444"/>
          <w:sz w:val="20"/>
          <w:szCs w:val="20"/>
        </w:rPr>
        <w:t xml:space="preserve">Dennis · Daniel · Comfort · Henry</w:t>
      </w:r>
    </w:p>
    <w:p>
      <w:pPr>
        <w:jc w:val="center"/>
      </w:pPr>
      <w:r>
        <w:rPr>
          <w:rFonts w:ascii="Calibri" w:cs="Calibri" w:eastAsia="Calibri" w:hAnsi="Calibri"/>
          <w:color w:val="5B6B87"/>
          <w:sz w:val="18"/>
          <w:szCs w:val="18"/>
        </w:rPr>
        <w:t xml:space="preserve">August 2026</w:t>
      </w:r>
    </w:p>
    <w:p>
      <w:r>
        <w:br w:type="page"/>
      </w:r>
    </w:p>
    <w:p>
      <w:pPr>
        <w:sectPr>
          <w:pgSz w:w="12240" w:h="15840" w:orient="portrait"/>
          <w:pgMar w:top="1080" w:right="1080" w:bottom="1080" w:left="1080" w:header="708" w:footer="708" w:gutter="0"/>
          <w:pgNumType/>
          <w:docGrid w:linePitch="360"/>
        </w:sectPr>
      </w:pPr>
    </w:p>
    <w:p>
      <w:pPr>
        <w:pStyle w:val="Heading1"/>
        <w:pBdr>
          <w:bottom w:val="single" w:color="CADCFC" w:sz="6" w:space="6"/>
        </w:pBdr>
        <w:spacing w:after="200" w:before="400"/>
      </w:pPr>
      <w:r>
        <w:rPr>
          <w:rFonts w:ascii="Cambria" w:cs="Cambria" w:eastAsia="Cambria" w:hAnsi="Cambria"/>
          <w:b/>
          <w:bCs/>
          <w:color w:val="1E2761"/>
          <w:sz w:val="30"/>
          <w:szCs w:val="30"/>
        </w:rPr>
        <w:t xml:space="preserve">Executive Summary</w:t>
      </w:r>
    </w:p>
    <w:p>
      <w:pPr>
        <w:spacing w:after="160" w:line="276"/>
      </w:pPr>
      <w:r>
        <w:rPr>
          <w:rFonts w:ascii="Calibri" w:cs="Calibri" w:eastAsia="Calibri" w:hAnsi="Calibri"/>
          <w:i w:val="false"/>
          <w:iCs w:val="false"/>
          <w:color w:val="222222"/>
          <w:sz w:val="21"/>
          <w:szCs w:val="21"/>
        </w:rPr>
        <w:t xml:space="preserve">Roblox Africa Operations has built its Ghana Hub into a strategic regional base for engineering, data, customer support and operations talent, and has invested heavily over the last five years in hiring, development, health benefits and compensation to support that growth. This report answers the questions that investment has raised for leadership — are the right people in the right departments, is education background translating into placement and pay, are those investments showing up as productivity, and where is the workforce carrying hidden cost or wellbeing risk — by synthesising two data sources delivered for this capstone: the seven executive SQL queries run directly against the MySQL warehouse, and the four Power BI dashboards built from that same warehouse. Where the two sources overlap, this report cross-checks one against the other rather than reporting either in isolation — and flags the handful of places where their numbers diverge. Together they describe an organisation of 30,000 employees across 8 departments that performs consistently well on paper: average departmental performance sits inside a tight 3.58–3.61 band, projects are shipped at scale (822,492 completed), and no department combines above-average cost with below-average performance. But three structural issues sit underneath that headline stability.</w:t>
      </w:r>
    </w:p>
    <w:p>
      <w:pPr>
        <w:pStyle w:val="ListParagraph"/>
        <w:numPr>
          <w:ilvl w:val="0"/>
          <w:numId w:val="2"/>
        </w:numPr>
        <w:spacing w:after="100" w:line="264"/>
      </w:pPr>
      <w:r>
        <w:rPr>
          <w:rFonts w:ascii="Calibri" w:cs="Calibri" w:eastAsia="Calibri" w:hAnsi="Calibri"/>
          <w:sz w:val="21"/>
          <w:szCs w:val="21"/>
        </w:rPr>
        <w:t xml:space="preserve">Revenue efficiency diverges sharply while performance does not — the best department converts $1.75 of revenue per $1 of cost, the weakest only $1.38, even though both score within 0.03 of each other on performance.</w:t>
      </w:r>
    </w:p>
    <w:p>
      <w:pPr>
        <w:pStyle w:val="ListParagraph"/>
        <w:numPr>
          <w:ilvl w:val="0"/>
          <w:numId w:val="2"/>
        </w:numPr>
        <w:spacing w:after="100" w:line="264"/>
      </w:pPr>
      <w:r>
        <w:rPr>
          <w:rFonts w:ascii="Calibri" w:cs="Calibri" w:eastAsia="Calibri" w:hAnsi="Calibri"/>
          <w:sz w:val="21"/>
          <w:szCs w:val="21"/>
        </w:rPr>
        <w:t xml:space="preserve">Workforce risk is wide and roughly even, not isolated to one team — insurance/wellbeing risk touches 65–68% of employees in every single department, and $208.7M of total compensation sits with at-risk staff.</w:t>
      </w:r>
    </w:p>
    <w:p>
      <w:pPr>
        <w:pStyle w:val="ListParagraph"/>
        <w:numPr>
          <w:ilvl w:val="0"/>
          <w:numId w:val="2"/>
        </w:numPr>
        <w:spacing w:after="100" w:line="264"/>
      </w:pPr>
      <w:r>
        <w:rPr>
          <w:rFonts w:ascii="Calibri" w:cs="Calibri" w:eastAsia="Calibri" w:hAnsi="Calibri"/>
          <w:sz w:val="21"/>
          <w:szCs w:val="21"/>
        </w:rPr>
        <w:t xml:space="preserve">Training investment does not track efficiency — Human Resources delivers the best revenue-to-cost ratio (1.75) on the lowest training hours of any department (401), while Finance logs the most training hours (2,788) for a narrowly second-best ratio (1.74).</w:t>
      </w:r>
    </w:p>
    <w:tbl>
      <w:tblPr>
        <w:tblW w:type="dxa" w:w="97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700"/>
      </w:tblGrid>
      <w:tr>
        <w:tc>
          <w:tcPr>
            <w:tcW w:type="dxa" w:w="9700"/>
            <w:tcBorders>
              <w:top w:val="single" w:color="CADCFC" w:sz="4"/>
              <w:left w:val="single" w:color="CADCFC" w:sz="4"/>
              <w:bottom w:val="single" w:color="CADCFC" w:sz="4"/>
              <w:right w:val="single" w:color="CADCFC" w:sz="4"/>
            </w:tcBorders>
            <w:shd w:fill="F4F7FD" w:val="clear"/>
            <w:tcMar>
              <w:top w:type="dxa" w:w="140"/>
              <w:left w:type="dxa" w:w="160"/>
              <w:bottom w:type="dxa" w:w="140"/>
              <w:right w:type="dxa" w:w="160"/>
            </w:tcMar>
          </w:tcPr>
          <w:p>
            <w:pPr>
              <w:spacing w:line="264"/>
            </w:pPr>
            <w:r>
              <w:rPr>
                <w:rFonts w:ascii="Calibri" w:cs="Calibri" w:eastAsia="Calibri" w:hAnsi="Calibri"/>
                <w:i/>
                <w:iCs/>
                <w:color w:val="1E2761"/>
                <w:sz w:val="21"/>
                <w:szCs w:val="21"/>
              </w:rPr>
              <w:t xml:space="preserve">Bottom line: the workforce is productive and broadly healthy, but the organisation is spending fairly evenly across departments for very unevenly distributed financial return, and is carrying a wellbeing/insurance exposure that is systemic rather than isolated.</w:t>
            </w:r>
          </w:p>
        </w:tc>
      </w:tr>
    </w:tbl>
    <w:p>
      <w:pPr>
        <w:pStyle w:val="Heading1"/>
        <w:pBdr>
          <w:bottom w:val="single" w:color="CADCFC" w:sz="6" w:space="6"/>
        </w:pBdr>
        <w:spacing w:after="200" w:before="400"/>
      </w:pPr>
      <w:r>
        <w:rPr>
          <w:rFonts w:ascii="Cambria" w:cs="Cambria" w:eastAsia="Cambria" w:hAnsi="Cambria"/>
          <w:b/>
          <w:bCs/>
          <w:color w:val="1E2761"/>
          <w:sz w:val="30"/>
          <w:szCs w:val="30"/>
        </w:rPr>
        <w:t xml:space="preserve">Data &amp; Methodology</w:t>
      </w:r>
    </w:p>
    <w:p>
      <w:pPr>
        <w:pStyle w:val="Heading2"/>
        <w:spacing w:after="120" w:before="280"/>
      </w:pPr>
      <w:r>
        <w:rPr>
          <w:rFonts w:ascii="Cambria" w:cs="Cambria" w:eastAsia="Cambria" w:hAnsi="Cambria"/>
          <w:b/>
          <w:bCs/>
          <w:color w:val="1E2761"/>
          <w:sz w:val="24"/>
          <w:szCs w:val="24"/>
        </w:rPr>
        <w:t xml:space="preserve">Sources</w:t>
      </w:r>
    </w:p>
    <w:p>
      <w:pPr>
        <w:spacing w:after="160" w:line="276"/>
      </w:pPr>
      <w:r>
        <w:rPr>
          <w:rFonts w:ascii="Calibri" w:cs="Calibri" w:eastAsia="Calibri" w:hAnsi="Calibri"/>
          <w:i w:val="false"/>
          <w:iCs w:val="false"/>
          <w:color w:val="222222"/>
          <w:sz w:val="21"/>
          <w:szCs w:val="21"/>
        </w:rPr>
        <w:t xml:space="preserve">Two grounded sources feed this report. The first is the seven relational tables documented in the Roblox HRMS Data Dictionary — employee (the central dimension), department, department_performance, employee_performance, finance, education and health — queried directly via the seven executive SQL scripts. The second is the four Power BI dashboards already built from the same warehouse (Workforce Composition, Education &amp; Compensation, Productivity &amp; Investment, Workforce Risk &amp; Wellbeing), which surface a handful of organisation-wide metrics — gender split, average age, role mix, attrition rate — that sit outside the seven SQL exports. Every figure below is labelled by source, and Section 8 reconciles the two where their numbers overlap.</w:t>
      </w:r>
    </w:p>
    <w:p>
      <w:pPr>
        <w:spacing w:after="160" w:line="276"/>
      </w:pPr>
      <w:r>
        <w:rPr>
          <w:rFonts w:ascii="Calibri" w:cs="Calibri" w:eastAsia="Calibri" w:hAnsi="Calibri"/>
          <w:i/>
          <w:iCs/>
          <w:color w:val="222222"/>
          <w:sz w:val="21"/>
          <w:szCs w:val="21"/>
        </w:rPr>
        <w:t xml:space="preserve">Upstream data cleaning (deduplication, type and format standardisation, key mapping in Excel prior to the MySQL load) is documented separately in the project's cleaning workbook and is not repeated here — this report starts from the cleaned, loaded warehouse and focuses on analytical findings rather than preparation steps.</w:t>
      </w:r>
    </w:p>
    <w:p>
      <w:pPr>
        <w:pStyle w:val="Heading2"/>
        <w:spacing w:after="120" w:before="280"/>
      </w:pPr>
      <w:r>
        <w:rPr>
          <w:rFonts w:ascii="Cambria" w:cs="Cambria" w:eastAsia="Cambria" w:hAnsi="Cambria"/>
          <w:b/>
          <w:bCs/>
          <w:color w:val="1E2761"/>
          <w:sz w:val="24"/>
          <w:szCs w:val="24"/>
        </w:rPr>
        <w:t xml:space="preserve">Query design</w:t>
      </w:r>
    </w:p>
    <w:p>
      <w:pPr>
        <w:spacing w:after="160" w:line="276"/>
      </w:pPr>
      <w:r>
        <w:rPr>
          <w:rFonts w:ascii="Calibri" w:cs="Calibri" w:eastAsia="Calibri" w:hAnsi="Calibri"/>
          <w:i w:val="false"/>
          <w:iCs w:val="false"/>
          <w:color w:val="222222"/>
          <w:sz w:val="21"/>
          <w:szCs w:val="21"/>
        </w:rPr>
        <w:t xml:space="preserve">employee sits at the centre of a star-style schema, joined one-to-many to employee_performance and education, and — via department_code — to department and department_performance, with one-to-one joins to finance and health for compensation and wellbeing detail.</w:t>
      </w:r>
    </w:p>
    <w:p>
      <w:pPr>
        <w:spacing w:after="160" w:line="276"/>
      </w:pPr>
      <w:r>
        <w:rPr>
          <w:rFonts w:ascii="Calibri" w:cs="Calibri" w:eastAsia="Calibri" w:hAnsi="Calibri"/>
          <w:i w:val="false"/>
          <w:iCs w:val="false"/>
          <w:color w:val="222222"/>
          <w:sz w:val="21"/>
          <w:szCs w:val="21"/>
        </w:rPr>
        <w:t xml:space="preserve">Seven business-question-driven queries were run against this schema for executive reporting. Because employee_performance is recorded annually and education can hold multiple rows per employee, each query aggregates those one-to-many tables to one row per employee before joining to employee-level facts — this avoids row multiplication that would otherwise inflate headcount, compensation and performance figures.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600"/>
        <w:gridCol w:w="6100"/>
      </w:tblGrid>
      <w:tr>
        <w:trPr>
          <w:tblHeader/>
        </w:trPr>
        <w:tc>
          <w:tcPr>
            <w:tcW w:type="dxa" w:w="3600"/>
            <w:shd w:fill="1E2761"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Query</w:t>
            </w:r>
          </w:p>
        </w:tc>
        <w:tc>
          <w:tcPr>
            <w:tcW w:type="dxa" w:w="6100"/>
            <w:shd w:fill="1E2761" w:val="clear"/>
            <w:tcMar>
              <w:top w:type="dxa" w:w="80"/>
              <w:left w:type="dxa" w:w="100"/>
              <w:bottom w:type="dxa" w:w="80"/>
              <w:right w:type="dxa" w:w="100"/>
            </w:tcMar>
            <w:vAlign w:val="center"/>
          </w:tcPr>
          <w:p>
            <w:pPr>
              <w:jc w:val="right"/>
            </w:pPr>
            <w:r>
              <w:rPr>
                <w:rFonts w:ascii="Calibri" w:cs="Calibri" w:eastAsia="Calibri" w:hAnsi="Calibri"/>
                <w:b/>
                <w:bCs/>
                <w:color w:val="FFFFFF"/>
                <w:sz w:val="18"/>
                <w:szCs w:val="18"/>
              </w:rPr>
              <w:t xml:space="preserve">Business question</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1 · Workforce, Cost &amp; Wellbeing Overview</w:t>
            </w:r>
          </w:p>
        </w:tc>
        <w:tc>
          <w:tcPr>
            <w:tcW w:type="dxa" w:w="61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What does the workforce look like by department, and what compensation / wellbeing exposure sits behind it?</w:t>
            </w:r>
          </w:p>
        </w:tc>
      </w:tr>
      <w:tr>
        <w:tc>
          <w:tcPr>
            <w:tcW w:type="dxa" w:w="36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2 · Department Performance &amp; Financial Efficiency</w:t>
            </w:r>
          </w:p>
        </w:tc>
        <w:tc>
          <w:tcPr>
            <w:tcW w:type="dxa" w:w="61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Which departments convert workforce investment into stronger performance and financial output?</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3 · Education, Placement &amp; Compensation</w:t>
            </w:r>
          </w:p>
        </w:tc>
        <w:tc>
          <w:tcPr>
            <w:tcW w:type="dxa" w:w="61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How does education background relate to placement and pay?</w:t>
            </w:r>
          </w:p>
        </w:tc>
      </w:tr>
      <w:tr>
        <w:tc>
          <w:tcPr>
            <w:tcW w:type="dxa" w:w="36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4 · Employee Cost vs Productivity</w:t>
            </w:r>
          </w:p>
        </w:tc>
        <w:tc>
          <w:tcPr>
            <w:tcW w:type="dxa" w:w="61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Which employees combine compensation investment with measurable productivity?</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5 · Workforce Risk &amp; Cost Exposure</w:t>
            </w:r>
          </w:p>
        </w:tc>
        <w:tc>
          <w:tcPr>
            <w:tcW w:type="dxa" w:w="61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Where are wellbeing risks concentrated, and what compensation exposure sits behind them?</w:t>
            </w:r>
          </w:p>
        </w:tc>
      </w:tr>
      <w:tr>
        <w:tc>
          <w:tcPr>
            <w:tcW w:type="dxa" w:w="36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6 · Executive Department Scorecard</w:t>
            </w:r>
          </w:p>
        </w:tc>
        <w:tc>
          <w:tcPr>
            <w:tcW w:type="dxa" w:w="61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One comparable view of scale, cost, performance, productivity and risk, by department.</w:t>
            </w:r>
          </w:p>
        </w:tc>
      </w:tr>
      <w:tr>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7 · Executive Outlier Analysis</w:t>
            </w:r>
          </w:p>
        </w:tc>
        <w:tc>
          <w:tcPr>
            <w:tcW w:type="dxa" w:w="61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Which departments run above-average cost with below-average performance?</w:t>
            </w:r>
          </w:p>
        </w:tc>
      </w:tr>
    </w:tbl>
    <w:p>
      <w:pPr>
        <w:spacing w:before="200"/>
      </w:pPr>
    </w:p>
    <w:p>
      <w:pPr>
        <w:spacing w:after="160" w:line="276"/>
      </w:pPr>
      <w:r>
        <w:rPr>
          <w:rFonts w:ascii="Calibri" w:cs="Calibri" w:eastAsia="Calibri" w:hAnsi="Calibri"/>
          <w:i/>
          <w:iCs/>
          <w:color w:val="222222"/>
          <w:sz w:val="21"/>
          <w:szCs w:val="21"/>
        </w:rPr>
        <w:t xml:space="preserve">Note on scope: departmental revenue and cost figures below reflect the latest recorded year per department (as selected in Query 6), consistent with the $23.34M revenue / $14.68M cost totals already shown on the Power BI dashboard. Where a figure is drawn from a cumulative, all-years view instead, this is stated explicitly.</w:t>
      </w:r>
    </w:p>
    <w:p>
      <w:pPr>
        <w:pStyle w:val="Heading1"/>
        <w:pBdr>
          <w:bottom w:val="single" w:color="CADCFC" w:sz="6" w:space="6"/>
        </w:pBdr>
        <w:spacing w:after="200" w:before="400"/>
      </w:pPr>
      <w:r>
        <w:rPr>
          <w:rFonts w:ascii="Cambria" w:cs="Cambria" w:eastAsia="Cambria" w:hAnsi="Cambria"/>
          <w:b/>
          <w:bCs/>
          <w:color w:val="1E2761"/>
          <w:sz w:val="30"/>
          <w:szCs w:val="30"/>
        </w:rPr>
        <w:t xml:space="preserve">Findings</w:t>
      </w:r>
    </w:p>
    <w:p>
      <w:pPr>
        <w:pStyle w:val="Heading2"/>
        <w:spacing w:after="120" w:before="280"/>
      </w:pPr>
      <w:r>
        <w:rPr>
          <w:rFonts w:ascii="Cambria" w:cs="Cambria" w:eastAsia="Cambria" w:hAnsi="Cambria"/>
          <w:b/>
          <w:bCs/>
          <w:color w:val="1E2761"/>
          <w:sz w:val="24"/>
          <w:szCs w:val="24"/>
        </w:rPr>
        <w:t xml:space="preserve">1. Workforce Composition, Cost &amp; Wellbeing (Query 1)</w:t>
      </w:r>
    </w:p>
    <w:p>
      <w:pPr>
        <w:spacing w:after="160" w:line="276"/>
      </w:pPr>
      <w:r>
        <w:rPr>
          <w:rFonts w:ascii="Calibri" w:cs="Calibri" w:eastAsia="Calibri" w:hAnsi="Calibri"/>
          <w:i w:val="false"/>
          <w:iCs w:val="false"/>
          <w:color w:val="222222"/>
          <w:sz w:val="21"/>
          <w:szCs w:val="21"/>
        </w:rPr>
        <w:t xml:space="preserve">Headcount is deliberately even: every department sits inside a 3,699–3,819 band, with no function dominating the org chart. Compensation follows the same flat pattern — average basic salary is essentially identical across departments (~$8.7K–$8.8K) — but wellbeing risk is not flat at all in absolute terms: it is uniformly high. Between 65% and 68% of employees in every department carry a wellbeing- or insurance-status flag, and total organisational compensation across all departments reaches $312.5M ($262.9M basic salary + $49.5M allowances).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700"/>
        <w:gridCol w:w="2200"/>
        <w:gridCol w:w="1900"/>
      </w:tblGrid>
      <w:tr>
        <w:trPr>
          <w:tblHeader/>
        </w:trPr>
        <w:tc>
          <w:tcPr>
            <w:tcW w:type="dxa" w:w="2400"/>
            <w:shd w:fill="1E2761"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Department</w:t>
            </w:r>
          </w:p>
        </w:tc>
        <w:tc>
          <w:tcPr>
            <w:tcW w:type="dxa" w:w="1500"/>
            <w:shd w:fill="1E2761" w:val="clear"/>
            <w:tcMar>
              <w:top w:type="dxa" w:w="80"/>
              <w:left w:type="dxa" w:w="100"/>
              <w:bottom w:type="dxa" w:w="80"/>
              <w:right w:type="dxa" w:w="100"/>
            </w:tcMar>
            <w:vAlign w:val="center"/>
          </w:tcPr>
          <w:p>
            <w:pPr>
              <w:jc w:val="right"/>
            </w:pPr>
            <w:r>
              <w:rPr>
                <w:rFonts w:ascii="Calibri" w:cs="Calibri" w:eastAsia="Calibri" w:hAnsi="Calibri"/>
                <w:b/>
                <w:bCs/>
                <w:color w:val="FFFFFF"/>
                <w:sz w:val="18"/>
                <w:szCs w:val="18"/>
              </w:rPr>
              <w:t xml:space="preserve">Headcount</w:t>
            </w:r>
          </w:p>
        </w:tc>
        <w:tc>
          <w:tcPr>
            <w:tcW w:type="dxa" w:w="1700"/>
            <w:shd w:fill="1E2761" w:val="clear"/>
            <w:tcMar>
              <w:top w:type="dxa" w:w="80"/>
              <w:left w:type="dxa" w:w="100"/>
              <w:bottom w:type="dxa" w:w="80"/>
              <w:right w:type="dxa" w:w="100"/>
            </w:tcMar>
            <w:vAlign w:val="center"/>
          </w:tcPr>
          <w:p>
            <w:pPr>
              <w:jc w:val="right"/>
            </w:pPr>
            <w:r>
              <w:rPr>
                <w:rFonts w:ascii="Calibri" w:cs="Calibri" w:eastAsia="Calibri" w:hAnsi="Calibri"/>
                <w:b/>
                <w:bCs/>
                <w:color w:val="FFFFFF"/>
                <w:sz w:val="18"/>
                <w:szCs w:val="18"/>
              </w:rPr>
              <w:t xml:space="preserve">Avg Salary</w:t>
            </w:r>
          </w:p>
        </w:tc>
        <w:tc>
          <w:tcPr>
            <w:tcW w:type="dxa" w:w="2200"/>
            <w:shd w:fill="1E2761" w:val="clear"/>
            <w:tcMar>
              <w:top w:type="dxa" w:w="80"/>
              <w:left w:type="dxa" w:w="100"/>
              <w:bottom w:type="dxa" w:w="80"/>
              <w:right w:type="dxa" w:w="100"/>
            </w:tcMar>
            <w:vAlign w:val="center"/>
          </w:tcPr>
          <w:p>
            <w:pPr>
              <w:jc w:val="right"/>
            </w:pPr>
            <w:r>
              <w:rPr>
                <w:rFonts w:ascii="Calibri" w:cs="Calibri" w:eastAsia="Calibri" w:hAnsi="Calibri"/>
                <w:b/>
                <w:bCs/>
                <w:color w:val="FFFFFF"/>
                <w:sz w:val="18"/>
                <w:szCs w:val="18"/>
              </w:rPr>
              <w:t xml:space="preserve">Total Compensation</w:t>
            </w:r>
          </w:p>
        </w:tc>
        <w:tc>
          <w:tcPr>
            <w:tcW w:type="dxa" w:w="1900"/>
            <w:shd w:fill="1E2761" w:val="clear"/>
            <w:tcMar>
              <w:top w:type="dxa" w:w="80"/>
              <w:left w:type="dxa" w:w="100"/>
              <w:bottom w:type="dxa" w:w="80"/>
              <w:right w:type="dxa" w:w="100"/>
            </w:tcMar>
            <w:vAlign w:val="center"/>
          </w:tcPr>
          <w:p>
            <w:pPr>
              <w:jc w:val="right"/>
            </w:pPr>
            <w:r>
              <w:rPr>
                <w:rFonts w:ascii="Calibri" w:cs="Calibri" w:eastAsia="Calibri" w:hAnsi="Calibri"/>
                <w:b/>
                <w:bCs/>
                <w:color w:val="FFFFFF"/>
                <w:sz w:val="18"/>
                <w:szCs w:val="18"/>
              </w:rPr>
              <w:t xml:space="preserve">Wellbeing Risk %</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Customer Support</w:t>
            </w:r>
          </w:p>
        </w:tc>
        <w:tc>
          <w:tcPr>
            <w:tcW w:type="dxa" w:w="15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3,819</w:t>
            </w:r>
          </w:p>
        </w:tc>
        <w:tc>
          <w:tcPr>
            <w:tcW w:type="dxa" w:w="17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$8,750</w:t>
            </w:r>
          </w:p>
        </w:tc>
        <w:tc>
          <w:tcPr>
            <w:tcW w:type="dxa" w:w="22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$39.74M</w:t>
            </w:r>
          </w:p>
        </w:tc>
        <w:tc>
          <w:tcPr>
            <w:tcW w:type="dxa" w:w="19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68.2%</w:t>
            </w:r>
          </w:p>
        </w:tc>
      </w:tr>
      <w:tr>
        <w:tc>
          <w:tcPr>
            <w:tcW w:type="dxa" w:w="24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Data &amp; Analytics</w:t>
            </w:r>
          </w:p>
        </w:tc>
        <w:tc>
          <w:tcPr>
            <w:tcW w:type="dxa" w:w="15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3,810</w:t>
            </w:r>
          </w:p>
        </w:tc>
        <w:tc>
          <w:tcPr>
            <w:tcW w:type="dxa" w:w="17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$8,799</w:t>
            </w:r>
          </w:p>
        </w:tc>
        <w:tc>
          <w:tcPr>
            <w:tcW w:type="dxa" w:w="22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$39.82M</w:t>
            </w:r>
          </w:p>
        </w:tc>
        <w:tc>
          <w:tcPr>
            <w:tcW w:type="dxa" w:w="19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67.1%</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Human Resources</w:t>
            </w:r>
          </w:p>
        </w:tc>
        <w:tc>
          <w:tcPr>
            <w:tcW w:type="dxa" w:w="15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3,784</w:t>
            </w:r>
          </w:p>
        </w:tc>
        <w:tc>
          <w:tcPr>
            <w:tcW w:type="dxa" w:w="17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$8,835</w:t>
            </w:r>
          </w:p>
        </w:tc>
        <w:tc>
          <w:tcPr>
            <w:tcW w:type="dxa" w:w="22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$39.72M</w:t>
            </w:r>
          </w:p>
        </w:tc>
        <w:tc>
          <w:tcPr>
            <w:tcW w:type="dxa" w:w="19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66.7%</w:t>
            </w:r>
          </w:p>
        </w:tc>
      </w:tr>
      <w:tr>
        <w:tc>
          <w:tcPr>
            <w:tcW w:type="dxa" w:w="24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Marketing</w:t>
            </w:r>
          </w:p>
        </w:tc>
        <w:tc>
          <w:tcPr>
            <w:tcW w:type="dxa" w:w="15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3,718</w:t>
            </w:r>
          </w:p>
        </w:tc>
        <w:tc>
          <w:tcPr>
            <w:tcW w:type="dxa" w:w="17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$8,789</w:t>
            </w:r>
          </w:p>
        </w:tc>
        <w:tc>
          <w:tcPr>
            <w:tcW w:type="dxa" w:w="22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$38.78M</w:t>
            </w:r>
          </w:p>
        </w:tc>
        <w:tc>
          <w:tcPr>
            <w:tcW w:type="dxa" w:w="19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66.2%</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Engineering</w:t>
            </w:r>
          </w:p>
        </w:tc>
        <w:tc>
          <w:tcPr>
            <w:tcW w:type="dxa" w:w="15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3,699</w:t>
            </w:r>
          </w:p>
        </w:tc>
        <w:tc>
          <w:tcPr>
            <w:tcW w:type="dxa" w:w="17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$8,811</w:t>
            </w:r>
          </w:p>
        </w:tc>
        <w:tc>
          <w:tcPr>
            <w:tcW w:type="dxa" w:w="22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$38.67M</w:t>
            </w:r>
          </w:p>
        </w:tc>
        <w:tc>
          <w:tcPr>
            <w:tcW w:type="dxa" w:w="19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66.7%</w:t>
            </w:r>
          </w:p>
        </w:tc>
      </w:tr>
      <w:tr>
        <w:tc>
          <w:tcPr>
            <w:tcW w:type="dxa" w:w="24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Product Management</w:t>
            </w:r>
          </w:p>
        </w:tc>
        <w:tc>
          <w:tcPr>
            <w:tcW w:type="dxa" w:w="15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3,725</w:t>
            </w:r>
          </w:p>
        </w:tc>
        <w:tc>
          <w:tcPr>
            <w:tcW w:type="dxa" w:w="17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$8,728</w:t>
            </w:r>
          </w:p>
        </w:tc>
        <w:tc>
          <w:tcPr>
            <w:tcW w:type="dxa" w:w="22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$38.64M</w:t>
            </w:r>
          </w:p>
        </w:tc>
        <w:tc>
          <w:tcPr>
            <w:tcW w:type="dxa" w:w="19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65.0%</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Finance</w:t>
            </w:r>
          </w:p>
        </w:tc>
        <w:tc>
          <w:tcPr>
            <w:tcW w:type="dxa" w:w="15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3,727</w:t>
            </w:r>
          </w:p>
        </w:tc>
        <w:tc>
          <w:tcPr>
            <w:tcW w:type="dxa" w:w="17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$8,704</w:t>
            </w:r>
          </w:p>
        </w:tc>
        <w:tc>
          <w:tcPr>
            <w:tcW w:type="dxa" w:w="22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$38.59M</w:t>
            </w:r>
          </w:p>
        </w:tc>
        <w:tc>
          <w:tcPr>
            <w:tcW w:type="dxa" w:w="19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66.3%</w:t>
            </w:r>
          </w:p>
        </w:tc>
      </w:tr>
      <w:tr>
        <w:tc>
          <w:tcPr>
            <w:tcW w:type="dxa" w:w="24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Operations</w:t>
            </w:r>
          </w:p>
        </w:tc>
        <w:tc>
          <w:tcPr>
            <w:tcW w:type="dxa" w:w="15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3,717</w:t>
            </w:r>
          </w:p>
        </w:tc>
        <w:tc>
          <w:tcPr>
            <w:tcW w:type="dxa" w:w="17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$8,704</w:t>
            </w:r>
          </w:p>
        </w:tc>
        <w:tc>
          <w:tcPr>
            <w:tcW w:type="dxa" w:w="22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$38.53M</w:t>
            </w:r>
          </w:p>
        </w:tc>
        <w:tc>
          <w:tcPr>
            <w:tcW w:type="dxa" w:w="19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67.2%</w:t>
            </w:r>
          </w:p>
        </w:tc>
      </w:tr>
    </w:tbl>
    <w:p>
      <w:pPr>
        <w:spacing w:before="200"/>
      </w:pPr>
    </w:p>
    <w:p>
      <w:pPr>
        <w:spacing w:after="160" w:line="276"/>
      </w:pPr>
      <w:r>
        <w:rPr>
          <w:rFonts w:ascii="Calibri" w:cs="Calibri" w:eastAsia="Calibri" w:hAnsi="Calibri"/>
          <w:i w:val="false"/>
          <w:iCs w:val="false"/>
          <w:color w:val="222222"/>
          <w:sz w:val="21"/>
          <w:szCs w:val="21"/>
        </w:rPr>
        <w:t xml:space="preserve">A definitional flag worth raising to stakeholders: only 10,077 of 30,000 employees (33.6%) carry an employee_status of "Active" in the source data — implying a 66.4% inactive rate that is roughly double the 32.9% attrition figure already reported on the dashboard. This suggests employee_status and the dashboard's attrition calculation are measuring different things (e.g., current status snapshot vs. a computed annual attrition rate) and should be reconciled with the source system owner before either number is used in a board-level document.</w:t>
      </w:r>
    </w:p>
    <w:p>
      <w:pPr>
        <w:spacing w:after="160" w:line="276"/>
      </w:pPr>
      <w:r>
        <w:rPr>
          <w:rFonts w:ascii="Calibri" w:cs="Calibri" w:eastAsia="Calibri" w:hAnsi="Calibri"/>
          <w:i/>
          <w:iCs/>
          <w:color w:val="222222"/>
          <w:sz w:val="21"/>
          <w:szCs w:val="21"/>
        </w:rPr>
        <w:t xml:space="preserve">Power BI cross-check (Dashboard 01 — Workforce Composition): the SQL exports above do not break out gender, age or role, so these three data points come from the Power BI dashboard alone. Gender is close to evenly split (15,007 male vs. 14,993 female), average age across the workforce is 40.98 years, roughly two-thirds of employees hold a Bachelor's or Master's degree, and the four broad role bands — Executive, Consultant, Analyst, Developer — are each staffed to roughly the same size, mirroring the flat, deliberate headcount balance already visible by department in the SQL table above.</w:t>
      </w:r>
    </w:p>
    <w:p>
      <w:pPr>
        <w:pStyle w:val="Heading2"/>
        <w:spacing w:after="120" w:before="280"/>
      </w:pPr>
      <w:r>
        <w:rPr>
          <w:rFonts w:ascii="Cambria" w:cs="Cambria" w:eastAsia="Cambria" w:hAnsi="Cambria"/>
          <w:b/>
          <w:bCs/>
          <w:color w:val="1E2761"/>
          <w:sz w:val="24"/>
          <w:szCs w:val="24"/>
        </w:rPr>
        <w:t xml:space="preserve">2. Department Performance &amp; Financial Efficiency (Query 2 / Scorecard)</w:t>
      </w:r>
    </w:p>
    <w:p>
      <w:pPr>
        <w:spacing w:after="160" w:line="276"/>
      </w:pPr>
      <w:r>
        <w:rPr>
          <w:rFonts w:ascii="Calibri" w:cs="Calibri" w:eastAsia="Calibri" w:hAnsi="Calibri"/>
          <w:i w:val="false"/>
          <w:iCs w:val="false"/>
          <w:color w:val="222222"/>
          <w:sz w:val="21"/>
          <w:szCs w:val="21"/>
        </w:rPr>
        <w:t xml:space="preserve">Performance itself barely moves between departments — 3.58 at the low end (Operations) to 3.61 at the high end (Engineering, Data &amp; Analytics), a spread of just 0.03. Financial efficiency, measured as revenue generated per dollar of cost, moves far more: from 1.38× at Customer Support to 1.75× at Human Resources. In other words, two departments can perform almost identically well and still generate revenue at wildly different efficiency relative to what they cost the business.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600"/>
        <w:gridCol w:w="1600"/>
        <w:gridCol w:w="2000"/>
      </w:tblGrid>
      <w:tr>
        <w:trPr>
          <w:tblHeader/>
        </w:trPr>
        <w:tc>
          <w:tcPr>
            <w:tcW w:type="dxa" w:w="2600"/>
            <w:shd w:fill="1E2761"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Department</w:t>
            </w:r>
          </w:p>
        </w:tc>
        <w:tc>
          <w:tcPr>
            <w:tcW w:type="dxa" w:w="1700"/>
            <w:shd w:fill="1E2761" w:val="clear"/>
            <w:tcMar>
              <w:top w:type="dxa" w:w="80"/>
              <w:left w:type="dxa" w:w="100"/>
              <w:bottom w:type="dxa" w:w="80"/>
              <w:right w:type="dxa" w:w="100"/>
            </w:tcMar>
            <w:vAlign w:val="center"/>
          </w:tcPr>
          <w:p>
            <w:pPr>
              <w:jc w:val="right"/>
            </w:pPr>
            <w:r>
              <w:rPr>
                <w:rFonts w:ascii="Calibri" w:cs="Calibri" w:eastAsia="Calibri" w:hAnsi="Calibri"/>
                <w:b/>
                <w:bCs/>
                <w:color w:val="FFFFFF"/>
                <w:sz w:val="18"/>
                <w:szCs w:val="18"/>
              </w:rPr>
              <w:t xml:space="preserve">Performance</w:t>
            </w:r>
          </w:p>
        </w:tc>
        <w:tc>
          <w:tcPr>
            <w:tcW w:type="dxa" w:w="1600"/>
            <w:shd w:fill="1E2761" w:val="clear"/>
            <w:tcMar>
              <w:top w:type="dxa" w:w="80"/>
              <w:left w:type="dxa" w:w="100"/>
              <w:bottom w:type="dxa" w:w="80"/>
              <w:right w:type="dxa" w:w="100"/>
            </w:tcMar>
            <w:vAlign w:val="center"/>
          </w:tcPr>
          <w:p>
            <w:pPr>
              <w:jc w:val="right"/>
            </w:pPr>
            <w:r>
              <w:rPr>
                <w:rFonts w:ascii="Calibri" w:cs="Calibri" w:eastAsia="Calibri" w:hAnsi="Calibri"/>
                <w:b/>
                <w:bCs/>
                <w:color w:val="FFFFFF"/>
                <w:sz w:val="18"/>
                <w:szCs w:val="18"/>
              </w:rPr>
              <w:t xml:space="preserve">Revenue</w:t>
            </w:r>
          </w:p>
        </w:tc>
        <w:tc>
          <w:tcPr>
            <w:tcW w:type="dxa" w:w="1600"/>
            <w:shd w:fill="1E2761" w:val="clear"/>
            <w:tcMar>
              <w:top w:type="dxa" w:w="80"/>
              <w:left w:type="dxa" w:w="100"/>
              <w:bottom w:type="dxa" w:w="80"/>
              <w:right w:type="dxa" w:w="100"/>
            </w:tcMar>
            <w:vAlign w:val="center"/>
          </w:tcPr>
          <w:p>
            <w:pPr>
              <w:jc w:val="right"/>
            </w:pPr>
            <w:r>
              <w:rPr>
                <w:rFonts w:ascii="Calibri" w:cs="Calibri" w:eastAsia="Calibri" w:hAnsi="Calibri"/>
                <w:b/>
                <w:bCs/>
                <w:color w:val="FFFFFF"/>
                <w:sz w:val="18"/>
                <w:szCs w:val="18"/>
              </w:rPr>
              <w:t xml:space="preserve">Cost</w:t>
            </w:r>
          </w:p>
        </w:tc>
        <w:tc>
          <w:tcPr>
            <w:tcW w:type="dxa" w:w="2000"/>
            <w:shd w:fill="1E2761" w:val="clear"/>
            <w:tcMar>
              <w:top w:type="dxa" w:w="80"/>
              <w:left w:type="dxa" w:w="100"/>
              <w:bottom w:type="dxa" w:w="80"/>
              <w:right w:type="dxa" w:w="100"/>
            </w:tcMar>
            <w:vAlign w:val="center"/>
          </w:tcPr>
          <w:p>
            <w:pPr>
              <w:jc w:val="right"/>
            </w:pPr>
            <w:r>
              <w:rPr>
                <w:rFonts w:ascii="Calibri" w:cs="Calibri" w:eastAsia="Calibri" w:hAnsi="Calibri"/>
                <w:b/>
                <w:bCs/>
                <w:color w:val="FFFFFF"/>
                <w:sz w:val="18"/>
                <w:szCs w:val="18"/>
              </w:rPr>
              <w:t xml:space="preserve">Revenue : Cost</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Human Resources</w:t>
            </w:r>
          </w:p>
        </w:tc>
        <w:tc>
          <w:tcPr>
            <w:tcW w:type="dxa" w:w="17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3.59</w:t>
            </w:r>
          </w:p>
        </w:tc>
        <w:tc>
          <w:tcPr>
            <w:tcW w:type="dxa" w:w="16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$3.80M</w:t>
            </w:r>
          </w:p>
        </w:tc>
        <w:tc>
          <w:tcPr>
            <w:tcW w:type="dxa" w:w="16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$2.17M</w:t>
            </w:r>
          </w:p>
        </w:tc>
        <w:tc>
          <w:tcPr>
            <w:tcW w:type="dxa" w:w="20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1.75×</w:t>
            </w:r>
          </w:p>
        </w:tc>
      </w:tr>
      <w:tr>
        <w:tc>
          <w:tcPr>
            <w:tcW w:type="dxa" w:w="26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Finance</w:t>
            </w:r>
          </w:p>
        </w:tc>
        <w:tc>
          <w:tcPr>
            <w:tcW w:type="dxa" w:w="17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3.59</w:t>
            </w:r>
          </w:p>
        </w:tc>
        <w:tc>
          <w:tcPr>
            <w:tcW w:type="dxa" w:w="16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$4.37M</w:t>
            </w:r>
          </w:p>
        </w:tc>
        <w:tc>
          <w:tcPr>
            <w:tcW w:type="dxa" w:w="16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$2.51M</w:t>
            </w:r>
          </w:p>
        </w:tc>
        <w:tc>
          <w:tcPr>
            <w:tcW w:type="dxa" w:w="20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1.74×</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Engineering</w:t>
            </w:r>
          </w:p>
        </w:tc>
        <w:tc>
          <w:tcPr>
            <w:tcW w:type="dxa" w:w="17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3.61</w:t>
            </w:r>
          </w:p>
        </w:tc>
        <w:tc>
          <w:tcPr>
            <w:tcW w:type="dxa" w:w="16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$3.42M</w:t>
            </w:r>
          </w:p>
        </w:tc>
        <w:tc>
          <w:tcPr>
            <w:tcW w:type="dxa" w:w="16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$2.08M</w:t>
            </w:r>
          </w:p>
        </w:tc>
        <w:tc>
          <w:tcPr>
            <w:tcW w:type="dxa" w:w="20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1.64×</w:t>
            </w:r>
          </w:p>
        </w:tc>
      </w:tr>
      <w:tr>
        <w:tc>
          <w:tcPr>
            <w:tcW w:type="dxa" w:w="26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Operations</w:t>
            </w:r>
          </w:p>
        </w:tc>
        <w:tc>
          <w:tcPr>
            <w:tcW w:type="dxa" w:w="17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3.58</w:t>
            </w:r>
          </w:p>
        </w:tc>
        <w:tc>
          <w:tcPr>
            <w:tcW w:type="dxa" w:w="16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$3.52M</w:t>
            </w:r>
          </w:p>
        </w:tc>
        <w:tc>
          <w:tcPr>
            <w:tcW w:type="dxa" w:w="16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$2.18M</w:t>
            </w:r>
          </w:p>
        </w:tc>
        <w:tc>
          <w:tcPr>
            <w:tcW w:type="dxa" w:w="20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1.62×</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Marketing</w:t>
            </w:r>
          </w:p>
        </w:tc>
        <w:tc>
          <w:tcPr>
            <w:tcW w:type="dxa" w:w="17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3.59</w:t>
            </w:r>
          </w:p>
        </w:tc>
        <w:tc>
          <w:tcPr>
            <w:tcW w:type="dxa" w:w="16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$2.16M</w:t>
            </w:r>
          </w:p>
        </w:tc>
        <w:tc>
          <w:tcPr>
            <w:tcW w:type="dxa" w:w="16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$1.40M</w:t>
            </w:r>
          </w:p>
        </w:tc>
        <w:tc>
          <w:tcPr>
            <w:tcW w:type="dxa" w:w="20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1.55×</w:t>
            </w:r>
          </w:p>
        </w:tc>
      </w:tr>
      <w:tr>
        <w:tc>
          <w:tcPr>
            <w:tcW w:type="dxa" w:w="26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Data &amp; Analytics</w:t>
            </w:r>
          </w:p>
        </w:tc>
        <w:tc>
          <w:tcPr>
            <w:tcW w:type="dxa" w:w="17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3.61</w:t>
            </w:r>
          </w:p>
        </w:tc>
        <w:tc>
          <w:tcPr>
            <w:tcW w:type="dxa" w:w="16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$1.23M</w:t>
            </w:r>
          </w:p>
        </w:tc>
        <w:tc>
          <w:tcPr>
            <w:tcW w:type="dxa" w:w="16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$0.86M</w:t>
            </w:r>
          </w:p>
        </w:tc>
        <w:tc>
          <w:tcPr>
            <w:tcW w:type="dxa" w:w="20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1.43×</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Product Management</w:t>
            </w:r>
          </w:p>
        </w:tc>
        <w:tc>
          <w:tcPr>
            <w:tcW w:type="dxa" w:w="17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3.59</w:t>
            </w:r>
          </w:p>
        </w:tc>
        <w:tc>
          <w:tcPr>
            <w:tcW w:type="dxa" w:w="16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$2.98M</w:t>
            </w:r>
          </w:p>
        </w:tc>
        <w:tc>
          <w:tcPr>
            <w:tcW w:type="dxa" w:w="16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$2.13M</w:t>
            </w:r>
          </w:p>
        </w:tc>
        <w:tc>
          <w:tcPr>
            <w:tcW w:type="dxa" w:w="20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1.40×</w:t>
            </w:r>
          </w:p>
        </w:tc>
      </w:tr>
      <w:tr>
        <w:tc>
          <w:tcPr>
            <w:tcW w:type="dxa" w:w="26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Customer Support</w:t>
            </w:r>
          </w:p>
        </w:tc>
        <w:tc>
          <w:tcPr>
            <w:tcW w:type="dxa" w:w="17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3.60</w:t>
            </w:r>
          </w:p>
        </w:tc>
        <w:tc>
          <w:tcPr>
            <w:tcW w:type="dxa" w:w="16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$1.86M</w:t>
            </w:r>
          </w:p>
        </w:tc>
        <w:tc>
          <w:tcPr>
            <w:tcW w:type="dxa" w:w="16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$1.35M</w:t>
            </w:r>
          </w:p>
        </w:tc>
        <w:tc>
          <w:tcPr>
            <w:tcW w:type="dxa" w:w="20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1.38×</w:t>
            </w:r>
          </w:p>
        </w:tc>
      </w:tr>
    </w:tbl>
    <w:p>
      <w:pPr>
        <w:spacing w:before="200"/>
      </w:pPr>
    </w:p>
    <w:tbl>
      <w:tblPr>
        <w:tblW w:type="dxa" w:w="97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700"/>
      </w:tblGrid>
      <w:tr>
        <w:tc>
          <w:tcPr>
            <w:tcW w:type="dxa" w:w="9700"/>
            <w:tcBorders>
              <w:top w:val="single" w:color="CADCFC" w:sz="4"/>
              <w:left w:val="single" w:color="CADCFC" w:sz="4"/>
              <w:bottom w:val="single" w:color="CADCFC" w:sz="4"/>
              <w:right w:val="single" w:color="CADCFC" w:sz="4"/>
            </w:tcBorders>
            <w:shd w:fill="F4F7FD" w:val="clear"/>
            <w:tcMar>
              <w:top w:type="dxa" w:w="140"/>
              <w:left w:type="dxa" w:w="160"/>
              <w:bottom w:type="dxa" w:w="140"/>
              <w:right w:type="dxa" w:w="160"/>
            </w:tcMar>
          </w:tcPr>
          <w:p>
            <w:pPr>
              <w:spacing w:line="264"/>
            </w:pPr>
            <w:r>
              <w:rPr>
                <w:rFonts w:ascii="Calibri" w:cs="Calibri" w:eastAsia="Calibri" w:hAnsi="Calibri"/>
                <w:i/>
                <w:iCs/>
                <w:color w:val="1E2761"/>
                <w:sz w:val="21"/>
                <w:szCs w:val="21"/>
              </w:rPr>
              <w:t xml:space="preserve">Read together: Finance is the largest single revenue generator ($4.37M) and still runs a top-two efficiency ratio (1.74×) — the strongest combination of scale and efficiency in the organisation. Customer Support and Product Management combine below-average revenue with above-average cost, making them the two departments with the most room to improve return on workforce investment.</w:t>
            </w:r>
          </w:p>
        </w:tc>
      </w:tr>
    </w:tbl>
    <w:p>
      <w:pPr>
        <w:pStyle w:val="Heading2"/>
        <w:spacing w:after="120" w:before="280"/>
      </w:pPr>
      <w:r>
        <w:rPr>
          <w:rFonts w:ascii="Cambria" w:cs="Cambria" w:eastAsia="Cambria" w:hAnsi="Cambria"/>
          <w:b/>
          <w:bCs/>
          <w:color w:val="1E2761"/>
          <w:sz w:val="24"/>
          <w:szCs w:val="24"/>
        </w:rPr>
        <w:t xml:space="preserve">3. Education, Placement &amp; Compensation (Query 3)</w:t>
      </w:r>
    </w:p>
    <w:p>
      <w:pPr>
        <w:spacing w:after="160" w:line="276"/>
      </w:pPr>
      <w:r>
        <w:rPr>
          <w:rFonts w:ascii="Calibri" w:cs="Calibri" w:eastAsia="Calibri" w:hAnsi="Calibri"/>
          <w:i w:val="false"/>
          <w:iCs w:val="false"/>
          <w:color w:val="222222"/>
          <w:sz w:val="21"/>
          <w:szCs w:val="21"/>
        </w:rPr>
        <w:t xml:space="preserve">Education level barely moves pay. Weighted across all placements, average total compensation is $10,409 for Master's degree holders, $10,387 for Bachelor's, $10,471 for Diploma holders and $10,520 for Doctoral degree holders — a spread of roughly 1.3% across four qualification tiers. Business Administration is the single largest field of study by placement (8,553 employees), well ahead of Computer Science, Data Analytics, Information Technology, Economics and Engineering, which each sit in the 3,800–4,030 range.</w:t>
      </w:r>
    </w:p>
    <w:p>
      <w:pPr>
        <w:spacing w:after="160" w:line="276"/>
      </w:pPr>
      <w:r>
        <w:rPr>
          <w:rFonts w:ascii="Calibri" w:cs="Calibri" w:eastAsia="Calibri" w:hAnsi="Calibri"/>
          <w:i w:val="false"/>
          <w:iCs w:val="false"/>
          <w:color w:val="222222"/>
          <w:sz w:val="21"/>
          <w:szCs w:val="21"/>
        </w:rPr>
        <w:t xml:space="preserve">By department, Human Resources pays the highest average compensation across roles ($10,525) and Product Management the lowest ($10,359) — a $166 (1.6%) spread that is dwarfed by the department-level revenue-to-cost gap above. By position, Managers ($10,475) and Consultants ($10,457) sit modestly ahead of Assistants ($10,389), a normal and expected hierarchy premium rather than a red flag.</w:t>
      </w:r>
    </w:p>
    <w:tbl>
      <w:tblPr>
        <w:tblW w:type="dxa" w:w="97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9700"/>
      </w:tblGrid>
      <w:tr>
        <w:tc>
          <w:tcPr>
            <w:tcW w:type="dxa" w:w="9700"/>
            <w:tcBorders>
              <w:top w:val="single" w:color="CADCFC" w:sz="4"/>
              <w:left w:val="single" w:color="CADCFC" w:sz="4"/>
              <w:bottom w:val="single" w:color="CADCFC" w:sz="4"/>
              <w:right w:val="single" w:color="CADCFC" w:sz="4"/>
            </w:tcBorders>
            <w:shd w:fill="F4F7FD" w:val="clear"/>
            <w:tcMar>
              <w:top w:type="dxa" w:w="140"/>
              <w:left w:type="dxa" w:w="160"/>
              <w:bottom w:type="dxa" w:w="140"/>
              <w:right w:type="dxa" w:w="160"/>
            </w:tcMar>
          </w:tcPr>
          <w:p>
            <w:pPr>
              <w:spacing w:line="264"/>
            </w:pPr>
            <w:r>
              <w:rPr>
                <w:rFonts w:ascii="Calibri" w:cs="Calibri" w:eastAsia="Calibri" w:hAnsi="Calibri"/>
                <w:i/>
                <w:iCs/>
                <w:color w:val="1E2761"/>
                <w:sz w:val="21"/>
                <w:szCs w:val="21"/>
              </w:rPr>
              <w:t xml:space="preserve">The practical read for leadership: pay in this organisation is structured around role and department far more than around education credential. A Doctoral-qualified Analyst and a Diploma-qualified Analyst in the same department are being compensated almost identically — worth confirming this is deliberate (a flat, role-based pay philosophy) rather than an unintended flattening of the return on advanced qualifications.</w:t>
            </w:r>
          </w:p>
        </w:tc>
      </w:tr>
    </w:tbl>
    <w:p>
      <w:pPr>
        <w:spacing w:after="160" w:line="276"/>
      </w:pPr>
      <w:r>
        <w:rPr>
          <w:rFonts w:ascii="Calibri" w:cs="Calibri" w:eastAsia="Calibri" w:hAnsi="Calibri"/>
          <w:i/>
          <w:iCs/>
          <w:color w:val="222222"/>
          <w:sz w:val="21"/>
          <w:szCs w:val="21"/>
        </w:rPr>
        <w:t xml:space="preserve">Power BI cross-check (Dashboard 02 — Education &amp; Compensation): the dashboard independently reports Master's degree holders as the single largest education segment (10.6K employees), just ahead of Bachelor's (10.0K) — closely matching this report's SQL-derived weighted counts (10,566 Master's vs. 9,867 Bachelor's, Query 3). The two pipelines also agree on department-level cost: the dashboard's highest and lowest total workforce cost — Data &amp; Analytics ($39.8M) and Operations ($38.5M) — match the SQL Query 1 figures in Section 1 to within $20K. This is a useful integrity check: two independently built views of the same warehouse land on the same numbers.</w:t>
      </w:r>
    </w:p>
    <w:p>
      <w:pPr>
        <w:pStyle w:val="Heading2"/>
        <w:spacing w:after="120" w:before="280"/>
      </w:pPr>
      <w:r>
        <w:rPr>
          <w:rFonts w:ascii="Cambria" w:cs="Cambria" w:eastAsia="Cambria" w:hAnsi="Cambria"/>
          <w:b/>
          <w:bCs/>
          <w:color w:val="1E2761"/>
          <w:sz w:val="24"/>
          <w:szCs w:val="24"/>
        </w:rPr>
        <w:t xml:space="preserve">4. Employee Cost vs Productivity — the top-performer profile (Query 4)</w:t>
      </w:r>
    </w:p>
    <w:p>
      <w:pPr>
        <w:spacing w:after="160" w:line="276"/>
      </w:pPr>
      <w:r>
        <w:rPr>
          <w:rFonts w:ascii="Calibri" w:cs="Calibri" w:eastAsia="Calibri" w:hAnsi="Calibri"/>
          <w:i w:val="false"/>
          <w:iCs w:val="false"/>
          <w:color w:val="222222"/>
          <w:sz w:val="21"/>
          <w:szCs w:val="21"/>
        </w:rPr>
        <w:t xml:space="preserve">This query's export captures the top 1,000 employees ranked by performance score — the highest-performing 3.3% of the workforce, not the full population — so it is best read as a profile of what "good" looks like rather than an organisation-wide productivity split. Within that top tier, 894 employees (89.4%) are flagged High productivity / strong attendance and the remaining 106 (10.6%) fall into Monitor, meaning even among top performers roughly one in nine shows a softer attendance or consistency signal worth a manager check-in.</w:t>
      </w:r>
    </w:p>
    <w:p>
      <w:pPr>
        <w:spacing w:after="160" w:line="276"/>
      </w:pPr>
      <w:r>
        <w:rPr>
          <w:rFonts w:ascii="Calibri" w:cs="Calibri" w:eastAsia="Calibri" w:hAnsi="Calibri"/>
          <w:i w:val="false"/>
          <w:iCs w:val="false"/>
          <w:color w:val="222222"/>
          <w:sz w:val="21"/>
          <w:szCs w:val="21"/>
        </w:rPr>
        <w:t xml:space="preserve">Customer Support (92.8%) and Engineering (91.0%) have the highest share of "High productivity / strong attendance" employees within this top tier; Operations (85.5%) and Marketing (86.4%) have the lowest, which is consistent with Operations also showing the highest attrition risk elsewhere in the deck's Dashboard 04 findings.</w:t>
      </w:r>
    </w:p>
    <w:p>
      <w:pPr>
        <w:pStyle w:val="Heading2"/>
        <w:spacing w:after="120" w:before="280"/>
      </w:pPr>
      <w:r>
        <w:rPr>
          <w:rFonts w:ascii="Cambria" w:cs="Cambria" w:eastAsia="Cambria" w:hAnsi="Cambria"/>
          <w:b/>
          <w:bCs/>
          <w:color w:val="1E2761"/>
          <w:sz w:val="24"/>
          <w:szCs w:val="24"/>
        </w:rPr>
        <w:t xml:space="preserve">5. Workforce Risk &amp; Cost Exposure (Query 5)</w:t>
      </w:r>
    </w:p>
    <w:p>
      <w:pPr>
        <w:spacing w:after="160" w:line="276"/>
      </w:pPr>
      <w:r>
        <w:rPr>
          <w:rFonts w:ascii="Calibri" w:cs="Calibri" w:eastAsia="Calibri" w:hAnsi="Calibri"/>
          <w:i w:val="false"/>
          <w:iCs w:val="false"/>
          <w:color w:val="222222"/>
          <w:sz w:val="21"/>
          <w:szCs w:val="21"/>
        </w:rPr>
        <w:t xml:space="preserve">Risk exposure is remarkably flat across the organisation — every department sits within a narrow 65.0%–68.2% band for insurance/wellbeing risk, and average medical leave balance is essentially identical everywhere (14.76–15.19 days). This is a structural, organisation-wide exposure rather than a localised departmental problem, and it carries real financial weight: $208.7M of total compensation — two-thirds of the entire $312.5M compensation base — sits with employees currently flagged at wellbeing/insurance risk.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2300"/>
      </w:tblGrid>
      <w:tr>
        <w:trPr>
          <w:tblHeader/>
        </w:trPr>
        <w:tc>
          <w:tcPr>
            <w:tcW w:type="dxa" w:w="2600"/>
            <w:shd w:fill="1E2761"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Department</w:t>
            </w:r>
          </w:p>
        </w:tc>
        <w:tc>
          <w:tcPr>
            <w:tcW w:type="dxa" w:w="2000"/>
            <w:shd w:fill="1E2761" w:val="clear"/>
            <w:tcMar>
              <w:top w:type="dxa" w:w="80"/>
              <w:left w:type="dxa" w:w="100"/>
              <w:bottom w:type="dxa" w:w="80"/>
              <w:right w:type="dxa" w:w="100"/>
            </w:tcMar>
            <w:vAlign w:val="center"/>
          </w:tcPr>
          <w:p>
            <w:pPr>
              <w:jc w:val="right"/>
            </w:pPr>
            <w:r>
              <w:rPr>
                <w:rFonts w:ascii="Calibri" w:cs="Calibri" w:eastAsia="Calibri" w:hAnsi="Calibri"/>
                <w:b/>
                <w:bCs/>
                <w:color w:val="FFFFFF"/>
                <w:sz w:val="18"/>
                <w:szCs w:val="18"/>
              </w:rPr>
              <w:t xml:space="preserve">Insurance Risk %</w:t>
            </w:r>
          </w:p>
        </w:tc>
        <w:tc>
          <w:tcPr>
            <w:tcW w:type="dxa" w:w="2600"/>
            <w:shd w:fill="1E2761" w:val="clear"/>
            <w:tcMar>
              <w:top w:type="dxa" w:w="80"/>
              <w:left w:type="dxa" w:w="100"/>
              <w:bottom w:type="dxa" w:w="80"/>
              <w:right w:type="dxa" w:w="100"/>
            </w:tcMar>
            <w:vAlign w:val="center"/>
          </w:tcPr>
          <w:p>
            <w:pPr>
              <w:jc w:val="right"/>
            </w:pPr>
            <w:r>
              <w:rPr>
                <w:rFonts w:ascii="Calibri" w:cs="Calibri" w:eastAsia="Calibri" w:hAnsi="Calibri"/>
                <w:b/>
                <w:bCs/>
                <w:color w:val="FFFFFF"/>
                <w:sz w:val="18"/>
                <w:szCs w:val="18"/>
              </w:rPr>
              <w:t xml:space="preserve">Comp. Exposed to Risk</w:t>
            </w:r>
          </w:p>
        </w:tc>
        <w:tc>
          <w:tcPr>
            <w:tcW w:type="dxa" w:w="2300"/>
            <w:shd w:fill="1E2761" w:val="clear"/>
            <w:tcMar>
              <w:top w:type="dxa" w:w="80"/>
              <w:left w:type="dxa" w:w="100"/>
              <w:bottom w:type="dxa" w:w="80"/>
              <w:right w:type="dxa" w:w="100"/>
            </w:tcMar>
            <w:vAlign w:val="center"/>
          </w:tcPr>
          <w:p>
            <w:pPr>
              <w:jc w:val="right"/>
            </w:pPr>
            <w:r>
              <w:rPr>
                <w:rFonts w:ascii="Calibri" w:cs="Calibri" w:eastAsia="Calibri" w:hAnsi="Calibri"/>
                <w:b/>
                <w:bCs/>
                <w:color w:val="FFFFFF"/>
                <w:sz w:val="18"/>
                <w:szCs w:val="18"/>
              </w:rPr>
              <w:t xml:space="preserve">Avg Medical Leave Bal.</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Customer Support</w:t>
            </w:r>
          </w:p>
        </w:tc>
        <w:tc>
          <w:tcPr>
            <w:tcW w:type="dxa" w:w="20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68.2%</w:t>
            </w:r>
          </w:p>
        </w:tc>
        <w:tc>
          <w:tcPr>
            <w:tcW w:type="dxa" w:w="26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$27.29M</w:t>
            </w:r>
          </w:p>
        </w:tc>
        <w:tc>
          <w:tcPr>
            <w:tcW w:type="dxa" w:w="23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15.1 days</w:t>
            </w:r>
          </w:p>
        </w:tc>
      </w:tr>
      <w:tr>
        <w:tc>
          <w:tcPr>
            <w:tcW w:type="dxa" w:w="26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Data &amp; Analytics</w:t>
            </w:r>
          </w:p>
        </w:tc>
        <w:tc>
          <w:tcPr>
            <w:tcW w:type="dxa" w:w="20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67.1%</w:t>
            </w:r>
          </w:p>
        </w:tc>
        <w:tc>
          <w:tcPr>
            <w:tcW w:type="dxa" w:w="26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$26.81M</w:t>
            </w:r>
          </w:p>
        </w:tc>
        <w:tc>
          <w:tcPr>
            <w:tcW w:type="dxa" w:w="23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15.0 days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Human Resources</w:t>
            </w:r>
          </w:p>
        </w:tc>
        <w:tc>
          <w:tcPr>
            <w:tcW w:type="dxa" w:w="20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66.7%</w:t>
            </w:r>
          </w:p>
        </w:tc>
        <w:tc>
          <w:tcPr>
            <w:tcW w:type="dxa" w:w="26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$26.44M</w:t>
            </w:r>
          </w:p>
        </w:tc>
        <w:tc>
          <w:tcPr>
            <w:tcW w:type="dxa" w:w="23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14.8 days</w:t>
            </w:r>
          </w:p>
        </w:tc>
      </w:tr>
      <w:tr>
        <w:tc>
          <w:tcPr>
            <w:tcW w:type="dxa" w:w="26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Operations</w:t>
            </w:r>
          </w:p>
        </w:tc>
        <w:tc>
          <w:tcPr>
            <w:tcW w:type="dxa" w:w="20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67.2%</w:t>
            </w:r>
          </w:p>
        </w:tc>
        <w:tc>
          <w:tcPr>
            <w:tcW w:type="dxa" w:w="26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$25.96M</w:t>
            </w:r>
          </w:p>
        </w:tc>
        <w:tc>
          <w:tcPr>
            <w:tcW w:type="dxa" w:w="23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14.9 days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Engineering</w:t>
            </w:r>
          </w:p>
        </w:tc>
        <w:tc>
          <w:tcPr>
            <w:tcW w:type="dxa" w:w="20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66.7%</w:t>
            </w:r>
          </w:p>
        </w:tc>
        <w:tc>
          <w:tcPr>
            <w:tcW w:type="dxa" w:w="26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$25.87M</w:t>
            </w:r>
          </w:p>
        </w:tc>
        <w:tc>
          <w:tcPr>
            <w:tcW w:type="dxa" w:w="23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15.1 days</w:t>
            </w:r>
          </w:p>
        </w:tc>
      </w:tr>
      <w:tr>
        <w:tc>
          <w:tcPr>
            <w:tcW w:type="dxa" w:w="26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Marketing</w:t>
            </w:r>
          </w:p>
        </w:tc>
        <w:tc>
          <w:tcPr>
            <w:tcW w:type="dxa" w:w="20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66.2%</w:t>
            </w:r>
          </w:p>
        </w:tc>
        <w:tc>
          <w:tcPr>
            <w:tcW w:type="dxa" w:w="26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$25.58M</w:t>
            </w:r>
          </w:p>
        </w:tc>
        <w:tc>
          <w:tcPr>
            <w:tcW w:type="dxa" w:w="23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15.0 days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Finance</w:t>
            </w:r>
          </w:p>
        </w:tc>
        <w:tc>
          <w:tcPr>
            <w:tcW w:type="dxa" w:w="20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66.4%</w:t>
            </w:r>
          </w:p>
        </w:tc>
        <w:tc>
          <w:tcPr>
            <w:tcW w:type="dxa" w:w="26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$25.57M</w:t>
            </w:r>
          </w:p>
        </w:tc>
        <w:tc>
          <w:tcPr>
            <w:tcW w:type="dxa" w:w="23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15.2 days</w:t>
            </w:r>
          </w:p>
        </w:tc>
      </w:tr>
      <w:tr>
        <w:tc>
          <w:tcPr>
            <w:tcW w:type="dxa" w:w="26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Product Management</w:t>
            </w:r>
          </w:p>
        </w:tc>
        <w:tc>
          <w:tcPr>
            <w:tcW w:type="dxa" w:w="20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65.0%</w:t>
            </w:r>
          </w:p>
        </w:tc>
        <w:tc>
          <w:tcPr>
            <w:tcW w:type="dxa" w:w="26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$25.18M</w:t>
            </w:r>
          </w:p>
        </w:tc>
        <w:tc>
          <w:tcPr>
            <w:tcW w:type="dxa" w:w="23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15.0 days</w:t>
            </w:r>
          </w:p>
        </w:tc>
      </w:tr>
    </w:tbl>
    <w:p>
      <w:pPr>
        <w:spacing w:before="200"/>
      </w:pPr>
    </w:p>
    <w:p>
      <w:pPr>
        <w:spacing w:after="160" w:line="276"/>
      </w:pPr>
      <w:r>
        <w:rPr>
          <w:rFonts w:ascii="Calibri" w:cs="Calibri" w:eastAsia="Calibri" w:hAnsi="Calibri"/>
          <w:i w:val="false"/>
          <w:iCs w:val="false"/>
          <w:color w:val="222222"/>
          <w:sz w:val="21"/>
          <w:szCs w:val="21"/>
        </w:rPr>
        <w:t xml:space="preserve">Customer Support carries both the highest insurance-risk share (68.2%) and the lowest revenue-to-cost ratio (1.38×) of any department — the only function where a wellbeing exposure and a financial-efficiency gap point in the same direction, which makes it the single highest-priority department for a combined HR and finance review.</w:t>
      </w:r>
    </w:p>
    <w:p>
      <w:pPr>
        <w:spacing w:after="160" w:line="276"/>
      </w:pPr>
      <w:r>
        <w:rPr>
          <w:rFonts w:ascii="Calibri" w:cs="Calibri" w:eastAsia="Calibri" w:hAnsi="Calibri"/>
          <w:i/>
          <w:iCs/>
          <w:color w:val="222222"/>
          <w:sz w:val="21"/>
          <w:szCs w:val="21"/>
        </w:rPr>
        <w:t xml:space="preserve">Power BI cross-check (Dashboard 04 — Workforce Risk &amp; Wellbeing): the dashboard reports 9,920 employees with expired insurance coverage — a narrower, more specific cut than the SQL wellbeing/insurance risk flag used in Section 1 and the table above (66.7% org-wide), which appears to capture a broader set of risk conditions rather than expired coverage alone. The two figures are not directly comparable and should not be quoted interchangeably, but both point the same direction: a material share of the workforce carries unresolved wellbeing or coverage exposure. The dashboard also reports Operations as the single highest-attrition department at 35.1%, well above the org-wide 32.9% rate, despite Operations sitting mid-pack on performance (3.58) — direct, independent support for Recommendation 1 below.</w:t>
      </w:r>
    </w:p>
    <w:p>
      <w:pPr>
        <w:pStyle w:val="Heading2"/>
        <w:spacing w:after="120" w:before="280"/>
      </w:pPr>
      <w:r>
        <w:rPr>
          <w:rFonts w:ascii="Cambria" w:cs="Cambria" w:eastAsia="Cambria" w:hAnsi="Cambria"/>
          <w:b/>
          <w:bCs/>
          <w:color w:val="1E2761"/>
          <w:sz w:val="24"/>
          <w:szCs w:val="24"/>
        </w:rPr>
        <w:t xml:space="preserve">6. Executive Department Scorecard — full comparison (Query 6)</w:t>
      </w:r>
    </w:p>
    <w:p>
      <w:pPr>
        <w:spacing w:after="160" w:line="276"/>
      </w:pPr>
      <w:r>
        <w:rPr>
          <w:rFonts w:ascii="Calibri" w:cs="Calibri" w:eastAsia="Calibri" w:hAnsi="Calibri"/>
          <w:i w:val="false"/>
          <w:iCs w:val="false"/>
          <w:color w:val="222222"/>
          <w:sz w:val="21"/>
          <w:szCs w:val="21"/>
        </w:rPr>
        <w:t xml:space="preserve">Bringing scale, cost, performance, productivity and risk together in one view confirms the core tension in this dataset: departments are nearly indistinguishable on performance (3.58–3.61) and risk exposure (65–68%), but pull apart sharply on financial efficiency (1.38×–1.75×) and training investment (401–2,788 hours).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500"/>
        <w:gridCol w:w="1300"/>
        <w:gridCol w:w="1500"/>
        <w:gridCol w:w="1200"/>
      </w:tblGrid>
      <w:tr>
        <w:trPr>
          <w:tblHeader/>
        </w:trPr>
        <w:tc>
          <w:tcPr>
            <w:tcW w:type="dxa" w:w="2400"/>
            <w:shd w:fill="1E2761"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Department</w:t>
            </w:r>
          </w:p>
        </w:tc>
        <w:tc>
          <w:tcPr>
            <w:tcW w:type="dxa" w:w="1400"/>
            <w:shd w:fill="1E2761" w:val="clear"/>
            <w:tcMar>
              <w:top w:type="dxa" w:w="80"/>
              <w:left w:type="dxa" w:w="100"/>
              <w:bottom w:type="dxa" w:w="80"/>
              <w:right w:type="dxa" w:w="100"/>
            </w:tcMar>
            <w:vAlign w:val="center"/>
          </w:tcPr>
          <w:p>
            <w:pPr>
              <w:jc w:val="right"/>
            </w:pPr>
            <w:r>
              <w:rPr>
                <w:rFonts w:ascii="Calibri" w:cs="Calibri" w:eastAsia="Calibri" w:hAnsi="Calibri"/>
                <w:b/>
                <w:bCs/>
                <w:color w:val="FFFFFF"/>
                <w:sz w:val="18"/>
                <w:szCs w:val="18"/>
              </w:rPr>
              <w:t xml:space="preserve">Headcount</w:t>
            </w:r>
          </w:p>
        </w:tc>
        <w:tc>
          <w:tcPr>
            <w:tcW w:type="dxa" w:w="1500"/>
            <w:shd w:fill="1E2761" w:val="clear"/>
            <w:tcMar>
              <w:top w:type="dxa" w:w="80"/>
              <w:left w:type="dxa" w:w="100"/>
              <w:bottom w:type="dxa" w:w="80"/>
              <w:right w:type="dxa" w:w="100"/>
            </w:tcMar>
            <w:vAlign w:val="center"/>
          </w:tcPr>
          <w:p>
            <w:pPr>
              <w:jc w:val="right"/>
            </w:pPr>
            <w:r>
              <w:rPr>
                <w:rFonts w:ascii="Calibri" w:cs="Calibri" w:eastAsia="Calibri" w:hAnsi="Calibri"/>
                <w:b/>
                <w:bCs/>
                <w:color w:val="FFFFFF"/>
                <w:sz w:val="18"/>
                <w:szCs w:val="18"/>
              </w:rPr>
              <w:t xml:space="preserve">Performance</w:t>
            </w:r>
          </w:p>
        </w:tc>
        <w:tc>
          <w:tcPr>
            <w:tcW w:type="dxa" w:w="1300"/>
            <w:shd w:fill="1E2761" w:val="clear"/>
            <w:tcMar>
              <w:top w:type="dxa" w:w="80"/>
              <w:left w:type="dxa" w:w="100"/>
              <w:bottom w:type="dxa" w:w="80"/>
              <w:right w:type="dxa" w:w="100"/>
            </w:tcMar>
            <w:vAlign w:val="center"/>
          </w:tcPr>
          <w:p>
            <w:pPr>
              <w:jc w:val="right"/>
            </w:pPr>
            <w:r>
              <w:rPr>
                <w:rFonts w:ascii="Calibri" w:cs="Calibri" w:eastAsia="Calibri" w:hAnsi="Calibri"/>
                <w:b/>
                <w:bCs/>
                <w:color w:val="FFFFFF"/>
                <w:sz w:val="18"/>
                <w:szCs w:val="18"/>
              </w:rPr>
              <w:t xml:space="preserve">Rev:Cost</w:t>
            </w:r>
          </w:p>
        </w:tc>
        <w:tc>
          <w:tcPr>
            <w:tcW w:type="dxa" w:w="1500"/>
            <w:shd w:fill="1E2761" w:val="clear"/>
            <w:tcMar>
              <w:top w:type="dxa" w:w="80"/>
              <w:left w:type="dxa" w:w="100"/>
              <w:bottom w:type="dxa" w:w="80"/>
              <w:right w:type="dxa" w:w="100"/>
            </w:tcMar>
            <w:vAlign w:val="center"/>
          </w:tcPr>
          <w:p>
            <w:pPr>
              <w:jc w:val="right"/>
            </w:pPr>
            <w:r>
              <w:rPr>
                <w:rFonts w:ascii="Calibri" w:cs="Calibri" w:eastAsia="Calibri" w:hAnsi="Calibri"/>
                <w:b/>
                <w:bCs/>
                <w:color w:val="FFFFFF"/>
                <w:sz w:val="18"/>
                <w:szCs w:val="18"/>
              </w:rPr>
              <w:t xml:space="preserve">Training Hrs</w:t>
            </w:r>
          </w:p>
        </w:tc>
        <w:tc>
          <w:tcPr>
            <w:tcW w:type="dxa" w:w="1200"/>
            <w:shd w:fill="1E2761" w:val="clear"/>
            <w:tcMar>
              <w:top w:type="dxa" w:w="80"/>
              <w:left w:type="dxa" w:w="100"/>
              <w:bottom w:type="dxa" w:w="80"/>
              <w:right w:type="dxa" w:w="100"/>
            </w:tcMar>
            <w:vAlign w:val="center"/>
          </w:tcPr>
          <w:p>
            <w:pPr>
              <w:jc w:val="right"/>
            </w:pPr>
            <w:r>
              <w:rPr>
                <w:rFonts w:ascii="Calibri" w:cs="Calibri" w:eastAsia="Calibri" w:hAnsi="Calibri"/>
                <w:b/>
                <w:bCs/>
                <w:color w:val="FFFFFF"/>
                <w:sz w:val="18"/>
                <w:szCs w:val="18"/>
              </w:rPr>
              <w:t xml:space="preserve">Risk %</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Finance</w:t>
            </w:r>
          </w:p>
        </w:tc>
        <w:tc>
          <w:tcPr>
            <w:tcW w:type="dxa" w:w="14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3,727</w:t>
            </w:r>
          </w:p>
        </w:tc>
        <w:tc>
          <w:tcPr>
            <w:tcW w:type="dxa" w:w="15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3.59</w:t>
            </w:r>
          </w:p>
        </w:tc>
        <w:tc>
          <w:tcPr>
            <w:tcW w:type="dxa" w:w="13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1.74×</w:t>
            </w:r>
          </w:p>
        </w:tc>
        <w:tc>
          <w:tcPr>
            <w:tcW w:type="dxa" w:w="15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2,788</w:t>
            </w:r>
          </w:p>
        </w:tc>
        <w:tc>
          <w:tcPr>
            <w:tcW w:type="dxa" w:w="12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66.4%</w:t>
            </w:r>
          </w:p>
        </w:tc>
      </w:tr>
      <w:tr>
        <w:tc>
          <w:tcPr>
            <w:tcW w:type="dxa" w:w="24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Operations</w:t>
            </w:r>
          </w:p>
        </w:tc>
        <w:tc>
          <w:tcPr>
            <w:tcW w:type="dxa" w:w="14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3,717</w:t>
            </w:r>
          </w:p>
        </w:tc>
        <w:tc>
          <w:tcPr>
            <w:tcW w:type="dxa" w:w="15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3.58</w:t>
            </w:r>
          </w:p>
        </w:tc>
        <w:tc>
          <w:tcPr>
            <w:tcW w:type="dxa" w:w="13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1.62×</w:t>
            </w:r>
          </w:p>
        </w:tc>
        <w:tc>
          <w:tcPr>
            <w:tcW w:type="dxa" w:w="15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1,431</w:t>
            </w:r>
          </w:p>
        </w:tc>
        <w:tc>
          <w:tcPr>
            <w:tcW w:type="dxa" w:w="12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67.2%</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Human Resources</w:t>
            </w:r>
          </w:p>
        </w:tc>
        <w:tc>
          <w:tcPr>
            <w:tcW w:type="dxa" w:w="14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3,784</w:t>
            </w:r>
          </w:p>
        </w:tc>
        <w:tc>
          <w:tcPr>
            <w:tcW w:type="dxa" w:w="15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3.59</w:t>
            </w:r>
          </w:p>
        </w:tc>
        <w:tc>
          <w:tcPr>
            <w:tcW w:type="dxa" w:w="13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1.75×</w:t>
            </w:r>
          </w:p>
        </w:tc>
        <w:tc>
          <w:tcPr>
            <w:tcW w:type="dxa" w:w="15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401</w:t>
            </w:r>
          </w:p>
        </w:tc>
        <w:tc>
          <w:tcPr>
            <w:tcW w:type="dxa" w:w="12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66.7%</w:t>
            </w:r>
          </w:p>
        </w:tc>
      </w:tr>
      <w:tr>
        <w:tc>
          <w:tcPr>
            <w:tcW w:type="dxa" w:w="24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Product Management</w:t>
            </w:r>
          </w:p>
        </w:tc>
        <w:tc>
          <w:tcPr>
            <w:tcW w:type="dxa" w:w="14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3,725</w:t>
            </w:r>
          </w:p>
        </w:tc>
        <w:tc>
          <w:tcPr>
            <w:tcW w:type="dxa" w:w="15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3.59</w:t>
            </w:r>
          </w:p>
        </w:tc>
        <w:tc>
          <w:tcPr>
            <w:tcW w:type="dxa" w:w="13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1.40×</w:t>
            </w:r>
          </w:p>
        </w:tc>
        <w:tc>
          <w:tcPr>
            <w:tcW w:type="dxa" w:w="15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2,636</w:t>
            </w:r>
          </w:p>
        </w:tc>
        <w:tc>
          <w:tcPr>
            <w:tcW w:type="dxa" w:w="12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65.0%</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Engineering</w:t>
            </w:r>
          </w:p>
        </w:tc>
        <w:tc>
          <w:tcPr>
            <w:tcW w:type="dxa" w:w="14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3,699</w:t>
            </w:r>
          </w:p>
        </w:tc>
        <w:tc>
          <w:tcPr>
            <w:tcW w:type="dxa" w:w="15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3.61</w:t>
            </w:r>
          </w:p>
        </w:tc>
        <w:tc>
          <w:tcPr>
            <w:tcW w:type="dxa" w:w="13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1.64×</w:t>
            </w:r>
          </w:p>
        </w:tc>
        <w:tc>
          <w:tcPr>
            <w:tcW w:type="dxa" w:w="15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1,102</w:t>
            </w:r>
          </w:p>
        </w:tc>
        <w:tc>
          <w:tcPr>
            <w:tcW w:type="dxa" w:w="12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66.7%</w:t>
            </w:r>
          </w:p>
        </w:tc>
      </w:tr>
      <w:tr>
        <w:tc>
          <w:tcPr>
            <w:tcW w:type="dxa" w:w="24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Marketing</w:t>
            </w:r>
          </w:p>
        </w:tc>
        <w:tc>
          <w:tcPr>
            <w:tcW w:type="dxa" w:w="14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3,718</w:t>
            </w:r>
          </w:p>
        </w:tc>
        <w:tc>
          <w:tcPr>
            <w:tcW w:type="dxa" w:w="15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3.59</w:t>
            </w:r>
          </w:p>
        </w:tc>
        <w:tc>
          <w:tcPr>
            <w:tcW w:type="dxa" w:w="13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1.55×</w:t>
            </w:r>
          </w:p>
        </w:tc>
        <w:tc>
          <w:tcPr>
            <w:tcW w:type="dxa" w:w="15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748</w:t>
            </w:r>
          </w:p>
        </w:tc>
        <w:tc>
          <w:tcPr>
            <w:tcW w:type="dxa" w:w="12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66.2%</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Customer Support</w:t>
            </w:r>
          </w:p>
        </w:tc>
        <w:tc>
          <w:tcPr>
            <w:tcW w:type="dxa" w:w="14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3,819</w:t>
            </w:r>
          </w:p>
        </w:tc>
        <w:tc>
          <w:tcPr>
            <w:tcW w:type="dxa" w:w="15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3.60</w:t>
            </w:r>
          </w:p>
        </w:tc>
        <w:tc>
          <w:tcPr>
            <w:tcW w:type="dxa" w:w="13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1.38×</w:t>
            </w:r>
          </w:p>
        </w:tc>
        <w:tc>
          <w:tcPr>
            <w:tcW w:type="dxa" w:w="15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1,464</w:t>
            </w:r>
          </w:p>
        </w:tc>
        <w:tc>
          <w:tcPr>
            <w:tcW w:type="dxa" w:w="12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68.2%</w:t>
            </w:r>
          </w:p>
        </w:tc>
      </w:tr>
      <w:tr>
        <w:tc>
          <w:tcPr>
            <w:tcW w:type="dxa" w:w="24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Data &amp; Analytics</w:t>
            </w:r>
          </w:p>
        </w:tc>
        <w:tc>
          <w:tcPr>
            <w:tcW w:type="dxa" w:w="14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3,810</w:t>
            </w:r>
          </w:p>
        </w:tc>
        <w:tc>
          <w:tcPr>
            <w:tcW w:type="dxa" w:w="15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3.61</w:t>
            </w:r>
          </w:p>
        </w:tc>
        <w:tc>
          <w:tcPr>
            <w:tcW w:type="dxa" w:w="13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1.43×</w:t>
            </w:r>
          </w:p>
        </w:tc>
        <w:tc>
          <w:tcPr>
            <w:tcW w:type="dxa" w:w="15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839</w:t>
            </w:r>
          </w:p>
        </w:tc>
        <w:tc>
          <w:tcPr>
            <w:tcW w:type="dxa" w:w="12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67.1%</w:t>
            </w:r>
          </w:p>
        </w:tc>
      </w:tr>
    </w:tbl>
    <w:p>
      <w:pPr>
        <w:spacing w:before="200"/>
      </w:pPr>
    </w:p>
    <w:p>
      <w:pPr>
        <w:spacing w:after="160" w:line="276"/>
      </w:pPr>
      <w:r>
        <w:rPr>
          <w:rFonts w:ascii="Calibri" w:cs="Calibri" w:eastAsia="Calibri" w:hAnsi="Calibri"/>
          <w:i w:val="false"/>
          <w:iCs w:val="false"/>
          <w:color w:val="222222"/>
          <w:sz w:val="21"/>
          <w:szCs w:val="21"/>
        </w:rPr>
        <w:t xml:space="preserve">There is no visible relationship between training hours and either performance or revenue efficiency in this table. Human Resources achieves the best revenue-to-cost ratio in the organisation on the least training investment by a wide margin (401 hours, next-lowest is Marketing at 748), while Finance and Product Management post the two highest training totals for a top-tier and a bottom-tier efficiency ratio respectively. This corroborates the dashboard's existing "training spend doesn't clearly predict performance" finding and extends it: it doesn't clearly predict financial efficiency either.</w:t>
      </w:r>
    </w:p>
    <w:p>
      <w:pPr>
        <w:pStyle w:val="Heading2"/>
        <w:spacing w:after="120" w:before="280"/>
      </w:pPr>
      <w:r>
        <w:rPr>
          <w:rFonts w:ascii="Cambria" w:cs="Cambria" w:eastAsia="Cambria" w:hAnsi="Cambria"/>
          <w:b/>
          <w:bCs/>
          <w:color w:val="1E2761"/>
          <w:sz w:val="24"/>
          <w:szCs w:val="24"/>
        </w:rPr>
        <w:t xml:space="preserve">7. Executive Outlier Analysis (Query 7)</w:t>
      </w:r>
    </w:p>
    <w:p>
      <w:pPr>
        <w:spacing w:after="160" w:line="276"/>
      </w:pPr>
      <w:r>
        <w:rPr>
          <w:rFonts w:ascii="Calibri" w:cs="Calibri" w:eastAsia="Calibri" w:hAnsi="Calibri"/>
          <w:i w:val="false"/>
          <w:iCs w:val="false"/>
          <w:color w:val="222222"/>
          <w:sz w:val="21"/>
          <w:szCs w:val="21"/>
        </w:rPr>
        <w:t xml:space="preserve">Organisation-wide average compensation is $10,398 and average performance is 3.54 (employee-level average, computed across all annual performance records). Five of eight departments — Human Resources, Engineering, Data &amp; Analytics, Marketing and Customer Support — run above-average compensation. None of the eight combine above-average cost with below-average performance, so there is no department in active "priority review" territory on this specific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2600"/>
      </w:tblGrid>
      <w:tr>
        <w:trPr>
          <w:tblHeader/>
        </w:trPr>
        <w:tc>
          <w:tcPr>
            <w:tcW w:type="dxa" w:w="2600"/>
            <w:shd w:fill="1E2761"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Department</w:t>
            </w:r>
          </w:p>
        </w:tc>
        <w:tc>
          <w:tcPr>
            <w:tcW w:type="dxa" w:w="2000"/>
            <w:shd w:fill="1E2761" w:val="clear"/>
            <w:tcMar>
              <w:top w:type="dxa" w:w="80"/>
              <w:left w:type="dxa" w:w="100"/>
              <w:bottom w:type="dxa" w:w="80"/>
              <w:right w:type="dxa" w:w="100"/>
            </w:tcMar>
            <w:vAlign w:val="center"/>
          </w:tcPr>
          <w:p>
            <w:pPr>
              <w:jc w:val="right"/>
            </w:pPr>
            <w:r>
              <w:rPr>
                <w:rFonts w:ascii="Calibri" w:cs="Calibri" w:eastAsia="Calibri" w:hAnsi="Calibri"/>
                <w:b/>
                <w:bCs/>
                <w:color w:val="FFFFFF"/>
                <w:sz w:val="18"/>
                <w:szCs w:val="18"/>
              </w:rPr>
              <w:t xml:space="preserve">Avg Compensation</w:t>
            </w:r>
          </w:p>
        </w:tc>
        <w:tc>
          <w:tcPr>
            <w:tcW w:type="dxa" w:w="1800"/>
            <w:shd w:fill="1E2761" w:val="clear"/>
            <w:tcMar>
              <w:top w:type="dxa" w:w="80"/>
              <w:left w:type="dxa" w:w="100"/>
              <w:bottom w:type="dxa" w:w="80"/>
              <w:right w:type="dxa" w:w="100"/>
            </w:tcMar>
            <w:vAlign w:val="center"/>
          </w:tcPr>
          <w:p>
            <w:pPr>
              <w:jc w:val="right"/>
            </w:pPr>
            <w:r>
              <w:rPr>
                <w:rFonts w:ascii="Calibri" w:cs="Calibri" w:eastAsia="Calibri" w:hAnsi="Calibri"/>
                <w:b/>
                <w:bCs/>
                <w:color w:val="FFFFFF"/>
                <w:sz w:val="18"/>
                <w:szCs w:val="18"/>
              </w:rPr>
              <w:t xml:space="preserve">Avg Performance</w:t>
            </w:r>
          </w:p>
        </w:tc>
        <w:tc>
          <w:tcPr>
            <w:tcW w:type="dxa" w:w="2600"/>
            <w:shd w:fill="1E2761" w:val="clear"/>
            <w:tcMar>
              <w:top w:type="dxa" w:w="80"/>
              <w:left w:type="dxa" w:w="100"/>
              <w:bottom w:type="dxa" w:w="80"/>
              <w:right w:type="dxa" w:w="100"/>
            </w:tcMar>
            <w:vAlign w:val="center"/>
          </w:tcPr>
          <w:p>
            <w:pPr>
              <w:jc w:val="right"/>
            </w:pPr>
            <w:r>
              <w:rPr>
                <w:rFonts w:ascii="Calibri" w:cs="Calibri" w:eastAsia="Calibri" w:hAnsi="Calibri"/>
                <w:b/>
                <w:bCs/>
                <w:color w:val="FFFFFF"/>
                <w:sz w:val="18"/>
                <w:szCs w:val="18"/>
              </w:rPr>
              <w:t xml:space="preserve">Flag</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Human Resources</w:t>
            </w:r>
          </w:p>
        </w:tc>
        <w:tc>
          <w:tcPr>
            <w:tcW w:type="dxa" w:w="20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$10,497</w:t>
            </w:r>
          </w:p>
        </w:tc>
        <w:tc>
          <w:tcPr>
            <w:tcW w:type="dxa" w:w="18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3.59</w:t>
            </w:r>
          </w:p>
        </w:tc>
        <w:tc>
          <w:tcPr>
            <w:tcW w:type="dxa" w:w="26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Higher compensation exposure</w:t>
            </w:r>
          </w:p>
        </w:tc>
      </w:tr>
      <w:tr>
        <w:tc>
          <w:tcPr>
            <w:tcW w:type="dxa" w:w="26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Engineering</w:t>
            </w:r>
          </w:p>
        </w:tc>
        <w:tc>
          <w:tcPr>
            <w:tcW w:type="dxa" w:w="20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$10,454</w:t>
            </w:r>
          </w:p>
        </w:tc>
        <w:tc>
          <w:tcPr>
            <w:tcW w:type="dxa" w:w="18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3.61</w:t>
            </w:r>
          </w:p>
        </w:tc>
        <w:tc>
          <w:tcPr>
            <w:tcW w:type="dxa" w:w="26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Higher compensation exposure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Data &amp; Analytics</w:t>
            </w:r>
          </w:p>
        </w:tc>
        <w:tc>
          <w:tcPr>
            <w:tcW w:type="dxa" w:w="20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$10,452</w:t>
            </w:r>
          </w:p>
        </w:tc>
        <w:tc>
          <w:tcPr>
            <w:tcW w:type="dxa" w:w="18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3.61</w:t>
            </w:r>
          </w:p>
        </w:tc>
        <w:tc>
          <w:tcPr>
            <w:tcW w:type="dxa" w:w="26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Higher compensation exposure</w:t>
            </w:r>
          </w:p>
        </w:tc>
      </w:tr>
      <w:tr>
        <w:tc>
          <w:tcPr>
            <w:tcW w:type="dxa" w:w="26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Marketing</w:t>
            </w:r>
          </w:p>
        </w:tc>
        <w:tc>
          <w:tcPr>
            <w:tcW w:type="dxa" w:w="20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$10,429</w:t>
            </w:r>
          </w:p>
        </w:tc>
        <w:tc>
          <w:tcPr>
            <w:tcW w:type="dxa" w:w="18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3.59</w:t>
            </w:r>
          </w:p>
        </w:tc>
        <w:tc>
          <w:tcPr>
            <w:tcW w:type="dxa" w:w="26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Higher compensation exposure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Customer Support</w:t>
            </w:r>
          </w:p>
        </w:tc>
        <w:tc>
          <w:tcPr>
            <w:tcW w:type="dxa" w:w="20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$10,406</w:t>
            </w:r>
          </w:p>
        </w:tc>
        <w:tc>
          <w:tcPr>
            <w:tcW w:type="dxa" w:w="18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3.60</w:t>
            </w:r>
          </w:p>
        </w:tc>
        <w:tc>
          <w:tcPr>
            <w:tcW w:type="dxa" w:w="26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Higher compensation exposure</w:t>
            </w:r>
          </w:p>
        </w:tc>
      </w:tr>
      <w:tr>
        <w:tc>
          <w:tcPr>
            <w:tcW w:type="dxa" w:w="26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Product Management</w:t>
            </w:r>
          </w:p>
        </w:tc>
        <w:tc>
          <w:tcPr>
            <w:tcW w:type="dxa" w:w="20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$10,372</w:t>
            </w:r>
          </w:p>
        </w:tc>
        <w:tc>
          <w:tcPr>
            <w:tcW w:type="dxa" w:w="18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3.59</w:t>
            </w:r>
          </w:p>
        </w:tc>
        <w:tc>
          <w:tcPr>
            <w:tcW w:type="dxa" w:w="26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Within benchmark</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Operations</w:t>
            </w:r>
          </w:p>
        </w:tc>
        <w:tc>
          <w:tcPr>
            <w:tcW w:type="dxa" w:w="20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$10,366</w:t>
            </w:r>
          </w:p>
        </w:tc>
        <w:tc>
          <w:tcPr>
            <w:tcW w:type="dxa" w:w="18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3.58</w:t>
            </w:r>
          </w:p>
        </w:tc>
        <w:tc>
          <w:tcPr>
            <w:tcW w:type="dxa" w:w="26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Within benchmark</w:t>
            </w:r>
          </w:p>
        </w:tc>
      </w:tr>
      <w:tr>
        <w:tc>
          <w:tcPr>
            <w:tcW w:type="dxa" w:w="26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Finance</w:t>
            </w:r>
          </w:p>
        </w:tc>
        <w:tc>
          <w:tcPr>
            <w:tcW w:type="dxa" w:w="20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$10,355</w:t>
            </w:r>
          </w:p>
        </w:tc>
        <w:tc>
          <w:tcPr>
            <w:tcW w:type="dxa" w:w="18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3.59</w:t>
            </w:r>
          </w:p>
        </w:tc>
        <w:tc>
          <w:tcPr>
            <w:tcW w:type="dxa" w:w="26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Within benchmark</w:t>
            </w:r>
          </w:p>
        </w:tc>
      </w:tr>
    </w:tbl>
    <w:p>
      <w:pPr>
        <w:spacing w:before="200"/>
      </w:pPr>
    </w:p>
    <w:p>
      <w:pPr>
        <w:spacing w:after="160" w:line="276"/>
      </w:pPr>
      <w:r>
        <w:rPr>
          <w:rFonts w:ascii="Calibri" w:cs="Calibri" w:eastAsia="Calibri" w:hAnsi="Calibri"/>
          <w:i w:val="false"/>
          <w:iCs w:val="false"/>
          <w:color w:val="222222"/>
          <w:sz w:val="21"/>
          <w:szCs w:val="21"/>
        </w:rPr>
        <w:t xml:space="preserve">The reassurance here is real — no department is overpaying for underperformance. The caution is subtler: because performance barely varies (a 0.03 spread) while five departments are paying above the organisation average, higher compensation in this dataset is not clearly buying differentiated performance. It may be buying something else — retention, seniority mix, or role composition — that this dataset doesn't yet isolate, and is worth a follow-up query joining compensation outliers to tenure and role level.</w:t>
      </w:r>
    </w:p>
    <w:p>
      <w:pPr>
        <w:pStyle w:val="Heading2"/>
        <w:spacing w:after="120" w:before="280"/>
      </w:pPr>
      <w:r>
        <w:rPr>
          <w:rFonts w:ascii="Cambria" w:cs="Cambria" w:eastAsia="Cambria" w:hAnsi="Cambria"/>
          <w:b/>
          <w:bCs/>
          <w:color w:val="1E2761"/>
          <w:sz w:val="24"/>
          <w:szCs w:val="24"/>
        </w:rPr>
        <w:t xml:space="preserve">8. Triangulating SQL and Power BI</w:t>
      </w:r>
    </w:p>
    <w:p>
      <w:pPr>
        <w:spacing w:after="160" w:line="276"/>
      </w:pPr>
      <w:r>
        <w:rPr>
          <w:rFonts w:ascii="Calibri" w:cs="Calibri" w:eastAsia="Calibri" w:hAnsi="Calibri"/>
          <w:i w:val="false"/>
          <w:iCs w:val="false"/>
          <w:color w:val="222222"/>
          <w:sz w:val="21"/>
          <w:szCs w:val="21"/>
        </w:rPr>
        <w:t xml:space="preserve">Combining the two sources strengthens some findings and surfaces one open question that neither source resolves alone.</w:t>
      </w:r>
    </w:p>
    <w:p>
      <w:pPr>
        <w:pStyle w:val="ListParagraph"/>
        <w:numPr>
          <w:ilvl w:val="0"/>
          <w:numId w:val="2"/>
        </w:numPr>
        <w:spacing w:after="100" w:line="264"/>
      </w:pPr>
      <w:r>
        <w:rPr>
          <w:rFonts w:ascii="Calibri" w:cs="Calibri" w:eastAsia="Calibri" w:hAnsi="Calibri"/>
          <w:b/>
          <w:bCs/>
          <w:color w:val="1E2761"/>
          <w:sz w:val="21"/>
          <w:szCs w:val="21"/>
        </w:rPr>
        <w:t xml:space="preserve">Agrees — cost by department:  </w:t>
      </w:r>
      <w:r>
        <w:rPr>
          <w:rFonts w:ascii="Calibri" w:cs="Calibri" w:eastAsia="Calibri" w:hAnsi="Calibri"/>
          <w:sz w:val="21"/>
          <w:szCs w:val="21"/>
        </w:rPr>
        <w:t xml:space="preserve">Data &amp; Analytics has the highest total workforce cost and Operations the lowest, in both the SQL export (Section 1) and the Power BI dashboard, to within $20K — strong evidence the two are drawing from a consistent, well-reconciled warehouse.</w:t>
      </w:r>
    </w:p>
    <w:p>
      <w:pPr>
        <w:pStyle w:val="ListParagraph"/>
        <w:numPr>
          <w:ilvl w:val="0"/>
          <w:numId w:val="2"/>
        </w:numPr>
        <w:spacing w:after="100" w:line="264"/>
      </w:pPr>
      <w:r>
        <w:rPr>
          <w:rFonts w:ascii="Calibri" w:cs="Calibri" w:eastAsia="Calibri" w:hAnsi="Calibri"/>
          <w:b/>
          <w:bCs/>
          <w:color w:val="1E2761"/>
          <w:sz w:val="21"/>
          <w:szCs w:val="21"/>
        </w:rPr>
        <w:t xml:space="preserve">Agrees — education mix:  </w:t>
      </w:r>
      <w:r>
        <w:rPr>
          <w:rFonts w:ascii="Calibri" w:cs="Calibri" w:eastAsia="Calibri" w:hAnsi="Calibri"/>
          <w:sz w:val="21"/>
          <w:szCs w:val="21"/>
        </w:rPr>
        <w:t xml:space="preserve">Master's-degree headcount as the largest education segment, ahead of Bachelor's, in both the SQL weighted count (Query 3) and the dashboard — a second independent confirmation of pipeline integrity.</w:t>
      </w:r>
    </w:p>
    <w:p>
      <w:pPr>
        <w:pStyle w:val="ListParagraph"/>
        <w:numPr>
          <w:ilvl w:val="0"/>
          <w:numId w:val="2"/>
        </w:numPr>
        <w:spacing w:after="100" w:line="264"/>
      </w:pPr>
      <w:r>
        <w:rPr>
          <w:rFonts w:ascii="Calibri" w:cs="Calibri" w:eastAsia="Calibri" w:hAnsi="Calibri"/>
          <w:b/>
          <w:bCs/>
          <w:color w:val="1E2761"/>
          <w:sz w:val="21"/>
          <w:szCs w:val="21"/>
        </w:rPr>
        <w:t xml:space="preserve">Agrees — Operations is the outlier to watch:  </w:t>
      </w:r>
      <w:r>
        <w:rPr>
          <w:rFonts w:ascii="Calibri" w:cs="Calibri" w:eastAsia="Calibri" w:hAnsi="Calibri"/>
          <w:sz w:val="21"/>
          <w:szCs w:val="21"/>
        </w:rPr>
        <w:t xml:space="preserve">Operations shows the weakest link between effort and outcome in both sources: the SQL scorecard's lowest performance score (3.58) and the dashboard's highest single-department attrition rate (35.1%) are describing the same department from two different angles.</w:t>
      </w:r>
    </w:p>
    <w:p>
      <w:pPr>
        <w:pStyle w:val="ListParagraph"/>
        <w:numPr>
          <w:ilvl w:val="0"/>
          <w:numId w:val="2"/>
        </w:numPr>
        <w:spacing w:after="100" w:line="264"/>
      </w:pPr>
      <w:r>
        <w:rPr>
          <w:rFonts w:ascii="Calibri" w:cs="Calibri" w:eastAsia="Calibri" w:hAnsi="Calibri"/>
          <w:b/>
          <w:bCs/>
          <w:color w:val="1E2761"/>
          <w:sz w:val="21"/>
          <w:szCs w:val="21"/>
        </w:rPr>
        <w:t xml:space="preserve">Needs reconciliation — status, attrition &amp; risk definitions:  </w:t>
      </w:r>
      <w:r>
        <w:rPr>
          <w:rFonts w:ascii="Calibri" w:cs="Calibri" w:eastAsia="Calibri" w:hAnsi="Calibri"/>
          <w:sz w:val="21"/>
          <w:szCs w:val="21"/>
        </w:rPr>
        <w:t xml:space="preserve">employee_status "Active" share (33.6%, SQL) and the dashboard's computed attrition rate (32.9%) are not the same metric and should not be quoted as if they were — see Data Quality note below. Likewise the dashboard's expired-insurance count (9,920 employees) and the SQL wellbeing/insurance risk flag (66.7%) appear to use different eligibility rules and need a single owner to define one company-standard risk metric.</w:t>
      </w:r>
    </w:p>
    <w:p>
      <w:pPr>
        <w:pStyle w:val="Heading1"/>
        <w:pBdr>
          <w:bottom w:val="single" w:color="CADCFC" w:sz="6" w:space="6"/>
        </w:pBdr>
        <w:spacing w:after="200" w:before="400"/>
      </w:pPr>
      <w:r>
        <w:rPr>
          <w:rFonts w:ascii="Cambria" w:cs="Cambria" w:eastAsia="Cambria" w:hAnsi="Cambria"/>
          <w:b/>
          <w:bCs/>
          <w:color w:val="1E2761"/>
          <w:sz w:val="30"/>
          <w:szCs w:val="30"/>
        </w:rPr>
        <w:t xml:space="preserve">Data Quality &amp; Definitional Notes</w:t>
      </w:r>
    </w:p>
    <w:p>
      <w:pPr>
        <w:pStyle w:val="ListParagraph"/>
        <w:numPr>
          <w:ilvl w:val="0"/>
          <w:numId w:val="2"/>
        </w:numPr>
        <w:spacing w:after="100" w:line="264"/>
      </w:pPr>
      <w:r>
        <w:rPr>
          <w:rFonts w:ascii="Calibri" w:cs="Calibri" w:eastAsia="Calibri" w:hAnsi="Calibri"/>
          <w:b/>
          <w:bCs/>
          <w:color w:val="1E2761"/>
          <w:sz w:val="21"/>
          <w:szCs w:val="21"/>
        </w:rPr>
        <w:t xml:space="preserve">employee_status vs. attrition rate:  </w:t>
      </w:r>
      <w:r>
        <w:rPr>
          <w:rFonts w:ascii="Calibri" w:cs="Calibri" w:eastAsia="Calibri" w:hAnsi="Calibri"/>
          <w:sz w:val="21"/>
          <w:szCs w:val="21"/>
        </w:rPr>
        <w:t xml:space="preserve">Only 33.6% of employees carry status "Active" (Query 1/6), while the dashboard reports 32.9% attrition — these numbers describe different things and should not be used interchangeably without a definitions note from the source-system owner.</w:t>
      </w:r>
    </w:p>
    <w:p>
      <w:pPr>
        <w:pStyle w:val="ListParagraph"/>
        <w:numPr>
          <w:ilvl w:val="0"/>
          <w:numId w:val="2"/>
        </w:numPr>
        <w:spacing w:after="100" w:line="264"/>
      </w:pPr>
      <w:r>
        <w:rPr>
          <w:rFonts w:ascii="Calibri" w:cs="Calibri" w:eastAsia="Calibri" w:hAnsi="Calibri"/>
          <w:b/>
          <w:bCs/>
          <w:color w:val="1E2761"/>
          <w:sz w:val="21"/>
          <w:szCs w:val="21"/>
        </w:rPr>
        <w:t xml:space="preserve">Query 2 export naming:  </w:t>
      </w:r>
      <w:r>
        <w:rPr>
          <w:rFonts w:ascii="Calibri" w:cs="Calibri" w:eastAsia="Calibri" w:hAnsi="Calibri"/>
          <w:sz w:val="21"/>
          <w:szCs w:val="21"/>
        </w:rPr>
        <w:t xml:space="preserve">the file exported under the "Department Performance &amp; Financial Efficiency" label contains the Education, Placement &amp; Compensation columns (Query 3's output) rather than Query 2's year-by-year revenue-to-cost columns. This report used the Executive Department Scorecard (Query 6) as the authoritative source for Query 2's revenue-to-cost metric, and treated the mislabeled file as Query 3 content — worth relabeling the export before this is filed as a permanent record.</w:t>
      </w:r>
    </w:p>
    <w:p>
      <w:pPr>
        <w:pStyle w:val="ListParagraph"/>
        <w:numPr>
          <w:ilvl w:val="0"/>
          <w:numId w:val="2"/>
        </w:numPr>
        <w:spacing w:after="100" w:line="264"/>
      </w:pPr>
      <w:r>
        <w:rPr>
          <w:rFonts w:ascii="Calibri" w:cs="Calibri" w:eastAsia="Calibri" w:hAnsi="Calibri"/>
          <w:b/>
          <w:bCs/>
          <w:color w:val="1E2761"/>
          <w:sz w:val="21"/>
          <w:szCs w:val="21"/>
        </w:rPr>
        <w:t xml:space="preserve">Employee Cost vs Productivity sample size:  </w:t>
      </w:r>
      <w:r>
        <w:rPr>
          <w:rFonts w:ascii="Calibri" w:cs="Calibri" w:eastAsia="Calibri" w:hAnsi="Calibri"/>
          <w:sz w:val="21"/>
          <w:szCs w:val="21"/>
        </w:rPr>
        <w:t xml:space="preserve">this export is capped at the top 1,000 employees by performance score, not the full 30,000 — findings in Section 4 describe the top-performing segment only and should not be read as an organisation-wide productivity split.</w:t>
      </w:r>
    </w:p>
    <w:p>
      <w:pPr>
        <w:pStyle w:val="ListParagraph"/>
        <w:numPr>
          <w:ilvl w:val="0"/>
          <w:numId w:val="2"/>
        </w:numPr>
        <w:spacing w:after="100" w:line="264"/>
      </w:pPr>
      <w:r>
        <w:rPr>
          <w:rFonts w:ascii="Calibri" w:cs="Calibri" w:eastAsia="Calibri" w:hAnsi="Calibri"/>
          <w:b/>
          <w:bCs/>
          <w:color w:val="1E2761"/>
          <w:sz w:val="21"/>
          <w:szCs w:val="21"/>
        </w:rPr>
        <w:t xml:space="preserve">Scope of financial figures:  </w:t>
      </w:r>
      <w:r>
        <w:rPr>
          <w:rFonts w:ascii="Calibri" w:cs="Calibri" w:eastAsia="Calibri" w:hAnsi="Calibri"/>
          <w:sz w:val="21"/>
          <w:szCs w:val="21"/>
        </w:rPr>
        <w:t xml:space="preserve">department-level revenue and cost in Sections 2 and 6 reflect each department's latest recorded year, matching the dashboard's single-year view ($23.34M revenue / $14.68M cost org-wide). An earlier dashboard export briefly showed a cumulative all-years figure ($104.07M / $65.51M); both are correct for their respective year filters, but only one should be labelled "current year" performance in the final deck.</w:t>
      </w:r>
    </w:p>
    <w:p>
      <w:pPr>
        <w:pStyle w:val="Heading1"/>
        <w:pBdr>
          <w:bottom w:val="single" w:color="CADCFC" w:sz="6" w:space="6"/>
        </w:pBdr>
        <w:spacing w:after="200" w:before="400"/>
      </w:pPr>
      <w:r>
        <w:rPr>
          <w:rFonts w:ascii="Cambria" w:cs="Cambria" w:eastAsia="Cambria" w:hAnsi="Cambria"/>
          <w:b/>
          <w:bCs/>
          <w:color w:val="1E2761"/>
          <w:sz w:val="30"/>
          <w:szCs w:val="30"/>
        </w:rPr>
        <w:t xml:space="preserve">Recommendations</w:t>
      </w:r>
    </w:p>
    <w:p>
      <w:pPr>
        <w:pStyle w:val="Heading2"/>
        <w:spacing w:after="120" w:before="280"/>
      </w:pPr>
      <w:r>
        <w:rPr>
          <w:rFonts w:ascii="Cambria" w:cs="Cambria" w:eastAsia="Cambria" w:hAnsi="Cambria"/>
          <w:b/>
          <w:bCs/>
          <w:color w:val="1E2761"/>
          <w:sz w:val="24"/>
          <w:szCs w:val="24"/>
        </w:rPr>
        <w:t xml:space="preserve">1 · Retention — investigate Operations</w:t>
      </w:r>
    </w:p>
    <w:p>
      <w:pPr>
        <w:spacing w:after="160" w:line="276"/>
      </w:pPr>
      <w:r>
        <w:rPr>
          <w:rFonts w:ascii="Calibri" w:cs="Calibri" w:eastAsia="Calibri" w:hAnsi="Calibri"/>
          <w:i w:val="false"/>
          <w:iCs w:val="false"/>
          <w:color w:val="222222"/>
          <w:sz w:val="21"/>
          <w:szCs w:val="21"/>
        </w:rPr>
        <w:t xml:space="preserve">Operations pairs steady 3.58 performance with the highest attrition already flagged on Dashboard 04 (35.1%) and the lowest "high productivity / strong attendance" share among top performers (85.5%). Investigate workload, compensation structure and working conditions before the department's output quality erodes.</w:t>
      </w:r>
    </w:p>
    <w:p>
      <w:pPr>
        <w:pStyle w:val="Heading2"/>
        <w:spacing w:after="120" w:before="280"/>
      </w:pPr>
      <w:r>
        <w:rPr>
          <w:rFonts w:ascii="Cambria" w:cs="Cambria" w:eastAsia="Cambria" w:hAnsi="Cambria"/>
          <w:b/>
          <w:bCs/>
          <w:color w:val="1E2761"/>
          <w:sz w:val="24"/>
          <w:szCs w:val="24"/>
        </w:rPr>
        <w:t xml:space="preserve">2 · Financial efficiency — prioritise Customer Support and Product Management</w:t>
      </w:r>
    </w:p>
    <w:p>
      <w:pPr>
        <w:spacing w:after="160" w:line="276"/>
      </w:pPr>
      <w:r>
        <w:rPr>
          <w:rFonts w:ascii="Calibri" w:cs="Calibri" w:eastAsia="Calibri" w:hAnsi="Calibri"/>
          <w:i w:val="false"/>
          <w:iCs w:val="false"/>
          <w:color w:val="222222"/>
          <w:sz w:val="21"/>
          <w:szCs w:val="21"/>
        </w:rPr>
        <w:t xml:space="preserve">These two departments combine below-average revenue with above-average cost (1.38× and 1.40× revenue-to-cost, the two weakest in the organisation). Customer Support additionally carries the highest wellbeing-risk share (68.2%) — review process, staffing model and role allocation here before adding further headcount or budget.</w:t>
      </w:r>
    </w:p>
    <w:p>
      <w:pPr>
        <w:pStyle w:val="Heading2"/>
        <w:spacing w:after="120" w:before="280"/>
      </w:pPr>
      <w:r>
        <w:rPr>
          <w:rFonts w:ascii="Cambria" w:cs="Cambria" w:eastAsia="Cambria" w:hAnsi="Cambria"/>
          <w:b/>
          <w:bCs/>
          <w:color w:val="1E2761"/>
          <w:sz w:val="24"/>
          <w:szCs w:val="24"/>
        </w:rPr>
        <w:t xml:space="preserve">3 · Compensation strategy — reconcile the outlier flags</w:t>
      </w:r>
    </w:p>
    <w:p>
      <w:pPr>
        <w:spacing w:after="160" w:line="276"/>
      </w:pPr>
      <w:r>
        <w:rPr>
          <w:rFonts w:ascii="Calibri" w:cs="Calibri" w:eastAsia="Calibri" w:hAnsi="Calibri"/>
          <w:i w:val="false"/>
          <w:iCs w:val="false"/>
          <w:color w:val="222222"/>
          <w:sz w:val="21"/>
          <w:szCs w:val="21"/>
        </w:rPr>
        <w:t xml:space="preserve">Five departments run above organisation-average compensation without a matching performance edge. Before treating this as a cost problem, run a follow-up analysis joining compensation outliers to tenure, seniority mix and role level — the gap may reflect legitimate seniority differences rather than inefficiency.</w:t>
      </w:r>
    </w:p>
    <w:p>
      <w:pPr>
        <w:pStyle w:val="Heading2"/>
        <w:spacing w:after="120" w:before="280"/>
      </w:pPr>
      <w:r>
        <w:rPr>
          <w:rFonts w:ascii="Cambria" w:cs="Cambria" w:eastAsia="Cambria" w:hAnsi="Cambria"/>
          <w:b/>
          <w:bCs/>
          <w:color w:val="1E2761"/>
          <w:sz w:val="24"/>
          <w:szCs w:val="24"/>
        </w:rPr>
        <w:t xml:space="preserve">4 · Wellbeing &amp; insurance — treat as a systemic, org-wide programme</w:t>
      </w:r>
    </w:p>
    <w:p>
      <w:pPr>
        <w:spacing w:after="160" w:line="276"/>
      </w:pPr>
      <w:r>
        <w:rPr>
          <w:rFonts w:ascii="Calibri" w:cs="Calibri" w:eastAsia="Calibri" w:hAnsi="Calibri"/>
          <w:i w:val="false"/>
          <w:iCs w:val="false"/>
          <w:color w:val="222222"/>
          <w:sz w:val="21"/>
          <w:szCs w:val="21"/>
        </w:rPr>
        <w:t xml:space="preserve">Because insurance/wellbeing risk is flat at 65–68% in every department, this is not a departmental HR issue to delegate locally — it is a company-wide benefits/coverage gap touching $208.7M in compensation. A single, centrally owned remediation programme will be more effective than eight separate departmental fixes.</w:t>
      </w:r>
    </w:p>
    <w:p>
      <w:pPr>
        <w:pStyle w:val="Heading2"/>
        <w:spacing w:after="120" w:before="280"/>
      </w:pPr>
      <w:r>
        <w:rPr>
          <w:rFonts w:ascii="Cambria" w:cs="Cambria" w:eastAsia="Cambria" w:hAnsi="Cambria"/>
          <w:b/>
          <w:bCs/>
          <w:color w:val="1E2761"/>
          <w:sz w:val="24"/>
          <w:szCs w:val="24"/>
        </w:rPr>
        <w:t xml:space="preserve">5 · Data governance — fix the definitional gaps before board reporting</w:t>
      </w:r>
    </w:p>
    <w:p>
      <w:pPr>
        <w:spacing w:after="160" w:line="276"/>
      </w:pPr>
      <w:r>
        <w:rPr>
          <w:rFonts w:ascii="Calibri" w:cs="Calibri" w:eastAsia="Calibri" w:hAnsi="Calibri"/>
          <w:i w:val="false"/>
          <w:iCs w:val="false"/>
          <w:color w:val="222222"/>
          <w:sz w:val="21"/>
          <w:szCs w:val="21"/>
        </w:rPr>
        <w:t xml:space="preserve">Reconcile employee_status against the computed attrition rate, relabel the mislabelled Query 2 export, and clearly timestamp whether revenue/cost figures reflect the latest year or a cumulative view. None of these affect the substance of the findings above, but each could cause a stakeholder to misread a number if left unresolved.</w:t>
      </w:r>
    </w:p>
    <w:p>
      <w:pPr>
        <w:pStyle w:val="Heading1"/>
        <w:pBdr>
          <w:bottom w:val="single" w:color="CADCFC" w:sz="6" w:space="6"/>
        </w:pBdr>
        <w:spacing w:after="200" w:before="400"/>
      </w:pPr>
      <w:r>
        <w:rPr>
          <w:rFonts w:ascii="Cambria" w:cs="Cambria" w:eastAsia="Cambria" w:hAnsi="Cambria"/>
          <w:b/>
          <w:bCs/>
          <w:color w:val="1E2761"/>
          <w:sz w:val="30"/>
          <w:szCs w:val="30"/>
        </w:rPr>
        <w:t xml:space="preserve">Appendix: Organisation-Wide Metrics at a Glance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5600"/>
        <w:gridCol w:w="3100"/>
      </w:tblGrid>
      <w:tr>
        <w:trPr>
          <w:tblHeader/>
        </w:trPr>
        <w:tc>
          <w:tcPr>
            <w:tcW w:type="dxa" w:w="5600"/>
            <w:shd w:fill="1E2761"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Metric</w:t>
            </w:r>
          </w:p>
        </w:tc>
        <w:tc>
          <w:tcPr>
            <w:tcW w:type="dxa" w:w="3100"/>
            <w:shd w:fill="1E2761" w:val="clear"/>
            <w:tcMar>
              <w:top w:type="dxa" w:w="80"/>
              <w:left w:type="dxa" w:w="100"/>
              <w:bottom w:type="dxa" w:w="80"/>
              <w:right w:type="dxa" w:w="100"/>
            </w:tcMar>
            <w:vAlign w:val="center"/>
          </w:tcPr>
          <w:p>
            <w:pPr>
              <w:jc w:val="right"/>
            </w:pPr>
            <w:r>
              <w:rPr>
                <w:rFonts w:ascii="Calibri" w:cs="Calibri" w:eastAsia="Calibri" w:hAnsi="Calibri"/>
                <w:b/>
                <w:bCs/>
                <w:color w:val="FFFFFF"/>
                <w:sz w:val="18"/>
                <w:szCs w:val="18"/>
              </w:rPr>
              <w:t xml:space="preserve">Value</w:t>
            </w:r>
          </w:p>
        </w:tc>
      </w:tr>
      <w:tr>
        <w:tc>
          <w:tcPr>
            <w:tcW w:type="dxa" w:w="5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Total employees</w:t>
            </w:r>
          </w:p>
        </w:tc>
        <w:tc>
          <w:tcPr>
            <w:tcW w:type="dxa" w:w="31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30,000</w:t>
            </w:r>
          </w:p>
        </w:tc>
      </w:tr>
      <w:tr>
        <w:tc>
          <w:tcPr>
            <w:tcW w:type="dxa" w:w="56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Departments</w:t>
            </w:r>
          </w:p>
        </w:tc>
        <w:tc>
          <w:tcPr>
            <w:tcW w:type="dxa" w:w="31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8</w:t>
            </w:r>
          </w:p>
        </w:tc>
      </w:tr>
      <w:tr>
        <w:tc>
          <w:tcPr>
            <w:tcW w:type="dxa" w:w="5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Total compensation (org-wide)</w:t>
            </w:r>
          </w:p>
        </w:tc>
        <w:tc>
          <w:tcPr>
            <w:tcW w:type="dxa" w:w="31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$312.49M</w:t>
            </w:r>
          </w:p>
        </w:tc>
      </w:tr>
      <w:tr>
        <w:tc>
          <w:tcPr>
            <w:tcW w:type="dxa" w:w="56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  — basic salary</w:t>
            </w:r>
          </w:p>
        </w:tc>
        <w:tc>
          <w:tcPr>
            <w:tcW w:type="dxa" w:w="31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$262.94M</w:t>
            </w:r>
          </w:p>
        </w:tc>
      </w:tr>
      <w:tr>
        <w:tc>
          <w:tcPr>
            <w:tcW w:type="dxa" w:w="5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  — allowances</w:t>
            </w:r>
          </w:p>
        </w:tc>
        <w:tc>
          <w:tcPr>
            <w:tcW w:type="dxa" w:w="31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$49.54M</w:t>
            </w:r>
          </w:p>
        </w:tc>
      </w:tr>
      <w:tr>
        <w:tc>
          <w:tcPr>
            <w:tcW w:type="dxa" w:w="56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Total revenue generated (latest year)</w:t>
            </w:r>
          </w:p>
        </w:tc>
        <w:tc>
          <w:tcPr>
            <w:tcW w:type="dxa" w:w="31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$23.34M</w:t>
            </w:r>
          </w:p>
        </w:tc>
      </w:tr>
      <w:tr>
        <w:tc>
          <w:tcPr>
            <w:tcW w:type="dxa" w:w="5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Total department cost (latest year)</w:t>
            </w:r>
          </w:p>
        </w:tc>
        <w:tc>
          <w:tcPr>
            <w:tcW w:type="dxa" w:w="31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$14.68M</w:t>
            </w:r>
          </w:p>
        </w:tc>
      </w:tr>
      <w:tr>
        <w:tc>
          <w:tcPr>
            <w:tcW w:type="dxa" w:w="56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Org-wide revenue : cost ratio</w:t>
            </w:r>
          </w:p>
        </w:tc>
        <w:tc>
          <w:tcPr>
            <w:tcW w:type="dxa" w:w="31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1.59×</w:t>
            </w:r>
          </w:p>
        </w:tc>
      </w:tr>
      <w:tr>
        <w:tc>
          <w:tcPr>
            <w:tcW w:type="dxa" w:w="5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Total projects completed</w:t>
            </w:r>
          </w:p>
        </w:tc>
        <w:tc>
          <w:tcPr>
            <w:tcW w:type="dxa" w:w="31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822,492</w:t>
            </w:r>
          </w:p>
        </w:tc>
      </w:tr>
      <w:tr>
        <w:tc>
          <w:tcPr>
            <w:tcW w:type="dxa" w:w="56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Org-wide avg. performance score</w:t>
            </w:r>
          </w:p>
        </w:tc>
        <w:tc>
          <w:tcPr>
            <w:tcW w:type="dxa" w:w="31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3.60</w:t>
            </w:r>
          </w:p>
        </w:tc>
      </w:tr>
      <w:tr>
        <w:tc>
          <w:tcPr>
            <w:tcW w:type="dxa" w:w="5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Employees flagged wellbeing/insurance risk</w:t>
            </w:r>
          </w:p>
        </w:tc>
        <w:tc>
          <w:tcPr>
            <w:tcW w:type="dxa" w:w="31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20,010 (66.7%)</w:t>
            </w:r>
          </w:p>
        </w:tc>
      </w:tr>
      <w:tr>
        <w:tc>
          <w:tcPr>
            <w:tcW w:type="dxa" w:w="56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Total compensation exposed to risk</w:t>
            </w:r>
          </w:p>
        </w:tc>
        <w:tc>
          <w:tcPr>
            <w:tcW w:type="dxa" w:w="31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$208.71M</w:t>
            </w:r>
          </w:p>
        </w:tc>
      </w:tr>
      <w:tr>
        <w:tc>
          <w:tcPr>
            <w:tcW w:type="dxa" w:w="5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Org-wide avg. compensation (employee-level)</w:t>
            </w:r>
          </w:p>
        </w:tc>
        <w:tc>
          <w:tcPr>
            <w:tcW w:type="dxa" w:w="3100"/>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$10,398</w:t>
            </w:r>
          </w:p>
        </w:tc>
      </w:tr>
      <w:tr>
        <w:tc>
          <w:tcPr>
            <w:tcW w:type="dxa" w:w="5600"/>
            <w:shd w:fill="F4F7FD"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Org-wide avg. performance (employee-level)</w:t>
            </w:r>
          </w:p>
        </w:tc>
        <w:tc>
          <w:tcPr>
            <w:tcW w:type="dxa" w:w="3100"/>
            <w:shd w:fill="F4F7FD" w:val="clear"/>
            <w:tcMar>
              <w:top w:type="dxa" w:w="80"/>
              <w:left w:type="dxa" w:w="100"/>
              <w:bottom w:type="dxa" w:w="80"/>
              <w:right w:type="dxa" w:w="100"/>
            </w:tcMar>
            <w:vAlign w:val="center"/>
          </w:tcPr>
          <w:p>
            <w:pPr>
              <w:jc w:val="right"/>
            </w:pPr>
            <w:r>
              <w:rPr>
                <w:rFonts w:ascii="Calibri" w:cs="Calibri" w:eastAsia="Calibri" w:hAnsi="Calibri"/>
                <w:b w:val="false"/>
                <w:bCs w:val="false"/>
                <w:color w:val="222222"/>
                <w:sz w:val="18"/>
                <w:szCs w:val="18"/>
              </w:rPr>
              <w:t xml:space="preserve">3.54</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ADCFC" w:sz="4" w:space="6"/>
      </w:pBdr>
      <w:jc w:val="center"/>
    </w:pPr>
    <w:r>
      <w:rPr>
        <w:rFonts w:ascii="Calibri" w:cs="Calibri" w:eastAsia="Calibri" w:hAnsi="Calibri"/>
        <w:color w:val="5B6B87"/>
        <w:sz w:val="16"/>
        <w:szCs w:val="16"/>
      </w:rPr>
      <w:t xml:space="preserve">Group 6 · Workforce Analytics Capstone   |   Page </w:t>
    </w:r>
    <w:r>
      <w:rPr>
        <w:rFonts w:ascii="Calibri" w:cs="Calibri" w:eastAsia="Calibri" w:hAnsi="Calibri"/>
        <w:color w:val="5B6B87"/>
        <w:sz w:val="16"/>
        <w:szCs w:val="16"/>
      </w:rPr>
      <w:fldChar w:fldCharType="begin"/>
      <w:instrText xml:space="preserve">PAGE</w:instrText>
      <w:fldChar w:fldCharType="separate"/>
      <w:fldChar w:fldCharType="end"/>
    </w:r>
    <w:r>
      <w:rPr>
        <w:rFonts w:ascii="Calibri" w:cs="Calibri" w:eastAsia="Calibri" w:hAnsi="Calibri"/>
        <w:color w:val="5B6B87"/>
        <w:sz w:val="16"/>
        <w:szCs w:val="16"/>
      </w:rPr>
      <w:t xml:space="preserve"> of </w:t>
    </w:r>
    <w:r>
      <w:rPr>
        <w:rFonts w:ascii="Calibri" w:cs="Calibri" w:eastAsia="Calibri" w:hAnsi="Calibri"/>
        <w:color w:val="5B6B8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5B6B87"/>
        <w:sz w:val="15"/>
        <w:szCs w:val="15"/>
      </w:rPr>
      <w:t xml:space="preserve">ROBLOX AFRICA OPERATIONS · GHANA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2026-08-12T11:51:46.035Z</dcterms:created>
  <dcterms:modified xsi:type="dcterms:W3CDTF">2026-08-12T11:51:46.058Z</dcterms:modified>
</cp:coreProperties>
</file>

<file path=docProps/custom.xml><?xml version="1.0" encoding="utf-8"?>
<Properties xmlns="http://schemas.openxmlformats.org/officeDocument/2006/custom-properties" xmlns:vt="http://schemas.openxmlformats.org/officeDocument/2006/docPropsVTypes"/>
</file>