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24" w:lineRule="auto"/>
      </w:pPr>
      <w:r>
        <w:rPr>
          <w:rFonts w:ascii="Arial" w:hAnsi="Arial"/>
          <w:b/>
          <w:caps w:val="0"/>
          <w:color w:val="0D0D0D"/>
          <w:sz w:val="32"/>
        </w:rPr>
        <w:t>ARI CONSULTING</w:t>
      </w:r>
    </w:p>
    <w:p>
      <w:pPr>
        <w:spacing w:before="0" w:after="840" w:line="324" w:lineRule="auto"/>
      </w:pPr>
      <w:r>
        <w:rPr>
          <w:rFonts w:ascii="Arial" w:hAnsi="Arial"/>
          <w:b w:val="0"/>
          <w:caps w:val="0"/>
          <w:color w:val="555555"/>
          <w:sz w:val="18"/>
        </w:rPr>
        <w:t>Consultoría Oracle · Ciudad de México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</w:tblGrid>
      <w:tr>
        <w:tc>
          <w:tcPr>
            <w:tcW w:type="dxa" w:w="9072"/>
            <w:shd w:fill="0D0D0D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aps/>
                <w:color w:val="FFFFFF"/>
                <w:sz w:val="18"/>
              </w:rPr>
              <w:t>ORACLE CLOUD  ·  ERP  ·  HCM</w:t>
            </w:r>
          </w:p>
        </w:tc>
      </w:tr>
    </w:tbl>
    <w:p>
      <w:pPr>
        <w:spacing w:before="840" w:after="160" w:line="324" w:lineRule="auto"/>
      </w:pPr>
      <w:r>
        <w:rPr>
          <w:rFonts w:ascii="Arial" w:hAnsi="Arial"/>
          <w:b/>
          <w:caps/>
          <w:color w:val="555555"/>
          <w:sz w:val="26"/>
        </w:rPr>
        <w:t>PROPUESTA COMERCIAL</w:t>
      </w:r>
    </w:p>
    <w:p>
      <w:pPr>
        <w:spacing w:before="0" w:after="200" w:line="324" w:lineRule="auto"/>
      </w:pPr>
      <w:r>
        <w:rPr>
          <w:rFonts w:ascii="Arial" w:hAnsi="Arial"/>
          <w:b/>
          <w:caps w:val="0"/>
          <w:color w:val="0D0D0D"/>
          <w:sz w:val="60"/>
        </w:rPr>
        <w:t>Banco Central del Sur</w:t>
      </w:r>
    </w:p>
    <w:p>
      <w:pPr>
        <w:spacing w:before="0" w:after="640" w:line="300" w:lineRule="auto"/>
      </w:pPr>
      <w:r>
        <w:rPr>
          <w:rFonts w:ascii="Arial" w:hAnsi="Arial"/>
          <w:b w:val="0"/>
          <w:caps w:val="0"/>
          <w:color w:val="555555"/>
          <w:sz w:val="24"/>
        </w:rPr>
        <w:t>Modernización de capacidades financieras y de gestión de capital humano</w:t>
      </w:r>
    </w:p>
    <w:p>
      <w:pPr>
        <w:spacing w:after="100"/>
      </w:pPr>
      <w:r>
        <w:rPr>
          <w:rFonts w:ascii="Arial" w:hAnsi="Arial"/>
          <w:b/>
          <w:caps w:val="0"/>
          <w:color w:val="555555"/>
          <w:sz w:val="18"/>
        </w:rPr>
        <w:t xml:space="preserve">NÚMERO DE PROPUESTA  </w:t>
      </w:r>
      <w:r>
        <w:rPr>
          <w:rFonts w:ascii="Arial" w:hAnsi="Arial"/>
          <w:b w:val="0"/>
          <w:caps w:val="0"/>
          <w:color w:val="0D0D0D"/>
          <w:sz w:val="20"/>
        </w:rPr>
        <w:t>872/2026</w:t>
      </w:r>
    </w:p>
    <w:p>
      <w:pPr>
        <w:spacing w:after="100"/>
      </w:pPr>
      <w:r>
        <w:rPr>
          <w:rFonts w:ascii="Arial" w:hAnsi="Arial"/>
          <w:b/>
          <w:caps w:val="0"/>
          <w:color w:val="555555"/>
          <w:sz w:val="18"/>
        </w:rPr>
        <w:t xml:space="preserve">EMISIÓN  </w:t>
      </w:r>
      <w:r>
        <w:rPr>
          <w:rFonts w:ascii="Arial" w:hAnsi="Arial"/>
          <w:b w:val="0"/>
          <w:caps w:val="0"/>
          <w:color w:val="0D0D0D"/>
          <w:sz w:val="20"/>
        </w:rPr>
        <w:t>20 de octubre de 2026</w:t>
      </w:r>
    </w:p>
    <w:p>
      <w:pPr>
        <w:spacing w:after="100"/>
      </w:pPr>
      <w:r>
        <w:rPr>
          <w:rFonts w:ascii="Arial" w:hAnsi="Arial"/>
          <w:b/>
          <w:caps w:val="0"/>
          <w:color w:val="555555"/>
          <w:sz w:val="18"/>
        </w:rPr>
        <w:t xml:space="preserve">VIGENCIA  </w:t>
      </w:r>
      <w:r>
        <w:rPr>
          <w:rFonts w:ascii="Arial" w:hAnsi="Arial"/>
          <w:b w:val="0"/>
          <w:caps w:val="0"/>
          <w:color w:val="0D0D0D"/>
          <w:sz w:val="20"/>
        </w:rPr>
        <w:t>19 de noviembre de 2026</w:t>
      </w:r>
    </w:p>
    <w:p>
      <w:pPr>
        <w:spacing w:after="100"/>
      </w:pPr>
      <w:r>
        <w:rPr>
          <w:rFonts w:ascii="Arial" w:hAnsi="Arial"/>
          <w:b/>
          <w:caps w:val="0"/>
          <w:color w:val="555555"/>
          <w:sz w:val="18"/>
        </w:rPr>
        <w:t xml:space="preserve">CONTACTO  </w:t>
      </w:r>
      <w:r>
        <w:rPr>
          <w:rFonts w:ascii="Arial" w:hAnsi="Arial"/>
          <w:b w:val="0"/>
          <w:caps w:val="0"/>
          <w:color w:val="0D0D0D"/>
          <w:sz w:val="20"/>
        </w:rPr>
        <w:t>Emily · CEO · emily@bancocentraldelsur.com</w:t>
      </w:r>
    </w:p>
    <w:p>
      <w:pPr>
        <w:spacing w:before="1080" w:after="0" w:line="324" w:lineRule="auto"/>
      </w:pPr>
      <w:r>
        <w:rPr>
          <w:rFonts w:ascii="Arial" w:hAnsi="Arial"/>
          <w:b w:val="0"/>
          <w:caps w:val="0"/>
          <w:color w:val="555555"/>
          <w:sz w:val="20"/>
        </w:rPr>
        <w:t>Preparada por Carolina  |  carolina@ariconsulting.com.mx</w:t>
      </w:r>
    </w:p>
    <w:p>
      <w:r>
        <w:br w:type="page"/>
      </w:r>
    </w:p>
    <w:p>
      <w:pPr>
        <w:spacing w:before="160" w:after="60"/>
      </w:pPr>
      <w:r>
        <w:rPr>
          <w:rFonts w:ascii="Arial" w:hAnsi="Arial"/>
          <w:b w:val="0"/>
          <w:caps w:val="0"/>
          <w:color w:val="555555"/>
          <w:sz w:val="18"/>
        </w:rPr>
        <w:t>01 / 05</w:t>
      </w:r>
    </w:p>
    <w:p>
      <w:pPr>
        <w:spacing w:after="320"/>
      </w:pPr>
      <w:r>
        <w:rPr>
          <w:rFonts w:ascii="Arial" w:hAnsi="Arial"/>
          <w:b/>
          <w:caps w:val="0"/>
          <w:color w:val="0D0D0D"/>
          <w:sz w:val="36"/>
        </w:rPr>
        <w:t>COMPRENSIÓN DEL CONTEXTO</w:t>
      </w:r>
    </w:p>
    <w:p>
      <w:pPr>
        <w:spacing w:before="0" w:after="200" w:line="360" w:lineRule="auto"/>
      </w:pPr>
      <w:r>
        <w:rPr>
          <w:rFonts w:ascii="Arial" w:hAnsi="Arial"/>
          <w:b w:val="0"/>
          <w:caps w:val="0"/>
          <w:color w:val="0D0D0D"/>
          <w:sz w:val="22"/>
        </w:rPr>
        <w:t>Banco Central del Sur opera en un entorno financiero donde la confiabilidad de la información, la continuidad operativa y la trazabilidad de los procesos son determinantes. Con 3,000 colaboradores, cuatro unidades operativas y una base de 20,000 clientes, la actualización tecnológica requiere una ejecución ordenada y con una visión integral de negocio.</w:t>
      </w:r>
    </w:p>
    <w:p>
      <w:pPr>
        <w:spacing w:before="0" w:after="200" w:line="360" w:lineRule="auto"/>
      </w:pPr>
      <w:r>
        <w:rPr>
          <w:rFonts w:ascii="Arial" w:hAnsi="Arial"/>
          <w:b w:val="0"/>
          <w:caps w:val="0"/>
          <w:color w:val="0D0D0D"/>
          <w:sz w:val="22"/>
        </w:rPr>
        <w:t>Actualmente, los sistemas legados limitan la evolución de las capacidades financieras y de gestión de personas. La coexistencia de plataformas heredadas incrementa el esfuerzo operativo, dificulta la estandarización entre unidades y reduce la oportunidad de contar con información consolidada para la toma de decisiones.</w:t>
      </w:r>
    </w:p>
    <w:p>
      <w:pPr>
        <w:spacing w:before="0" w:after="280" w:line="360" w:lineRule="auto"/>
      </w:pPr>
      <w:r>
        <w:rPr>
          <w:rFonts w:ascii="Arial" w:hAnsi="Arial"/>
          <w:b w:val="0"/>
          <w:caps w:val="0"/>
          <w:color w:val="0D0D0D"/>
          <w:sz w:val="22"/>
        </w:rPr>
        <w:t>La propuesta plantea habilitar Oracle ERP Cloud y Oracle HCM Cloud como una base moderna, escalable y alineada con la dimensión de la institución. El proyecto prioriza la continuidad, la calidad de datos y la adopción de los equipos clave durante la transición.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2891"/>
            <w:shd w:fill="0D0D0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/>
                <w:caps/>
                <w:color w:val="FFFFFF"/>
                <w:sz w:val="19"/>
              </w:rPr>
              <w:t>DIMENSIÓN</w:t>
            </w:r>
          </w:p>
        </w:tc>
        <w:tc>
          <w:tcPr>
            <w:tcW w:type="dxa" w:w="6123"/>
            <w:shd w:fill="0D0D0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/>
                <w:caps/>
                <w:color w:val="FFFFFF"/>
                <w:sz w:val="19"/>
              </w:rPr>
              <w:t>SITUACIÓN ACTUAL</w:t>
            </w:r>
          </w:p>
        </w:tc>
      </w:tr>
      <w:tr>
        <w:tc>
          <w:tcPr>
            <w:tcW w:type="dxa" w:w="289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Colaboradores</w:t>
            </w:r>
          </w:p>
        </w:tc>
        <w:tc>
          <w:tcPr>
            <w:tcW w:type="dxa" w:w="6123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3,000</w:t>
            </w:r>
          </w:p>
        </w:tc>
      </w:tr>
      <w:tr>
        <w:tc>
          <w:tcPr>
            <w:tcW w:type="dxa" w:w="2891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Unidades operativas</w:t>
            </w:r>
          </w:p>
        </w:tc>
        <w:tc>
          <w:tcPr>
            <w:tcW w:type="dxa" w:w="6123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4</w:t>
            </w:r>
          </w:p>
        </w:tc>
      </w:tr>
      <w:tr>
        <w:tc>
          <w:tcPr>
            <w:tcW w:type="dxa" w:w="289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Clientes</w:t>
            </w:r>
          </w:p>
        </w:tc>
        <w:tc>
          <w:tcPr>
            <w:tcW w:type="dxa" w:w="6123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20,000</w:t>
            </w:r>
          </w:p>
        </w:tc>
      </w:tr>
      <w:tr>
        <w:tc>
          <w:tcPr>
            <w:tcW w:type="dxa" w:w="2891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Reto principal</w:t>
            </w:r>
          </w:p>
        </w:tc>
        <w:tc>
          <w:tcPr>
            <w:tcW w:type="dxa" w:w="6123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Actualización de sistemas legados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160" w:after="60"/>
      </w:pPr>
      <w:r>
        <w:rPr>
          <w:rFonts w:ascii="Arial" w:hAnsi="Arial"/>
          <w:b w:val="0"/>
          <w:caps w:val="0"/>
          <w:color w:val="555555"/>
          <w:sz w:val="18"/>
        </w:rPr>
        <w:t>02 / 05</w:t>
      </w:r>
    </w:p>
    <w:p>
      <w:pPr>
        <w:spacing w:after="320"/>
      </w:pPr>
      <w:r>
        <w:rPr>
          <w:rFonts w:ascii="Arial" w:hAnsi="Arial"/>
          <w:b/>
          <w:caps w:val="0"/>
          <w:color w:val="0D0D0D"/>
          <w:sz w:val="36"/>
        </w:rPr>
        <w:t>SOLUCIÓN PROPUESTA</w:t>
      </w:r>
    </w:p>
    <w:p>
      <w:pPr>
        <w:spacing w:before="0" w:after="260" w:line="348" w:lineRule="auto"/>
      </w:pPr>
      <w:r>
        <w:rPr>
          <w:rFonts w:ascii="Arial" w:hAnsi="Arial"/>
          <w:b w:val="0"/>
          <w:caps w:val="0"/>
          <w:color w:val="0D0D0D"/>
          <w:sz w:val="22"/>
        </w:rPr>
        <w:t>La solución combina la transformación de los procesos financieros y de capital humano en Oracle Cloud. Los frentes se gestionarán con coordinación de datos, pruebas y adopción para reducir riesgos en la transición.</w:t>
      </w:r>
    </w:p>
    <w:p>
      <w:pPr>
        <w:spacing w:before="80" w:after="60" w:line="324" w:lineRule="auto"/>
      </w:pPr>
      <w:r>
        <w:rPr>
          <w:rFonts w:ascii="Arial" w:hAnsi="Arial"/>
          <w:b/>
          <w:caps/>
          <w:color w:val="555555"/>
          <w:sz w:val="18"/>
        </w:rPr>
        <w:t>SERVICIO 01</w:t>
      </w:r>
    </w:p>
    <w:p>
      <w:pPr>
        <w:spacing w:before="0" w:after="140" w:line="324" w:lineRule="auto"/>
      </w:pPr>
      <w:r>
        <w:rPr>
          <w:rFonts w:ascii="Arial" w:hAnsi="Arial"/>
          <w:b/>
          <w:caps w:val="0"/>
          <w:color w:val="0D0D0D"/>
          <w:sz w:val="26"/>
        </w:rPr>
        <w:t>IMPLEMENTACIÓN ORACLE ERP CLOUD (FINANCIALS)</w:t>
      </w:r>
    </w:p>
    <w:p>
      <w:pPr>
        <w:spacing w:before="0" w:after="120" w:line="324" w:lineRule="auto"/>
      </w:pPr>
      <w:r>
        <w:rPr>
          <w:rFonts w:ascii="Arial" w:hAnsi="Arial"/>
          <w:b w:val="0"/>
          <w:caps w:val="0"/>
          <w:color w:val="0D0D0D"/>
          <w:sz w:val="21"/>
        </w:rPr>
        <w:t>Objetivo para Banco Central del Sur: modernizar los procesos financieros y disponer de una plataforma integrada para una operación más consistente entre unidades.</w:t>
      </w:r>
    </w:p>
    <w:p>
      <w:pPr>
        <w:spacing w:before="0" w:after="80" w:line="324" w:lineRule="auto"/>
      </w:pPr>
      <w:r>
        <w:rPr>
          <w:rFonts w:ascii="Arial" w:hAnsi="Arial"/>
          <w:b/>
          <w:caps w:val="0"/>
          <w:color w:val="0D0D0D"/>
          <w:sz w:val="21"/>
        </w:rPr>
        <w:t>Alcance incluido:</w:t>
      </w:r>
    </w:p>
    <w:p>
      <w:pPr>
        <w:pStyle w:val="ListBullet"/>
        <w:spacing w:after="100" w:line="300" w:lineRule="auto"/>
      </w:pPr>
      <w:r>
        <w:rPr>
          <w:rFonts w:ascii="Arial" w:hAnsi="Arial"/>
          <w:b w:val="0"/>
          <w:caps w:val="0"/>
          <w:color w:val="0D0D0D"/>
          <w:sz w:val="21"/>
        </w:rPr>
        <w:t>General Ledger: plan de cuentas, centros de costo y consolidación.</w:t>
      </w:r>
    </w:p>
    <w:p>
      <w:pPr>
        <w:pStyle w:val="ListBullet"/>
        <w:spacing w:after="100" w:line="300" w:lineRule="auto"/>
      </w:pPr>
      <w:r>
        <w:rPr>
          <w:rFonts w:ascii="Arial" w:hAnsi="Arial"/>
          <w:b w:val="0"/>
          <w:caps w:val="0"/>
          <w:color w:val="0D0D0D"/>
          <w:sz w:val="21"/>
        </w:rPr>
        <w:t>Accounts Payable y Accounts Receivable: pagos, proveedores, facturación y cobranza.</w:t>
      </w:r>
    </w:p>
    <w:p>
      <w:pPr>
        <w:pStyle w:val="ListBullet"/>
        <w:spacing w:after="100" w:line="300" w:lineRule="auto"/>
      </w:pPr>
      <w:r>
        <w:rPr>
          <w:rFonts w:ascii="Arial" w:hAnsi="Arial"/>
          <w:b w:val="0"/>
          <w:caps w:val="0"/>
          <w:color w:val="0D0D0D"/>
          <w:sz w:val="21"/>
        </w:rPr>
        <w:t>Fixed Assets, Expense Management y Cash Management: activos, gastos corporativos, conciliación bancaria y flujo de efectivo.</w:t>
      </w:r>
    </w:p>
    <w:p>
      <w:pPr>
        <w:spacing w:before="220" w:after="60" w:line="324" w:lineRule="auto"/>
      </w:pPr>
      <w:r>
        <w:rPr>
          <w:rFonts w:ascii="Arial" w:hAnsi="Arial"/>
          <w:b/>
          <w:caps/>
          <w:color w:val="555555"/>
          <w:sz w:val="18"/>
        </w:rPr>
        <w:t>SERVICIO 02</w:t>
      </w:r>
    </w:p>
    <w:p>
      <w:pPr>
        <w:spacing w:before="0" w:after="140" w:line="324" w:lineRule="auto"/>
      </w:pPr>
      <w:r>
        <w:rPr>
          <w:rFonts w:ascii="Arial" w:hAnsi="Arial"/>
          <w:b/>
          <w:caps w:val="0"/>
          <w:color w:val="0D0D0D"/>
          <w:sz w:val="26"/>
        </w:rPr>
        <w:t>IMPLEMENTACIÓN ORACLE HCM CLOUD</w:t>
      </w:r>
    </w:p>
    <w:p>
      <w:pPr>
        <w:spacing w:before="0" w:after="120" w:line="324" w:lineRule="auto"/>
      </w:pPr>
      <w:r>
        <w:rPr>
          <w:rFonts w:ascii="Arial" w:hAnsi="Arial"/>
          <w:b w:val="0"/>
          <w:caps w:val="0"/>
          <w:color w:val="0D0D0D"/>
          <w:sz w:val="21"/>
        </w:rPr>
        <w:t>Objetivo para Banco Central del Sur: centralizar y estandarizar la gestión de personas para una operación de 3,000 colaboradores con mayor visibilidad, control y autonomía.</w:t>
      </w:r>
    </w:p>
    <w:p>
      <w:pPr>
        <w:spacing w:before="0" w:after="80" w:line="324" w:lineRule="auto"/>
      </w:pPr>
      <w:r>
        <w:rPr>
          <w:rFonts w:ascii="Arial" w:hAnsi="Arial"/>
          <w:b/>
          <w:caps w:val="0"/>
          <w:color w:val="0D0D0D"/>
          <w:sz w:val="21"/>
        </w:rPr>
        <w:t>Alcance incluido:</w:t>
      </w:r>
    </w:p>
    <w:p>
      <w:pPr>
        <w:pStyle w:val="ListBullet"/>
        <w:spacing w:after="100" w:line="300" w:lineRule="auto"/>
      </w:pPr>
      <w:r>
        <w:rPr>
          <w:rFonts w:ascii="Arial" w:hAnsi="Arial"/>
          <w:b w:val="0"/>
          <w:caps w:val="0"/>
          <w:color w:val="0D0D0D"/>
          <w:sz w:val="21"/>
        </w:rPr>
        <w:t>Core HR: registro de colaboradores y estructura organizacional.</w:t>
      </w:r>
    </w:p>
    <w:p>
      <w:pPr>
        <w:pStyle w:val="ListBullet"/>
        <w:spacing w:after="100" w:line="300" w:lineRule="auto"/>
      </w:pPr>
      <w:r>
        <w:rPr>
          <w:rFonts w:ascii="Arial" w:hAnsi="Arial"/>
          <w:b w:val="0"/>
          <w:caps w:val="0"/>
          <w:color w:val="0D0D0D"/>
          <w:sz w:val="21"/>
        </w:rPr>
        <w:t>Nómina y gestión de ausencias: deducciones, vacaciones, incapacidades y banco de horas.</w:t>
      </w:r>
    </w:p>
    <w:p>
      <w:pPr>
        <w:pStyle w:val="ListBullet"/>
        <w:spacing w:after="100" w:line="300" w:lineRule="auto"/>
      </w:pPr>
      <w:r>
        <w:rPr>
          <w:rFonts w:ascii="Arial" w:hAnsi="Arial"/>
          <w:b w:val="0"/>
          <w:caps w:val="0"/>
          <w:color w:val="0D0D0D"/>
          <w:sz w:val="21"/>
        </w:rPr>
        <w:t>Reclutamiento, talento, desempeño y beneficios, con capacitación a usuarios clave y administradores.</w:t>
      </w:r>
    </w:p>
    <w:p>
      <w:r>
        <w:br w:type="page"/>
      </w:r>
    </w:p>
    <w:p>
      <w:pPr>
        <w:spacing w:before="160" w:after="60"/>
      </w:pPr>
      <w:r>
        <w:rPr>
          <w:rFonts w:ascii="Arial" w:hAnsi="Arial"/>
          <w:b w:val="0"/>
          <w:caps w:val="0"/>
          <w:color w:val="555555"/>
          <w:sz w:val="18"/>
        </w:rPr>
        <w:t>03 / 05</w:t>
      </w:r>
    </w:p>
    <w:p>
      <w:pPr>
        <w:spacing w:after="320"/>
      </w:pPr>
      <w:r>
        <w:rPr>
          <w:rFonts w:ascii="Arial" w:hAnsi="Arial"/>
          <w:b/>
          <w:caps w:val="0"/>
          <w:color w:val="0D0D0D"/>
          <w:sz w:val="36"/>
        </w:rPr>
        <w:t>METODOLOGÍA Y CRONOGRAMA</w:t>
      </w:r>
    </w:p>
    <w:p>
      <w:pPr>
        <w:spacing w:before="0" w:after="260" w:line="348" w:lineRule="auto"/>
      </w:pPr>
      <w:r>
        <w:rPr>
          <w:rFonts w:ascii="Arial" w:hAnsi="Arial"/>
          <w:b w:val="0"/>
          <w:caps w:val="0"/>
          <w:color w:val="0D0D0D"/>
          <w:sz w:val="22"/>
        </w:rPr>
        <w:t>ARI CONSULTING conduce el proyecto con Oracle Cloud Implementation Methodology (OCIM), adaptada al contexto de Banco Central del Sur. El cronograma toma como ruta crítica la implementación de ERP Cloud y considera trabajo coordinado con el frente HCM.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2154"/>
            <w:shd w:fill="0D0D0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/>
                <w:caps/>
                <w:color w:val="FFFFFF"/>
                <w:sz w:val="19"/>
              </w:rPr>
              <w:t>FASE</w:t>
            </w:r>
          </w:p>
        </w:tc>
        <w:tc>
          <w:tcPr>
            <w:tcW w:type="dxa" w:w="1247"/>
            <w:shd w:fill="0D0D0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/>
                <w:caps/>
                <w:color w:val="FFFFFF"/>
                <w:sz w:val="19"/>
              </w:rPr>
              <w:t>SEMANA</w:t>
            </w:r>
          </w:p>
        </w:tc>
        <w:tc>
          <w:tcPr>
            <w:tcW w:type="dxa" w:w="5613"/>
            <w:shd w:fill="0D0D0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/>
                <w:caps/>
                <w:color w:val="FFFFFF"/>
                <w:sz w:val="19"/>
              </w:rPr>
              <w:t>ENFOQUE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1. DESCUBRIMIENTO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1-2</w:t>
            </w:r>
          </w:p>
        </w:tc>
        <w:tc>
          <w:tcPr>
            <w:tcW w:type="dxa" w:w="5613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Levantamiento, validación de alcance, equipo y plan de proyecto.</w:t>
            </w:r>
          </w:p>
        </w:tc>
      </w:tr>
      <w:tr>
        <w:tc>
          <w:tcPr>
            <w:tcW w:type="dxa" w:w="2154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2. DISEÑO</w:t>
            </w:r>
          </w:p>
        </w:tc>
        <w:tc>
          <w:tcPr>
            <w:tcW w:type="dxa" w:w="1247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3-4</w:t>
            </w:r>
          </w:p>
        </w:tc>
        <w:tc>
          <w:tcPr>
            <w:tcW w:type="dxa" w:w="5613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Parametrizaciones, modelo de datos y revisión con usuarios clave.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3. BUILD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5-11</w:t>
            </w:r>
          </w:p>
        </w:tc>
        <w:tc>
          <w:tcPr>
            <w:tcW w:type="dxa" w:w="5613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Configuración de módulos, migración de datos y documentación técnica.</w:t>
            </w:r>
          </w:p>
        </w:tc>
      </w:tr>
      <w:tr>
        <w:tc>
          <w:tcPr>
            <w:tcW w:type="dxa" w:w="2154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4. PRUEBAS</w:t>
            </w:r>
          </w:p>
        </w:tc>
        <w:tc>
          <w:tcPr>
            <w:tcW w:type="dxa" w:w="1247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12-14</w:t>
            </w:r>
          </w:p>
        </w:tc>
        <w:tc>
          <w:tcPr>
            <w:tcW w:type="dxa" w:w="5613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Pruebas de sistema, integración y aceptación de usuarios.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5. GO-LIVE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15</w:t>
            </w:r>
          </w:p>
        </w:tc>
        <w:tc>
          <w:tcPr>
            <w:tcW w:type="dxa" w:w="5613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Activación productiva y soporte intensivo inicial.</w:t>
            </w:r>
          </w:p>
        </w:tc>
      </w:tr>
      <w:tr>
        <w:tc>
          <w:tcPr>
            <w:tcW w:type="dxa" w:w="2154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6. HIPERESCALADA</w:t>
            </w:r>
          </w:p>
        </w:tc>
        <w:tc>
          <w:tcPr>
            <w:tcW w:type="dxa" w:w="1247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16-17</w:t>
            </w:r>
          </w:p>
        </w:tc>
        <w:tc>
          <w:tcPr>
            <w:tcW w:type="dxa" w:w="5613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Ajustes finos, seguimiento de adopción y cierre formal.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4025"/>
            <w:shd w:fill="0D0D0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/>
                <w:caps/>
                <w:color w:val="FFFFFF"/>
                <w:sz w:val="19"/>
              </w:rPr>
              <w:t>HITO</w:t>
            </w:r>
          </w:p>
        </w:tc>
        <w:tc>
          <w:tcPr>
            <w:tcW w:type="dxa" w:w="4989"/>
            <w:shd w:fill="0D0D0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/>
                <w:caps/>
                <w:color w:val="FFFFFF"/>
                <w:sz w:val="19"/>
              </w:rPr>
              <w:t>FECHA ESTIMADA</w:t>
            </w:r>
          </w:p>
        </w:tc>
      </w:tr>
      <w:tr>
        <w:tc>
          <w:tcPr>
            <w:tcW w:type="dxa" w:w="402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Inicio del proyecto</w:t>
            </w:r>
          </w:p>
        </w:tc>
        <w:tc>
          <w:tcPr>
            <w:tcW w:type="dxa" w:w="498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1 de noviembre de 2026</w:t>
            </w:r>
          </w:p>
        </w:tc>
      </w:tr>
      <w:tr>
        <w:tc>
          <w:tcPr>
            <w:tcW w:type="dxa" w:w="4025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Go-Live</w:t>
            </w:r>
          </w:p>
        </w:tc>
        <w:tc>
          <w:tcPr>
            <w:tcW w:type="dxa" w:w="4989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14 de febrero de 2027</w:t>
            </w:r>
          </w:p>
        </w:tc>
      </w:tr>
      <w:tr>
        <w:tc>
          <w:tcPr>
            <w:tcW w:type="dxa" w:w="402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Cierre de hiperescalada</w:t>
            </w:r>
          </w:p>
        </w:tc>
        <w:tc>
          <w:tcPr>
            <w:tcW w:type="dxa" w:w="498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28 de febrero de 2027</w:t>
            </w:r>
          </w:p>
        </w:tc>
      </w:tr>
      <w:tr>
        <w:tc>
          <w:tcPr>
            <w:tcW w:type="dxa" w:w="4025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Duración total</w:t>
            </w:r>
          </w:p>
        </w:tc>
        <w:tc>
          <w:tcPr>
            <w:tcW w:type="dxa" w:w="4989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120 días naturales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160" w:after="60"/>
      </w:pPr>
      <w:r>
        <w:rPr>
          <w:rFonts w:ascii="Arial" w:hAnsi="Arial"/>
          <w:b w:val="0"/>
          <w:caps w:val="0"/>
          <w:color w:val="555555"/>
          <w:sz w:val="18"/>
        </w:rPr>
        <w:t>04 / 05</w:t>
      </w:r>
    </w:p>
    <w:p>
      <w:pPr>
        <w:spacing w:after="320"/>
      </w:pPr>
      <w:r>
        <w:rPr>
          <w:rFonts w:ascii="Arial" w:hAnsi="Arial"/>
          <w:b/>
          <w:caps w:val="0"/>
          <w:color w:val="0D0D0D"/>
          <w:sz w:val="36"/>
        </w:rPr>
        <w:t>INVERSIÓN</w:t>
      </w:r>
    </w:p>
    <w:p>
      <w:pPr>
        <w:spacing w:before="0" w:after="240" w:line="348" w:lineRule="auto"/>
      </w:pPr>
      <w:r>
        <w:rPr>
          <w:rFonts w:ascii="Arial" w:hAnsi="Arial"/>
          <w:b w:val="0"/>
          <w:caps w:val="0"/>
          <w:color w:val="0D0D0D"/>
          <w:sz w:val="22"/>
        </w:rPr>
        <w:t>La inversión consolidada considera la implementación de Oracle ERP Cloud (Financials) y Oracle HCM Cloud para el alcance descrito.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6520"/>
            <w:shd w:fill="0D0D0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/>
                <w:caps/>
                <w:color w:val="FFFFFF"/>
                <w:sz w:val="19"/>
              </w:rPr>
              <w:t>CONCEPTO</w:t>
            </w:r>
          </w:p>
        </w:tc>
        <w:tc>
          <w:tcPr>
            <w:tcW w:type="dxa" w:w="2494"/>
            <w:shd w:fill="0D0D0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/>
                <w:caps/>
                <w:color w:val="FFFFFF"/>
                <w:sz w:val="19"/>
              </w:rPr>
              <w:t>INVERSIÓN MXN</w:t>
            </w:r>
          </w:p>
        </w:tc>
      </w:tr>
      <w:tr>
        <w:tc>
          <w:tcPr>
            <w:tcW w:type="dxa" w:w="65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Implementación Oracle ERP Cloud (Financials)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$1,100,000</w:t>
            </w:r>
          </w:p>
        </w:tc>
      </w:tr>
      <w:tr>
        <w:tc>
          <w:tcPr>
            <w:tcW w:type="dxa" w:w="6520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Implementación Oracle HCM Cloud</w:t>
            </w:r>
          </w:p>
        </w:tc>
        <w:tc>
          <w:tcPr>
            <w:tcW w:type="dxa" w:w="2494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$800,000</w:t>
            </w:r>
          </w:p>
        </w:tc>
      </w:tr>
      <w:tr>
        <w:tc>
          <w:tcPr>
            <w:tcW w:type="dxa" w:w="65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Subtotal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$1,900,000</w:t>
            </w:r>
          </w:p>
        </w:tc>
      </w:tr>
      <w:tr>
        <w:tc>
          <w:tcPr>
            <w:tcW w:type="dxa" w:w="6520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Descuento por combinación de servicios (12%)</w:t>
            </w:r>
          </w:p>
        </w:tc>
        <w:tc>
          <w:tcPr>
            <w:tcW w:type="dxa" w:w="2494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-$228,000</w:t>
            </w:r>
          </w:p>
        </w:tc>
      </w:tr>
      <w:tr>
        <w:tc>
          <w:tcPr>
            <w:tcW w:type="dxa" w:w="6520"/>
            <w:shd w:fill="0D0D0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/>
                <w:caps w:val="0"/>
                <w:color w:val="FFFFFF"/>
                <w:sz w:val="19"/>
              </w:rPr>
              <w:t>TOTAL</w:t>
            </w:r>
          </w:p>
        </w:tc>
        <w:tc>
          <w:tcPr>
            <w:tcW w:type="dxa" w:w="2494"/>
            <w:shd w:fill="0D0D0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/>
                <w:caps w:val="0"/>
                <w:color w:val="FFFFFF"/>
                <w:sz w:val="19"/>
              </w:rPr>
              <w:t>$1,672,000</w:t>
            </w:r>
          </w:p>
        </w:tc>
      </w:tr>
    </w:tbl>
    <w:p>
      <w:pPr>
        <w:spacing w:after="60"/>
      </w:pPr>
    </w:p>
    <w:p>
      <w:pPr>
        <w:spacing w:before="160" w:after="120" w:line="324" w:lineRule="auto"/>
      </w:pPr>
      <w:r>
        <w:rPr>
          <w:rFonts w:ascii="Arial" w:hAnsi="Arial"/>
          <w:b/>
          <w:caps w:val="0"/>
          <w:color w:val="0D0D0D"/>
          <w:sz w:val="22"/>
        </w:rPr>
        <w:t>Condiciones de pago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6520"/>
            <w:shd w:fill="0D0D0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/>
                <w:caps/>
                <w:color w:val="FFFFFF"/>
                <w:sz w:val="19"/>
              </w:rPr>
              <w:t>HITO</w:t>
            </w:r>
          </w:p>
        </w:tc>
        <w:tc>
          <w:tcPr>
            <w:tcW w:type="dxa" w:w="2494"/>
            <w:shd w:fill="0D0D0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/>
                <w:caps/>
                <w:color w:val="FFFFFF"/>
                <w:sz w:val="19"/>
              </w:rPr>
              <w:t>MONTO MXN</w:t>
            </w:r>
          </w:p>
        </w:tc>
      </w:tr>
      <w:tr>
        <w:tc>
          <w:tcPr>
            <w:tcW w:type="dxa" w:w="65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30% a la firma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$501,600</w:t>
            </w:r>
          </w:p>
        </w:tc>
      </w:tr>
      <w:tr>
        <w:tc>
          <w:tcPr>
            <w:tcW w:type="dxa" w:w="6520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40% al concluir el Build</w:t>
            </w:r>
          </w:p>
        </w:tc>
        <w:tc>
          <w:tcPr>
            <w:tcW w:type="dxa" w:w="2494"/>
            <w:shd w:fill="F9F9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$668,800</w:t>
            </w:r>
          </w:p>
        </w:tc>
      </w:tr>
      <w:tr>
        <w:tc>
          <w:tcPr>
            <w:tcW w:type="dxa" w:w="65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30% en el Go-Live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Arial" w:hAnsi="Arial"/>
                <w:b w:val="0"/>
                <w:caps w:val="0"/>
                <w:color w:val="0D0D0D"/>
                <w:sz w:val="19"/>
              </w:rPr>
              <w:t>$501,600</w:t>
            </w:r>
          </w:p>
        </w:tc>
      </w:tr>
    </w:tbl>
    <w:p>
      <w:pPr>
        <w:spacing w:after="60"/>
      </w:pPr>
    </w:p>
    <w:p>
      <w:pPr>
        <w:spacing w:before="80" w:after="0" w:line="300" w:lineRule="auto"/>
      </w:pPr>
      <w:r>
        <w:rPr>
          <w:rFonts w:ascii="Arial" w:hAnsi="Arial"/>
          <w:b w:val="0"/>
          <w:caps w:val="0"/>
          <w:color w:val="555555"/>
          <w:sz w:val="18"/>
        </w:rPr>
        <w:t>Vigencia de esta propuesta: 30 días naturales a partir de la emisión. Valores en pesos mexicanos (MXN). No incluyen impuestos aplicables.</w:t>
      </w:r>
    </w:p>
    <w:p>
      <w:r>
        <w:br w:type="page"/>
      </w:r>
    </w:p>
    <w:p>
      <w:pPr>
        <w:spacing w:before="160" w:after="60"/>
      </w:pPr>
      <w:r>
        <w:rPr>
          <w:rFonts w:ascii="Arial" w:hAnsi="Arial"/>
          <w:b w:val="0"/>
          <w:caps w:val="0"/>
          <w:color w:val="555555"/>
          <w:sz w:val="18"/>
        </w:rPr>
        <w:t>05 / 05</w:t>
      </w:r>
    </w:p>
    <w:p>
      <w:pPr>
        <w:spacing w:after="320"/>
      </w:pPr>
      <w:r>
        <w:rPr>
          <w:rFonts w:ascii="Arial" w:hAnsi="Arial"/>
          <w:b/>
          <w:caps w:val="0"/>
          <w:color w:val="0D0D0D"/>
          <w:sz w:val="36"/>
        </w:rPr>
        <w:t>PRÓXIMOS PASOS</w:t>
      </w:r>
    </w:p>
    <w:p>
      <w:pPr>
        <w:spacing w:before="0" w:after="200" w:line="324" w:lineRule="auto"/>
      </w:pPr>
      <w:r>
        <w:rPr>
          <w:rFonts w:ascii="Arial" w:hAnsi="Arial"/>
          <w:b w:val="0"/>
          <w:caps w:val="0"/>
          <w:color w:val="0D0D0D"/>
          <w:sz w:val="22"/>
        </w:rPr>
        <w:t>Para avanzar con el proyecto, proponemos los siguientes pasos:</w:t>
      </w:r>
    </w:p>
    <w:p>
      <w:pPr>
        <w:spacing w:after="160" w:line="324" w:lineRule="auto"/>
      </w:pPr>
      <w:r>
        <w:rPr>
          <w:rFonts w:ascii="Arial" w:hAnsi="Arial"/>
          <w:b/>
          <w:caps w:val="0"/>
          <w:color w:val="555555"/>
          <w:sz w:val="20"/>
        </w:rPr>
        <w:t xml:space="preserve">01  </w:t>
      </w:r>
      <w:r>
        <w:rPr>
          <w:rFonts w:ascii="Arial" w:hAnsi="Arial"/>
          <w:b w:val="0"/>
          <w:caps w:val="0"/>
          <w:color w:val="0D0D0D"/>
          <w:sz w:val="22"/>
        </w:rPr>
        <w:t>Revisión y aprobación interna de la propuesta por Banco Central del Sur.</w:t>
      </w:r>
    </w:p>
    <w:p>
      <w:pPr>
        <w:spacing w:after="160" w:line="324" w:lineRule="auto"/>
      </w:pPr>
      <w:r>
        <w:rPr>
          <w:rFonts w:ascii="Arial" w:hAnsi="Arial"/>
          <w:b/>
          <w:caps w:val="0"/>
          <w:color w:val="555555"/>
          <w:sz w:val="20"/>
        </w:rPr>
        <w:t xml:space="preserve">02  </w:t>
      </w:r>
      <w:r>
        <w:rPr>
          <w:rFonts w:ascii="Arial" w:hAnsi="Arial"/>
          <w:b w:val="0"/>
          <w:caps w:val="0"/>
          <w:color w:val="0D0D0D"/>
          <w:sz w:val="22"/>
        </w:rPr>
        <w:t>Reunión de alineación técnico-ejecutiva con Carolina (30 minutos).</w:t>
      </w:r>
    </w:p>
    <w:p>
      <w:pPr>
        <w:spacing w:after="160" w:line="324" w:lineRule="auto"/>
      </w:pPr>
      <w:r>
        <w:rPr>
          <w:rFonts w:ascii="Arial" w:hAnsi="Arial"/>
          <w:b/>
          <w:caps w:val="0"/>
          <w:color w:val="555555"/>
          <w:sz w:val="20"/>
        </w:rPr>
        <w:t xml:space="preserve">03  </w:t>
      </w:r>
      <w:r>
        <w:rPr>
          <w:rFonts w:ascii="Arial" w:hAnsi="Arial"/>
          <w:b w:val="0"/>
          <w:caps w:val="0"/>
          <w:color w:val="0D0D0D"/>
          <w:sz w:val="22"/>
        </w:rPr>
        <w:t>Presentación de un caso de referencia relevante para el alcance de transformación.</w:t>
      </w:r>
    </w:p>
    <w:p>
      <w:pPr>
        <w:spacing w:after="160" w:line="324" w:lineRule="auto"/>
      </w:pPr>
      <w:r>
        <w:rPr>
          <w:rFonts w:ascii="Arial" w:hAnsi="Arial"/>
          <w:b/>
          <w:caps w:val="0"/>
          <w:color w:val="555555"/>
          <w:sz w:val="20"/>
        </w:rPr>
        <w:t xml:space="preserve">04  </w:t>
      </w:r>
      <w:r>
        <w:rPr>
          <w:rFonts w:ascii="Arial" w:hAnsi="Arial"/>
          <w:b w:val="0"/>
          <w:caps w:val="0"/>
          <w:color w:val="0D0D0D"/>
          <w:sz w:val="22"/>
        </w:rPr>
        <w:t>Firma del contrato y orden de servicio.</w:t>
      </w:r>
    </w:p>
    <w:p>
      <w:pPr>
        <w:spacing w:after="160" w:line="324" w:lineRule="auto"/>
      </w:pPr>
      <w:r>
        <w:rPr>
          <w:rFonts w:ascii="Arial" w:hAnsi="Arial"/>
          <w:b/>
          <w:caps w:val="0"/>
          <w:color w:val="555555"/>
          <w:sz w:val="20"/>
        </w:rPr>
        <w:t xml:space="preserve">05  </w:t>
      </w:r>
      <w:r>
        <w:rPr>
          <w:rFonts w:ascii="Arial" w:hAnsi="Arial"/>
          <w:b w:val="0"/>
          <w:caps w:val="0"/>
          <w:color w:val="0D0D0D"/>
          <w:sz w:val="22"/>
        </w:rPr>
        <w:t>Kickoff oficial del proyecto, hasta 10 días después de la firma.</w:t>
      </w:r>
    </w:p>
    <w:p>
      <w:pPr>
        <w:spacing w:before="360" w:after="560" w:line="324" w:lineRule="auto"/>
      </w:pPr>
      <w:r>
        <w:rPr>
          <w:rFonts w:ascii="Arial" w:hAnsi="Arial"/>
          <w:b/>
          <w:caps w:val="0"/>
          <w:color w:val="0D0D0D"/>
          <w:sz w:val="24"/>
        </w:rPr>
        <w:t>Confirme el siguiente paso para iniciar la coordinación ejecutiva del proyecto →</w:t>
      </w:r>
    </w:p>
    <w:p>
      <w:pPr>
        <w:spacing w:before="0" w:after="40" w:line="324" w:lineRule="auto"/>
      </w:pPr>
      <w:r>
        <w:rPr>
          <w:rFonts w:ascii="Arial" w:hAnsi="Arial"/>
          <w:b/>
          <w:caps w:val="0"/>
          <w:color w:val="0D0D0D"/>
          <w:sz w:val="22"/>
        </w:rPr>
        <w:t>Carolina</w:t>
      </w:r>
    </w:p>
    <w:p>
      <w:pPr>
        <w:spacing w:before="0" w:after="0" w:line="300" w:lineRule="auto"/>
      </w:pPr>
      <w:r>
        <w:rPr>
          <w:rFonts w:ascii="Arial" w:hAnsi="Arial"/>
          <w:b w:val="0"/>
          <w:caps w:val="0"/>
          <w:color w:val="555555"/>
          <w:sz w:val="20"/>
        </w:rPr>
        <w:t>Consultora responsable</w:t>
        <w:br/>
        <w:t>ARI CONSULTING</w:t>
        <w:br/>
        <w:t>Ciudad de México</w:t>
        <w:br/>
        <w:t>carolina@ariconsulting.com.mx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aps w:val="0"/>
        <w:color w:val="555555"/>
        <w:sz w:val="16"/>
      </w:rPr>
      <w:t>Banco Central del Sur  | 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aps w:val="0"/>
        <w:color w:val="555555"/>
        <w:sz w:val="16"/>
      </w:rPr>
      <w:t>ARI CONSULTING  |  PROPUESTA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3C7EF18AA1694F8D22666414AFBF49" ma:contentTypeVersion="14" ma:contentTypeDescription="Crie um novo documento." ma:contentTypeScope="" ma:versionID="551b41f358fadbd2f64b11a33e8beaa5">
  <xsd:schema xmlns:xsd="http://www.w3.org/2001/XMLSchema" xmlns:xs="http://www.w3.org/2001/XMLSchema" xmlns:p="http://schemas.microsoft.com/office/2006/metadata/properties" xmlns:ns2="a71ccb9b-6e14-42cb-bb7f-4a7eed2524ef" xmlns:ns3="a7f4a7b7-966e-48e5-a98f-43d258599049" targetNamespace="http://schemas.microsoft.com/office/2006/metadata/properties" ma:root="true" ma:fieldsID="985fd29bf7c618b73b0bad9698733ffa" ns2:_="" ns3:_="">
    <xsd:import namespace="a71ccb9b-6e14-42cb-bb7f-4a7eed2524ef"/>
    <xsd:import namespace="a7f4a7b7-966e-48e5-a98f-43d2585990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ccb9b-6e14-42cb-bb7f-4a7eed252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4a7b7-966e-48e5-a98f-43d25859904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13490ee-2866-4fa6-adf5-3d08f67af8ac}" ma:internalName="TaxCatchAll" ma:showField="CatchAllData" ma:web="a7f4a7b7-966e-48e5-a98f-43d258599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f4a7b7-966e-48e5-a98f-43d258599049" xsi:nil="true"/>
    <lcf76f155ced4ddcb4097134ff3c332f xmlns="a71ccb9b-6e14-42cb-bb7f-4a7eed2524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672F29-DEDF-4071-9AD4-23E6F1F07132}"/>
</file>

<file path=customXml/itemProps3.xml><?xml version="1.0" encoding="utf-8"?>
<ds:datastoreItem xmlns:ds="http://schemas.openxmlformats.org/officeDocument/2006/customXml" ds:itemID="{604236B7-AD64-4F34-A689-29B6B5EBE43F}"/>
</file>

<file path=customXml/itemProps4.xml><?xml version="1.0" encoding="utf-8"?>
<ds:datastoreItem xmlns:ds="http://schemas.openxmlformats.org/officeDocument/2006/customXml" ds:itemID="{D13345D8-4474-4EAB-ACB7-29558B9DFF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Banco Central del Sur</dc:title>
  <dc:subject>Implementación Oracle ERP Cloud y HCM Cloud</dc:subject>
  <dc:creator>ARI CONSULTING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0x010100C43C7EF18AA1694F8D22666414AFBF49</vt:lpwstr>
  </property>
  <property fmtid="{D5CDD505-2E9C-101B-9397-08002B2CF9AE}" pid="3" name="MediaServiceImageTags">
    <vt:lpwstr/>
  </property>
</Properties>
</file>