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D0D0D"/>
          <w:sz w:val="56"/>
        </w:rPr>
        <w:t>ARI CONSULTING</w:t>
      </w:r>
    </w:p>
    <w:p>
      <w:pPr>
        <w:spacing w:before="40"/>
      </w:pPr>
      <w:r>
        <w:rPr>
          <w:rFonts w:ascii="Arial" w:hAnsi="Arial"/>
          <w:b w:val="0"/>
          <w:i w:val="0"/>
          <w:color w:val="555555"/>
          <w:sz w:val="22"/>
        </w:rPr>
        <w:t>Consultoría Oracle  ·  Ciudad de México</w:t>
      </w:r>
    </w:p>
    <w:p/>
    <w:p>
      <w:pPr>
        <w:spacing w:before="120"/>
      </w:pPr>
      <w:r>
        <w:rPr>
          <w:rFonts w:ascii="Arial" w:hAnsi="Arial"/>
          <w:b/>
          <w:color w:val="0D0D0D"/>
          <w:sz w:val="18"/>
        </w:rPr>
        <w:t xml:space="preserve"> ORACLE </w:t>
      </w:r>
      <w:r>
        <w:t xml:space="preserve">  </w:t>
      </w:r>
      <w:r>
        <w:rPr>
          <w:rFonts w:ascii="Arial" w:hAnsi="Arial"/>
          <w:b/>
          <w:color w:val="0D0D0D"/>
          <w:sz w:val="18"/>
        </w:rPr>
        <w:t xml:space="preserve"> CLOUD </w:t>
      </w:r>
      <w:r>
        <w:t xml:space="preserve">  </w:t>
      </w:r>
      <w:r>
        <w:rPr>
          <w:rFonts w:ascii="Arial" w:hAnsi="Arial"/>
          <w:b/>
          <w:color w:val="0D0D0D"/>
          <w:sz w:val="18"/>
        </w:rPr>
        <w:t xml:space="preserve"> CONSULTORÍA </w:t>
      </w:r>
      <w:r>
        <w:t xml:space="preserve">  </w:t>
      </w:r>
      <w:r>
        <w:rPr>
          <w:rFonts w:ascii="Arial" w:hAnsi="Arial"/>
          <w:b/>
          <w:color w:val="0D0D0D"/>
          <w:sz w:val="18"/>
        </w:rPr>
        <w:t xml:space="preserve"> BUSINESS </w:t>
      </w:r>
      <w:r>
        <w:t xml:space="preserve">  </w:t>
      </w:r>
    </w:p>
    <w:p/>
    <w:p>
      <w:r>
        <w:rPr>
          <w:rFonts w:ascii="Arial" w:hAnsi="Arial"/>
          <w:b/>
          <w:i w:val="0"/>
          <w:color w:val="0D0D0D"/>
          <w:sz w:val="56"/>
        </w:rPr>
        <w:t>PROPUESTA COMERCIAL</w:t>
      </w:r>
    </w:p>
    <w:p>
      <w:pPr>
        <w:spacing w:before="120"/>
      </w:pPr>
      <w:r>
        <w:rPr>
          <w:rFonts w:ascii="Arial" w:hAnsi="Arial"/>
          <w:b w:val="0"/>
          <w:i w:val="0"/>
          <w:color w:val="555555"/>
          <w:sz w:val="20"/>
        </w:rPr>
        <w:t>N° 982/2026</w:t>
      </w:r>
    </w:p>
    <w:p/>
    <w:p>
      <w:pPr>
        <w:spacing w:before="80" w:after="80"/>
        <w:pBdr>
          <w:bottom w:val="single" w:sz="8" w:space="1" w:color="0D0D0D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555555"/>
                <w:sz w:val="18"/>
              </w:rPr>
              <w:t>FECHA DE EMISIÓN</w:t>
            </w:r>
          </w:p>
        </w:tc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20/10/2026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555555"/>
                <w:sz w:val="18"/>
              </w:rPr>
              <w:t>VÁLIDA HASTA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19/11/2026 — 30 días naturales</w:t>
            </w:r>
          </w:p>
        </w:tc>
      </w:tr>
      <w:tr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555555"/>
                <w:sz w:val="18"/>
              </w:rPr>
              <w:t>EMPRESA</w:t>
            </w:r>
          </w:p>
        </w:tc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Vetria Empaques Industriales S.A. de C.V.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555555"/>
                <w:sz w:val="18"/>
              </w:rPr>
              <w:t>RFC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VEI-900101-XYZ</w:t>
            </w:r>
          </w:p>
        </w:tc>
      </w:tr>
      <w:tr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555555"/>
                <w:sz w:val="18"/>
              </w:rPr>
              <w:t>SECTOR</w:t>
            </w:r>
          </w:p>
        </w:tc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Industria — Empaques plásticos y flexibles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555555"/>
                <w:sz w:val="18"/>
              </w:rPr>
              <w:t>CONTACTO PRINCIPAL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Luca / CEO</w:t>
            </w:r>
          </w:p>
        </w:tc>
      </w:tr>
      <w:tr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555555"/>
                <w:sz w:val="18"/>
              </w:rPr>
              <w:t>EMAIL</w:t>
            </w:r>
          </w:p>
        </w:tc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luca@isostatikaing.com.ar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555555"/>
                <w:sz w:val="18"/>
              </w:rPr>
              <w:t>TELÉFONO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</w:r>
          </w:p>
        </w:tc>
      </w:tr>
    </w:tbl>
    <w:p/>
    <w:p>
      <w:pPr>
        <w:spacing w:before="80" w:after="80"/>
        <w:pBdr>
          <w:bottom w:val="single" w:sz="8" w:space="1" w:color="0D0D0D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555555"/>
                <w:sz w:val="18"/>
              </w:rPr>
              <w:t>CONSULTOR RESPONSABLE</w:t>
            </w:r>
          </w:p>
        </w:tc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Carolina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555555"/>
                <w:sz w:val="18"/>
              </w:rPr>
              <w:t>EMAIL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carolina@ariconsulting.com.mx</w:t>
            </w:r>
          </w:p>
        </w:tc>
      </w:tr>
      <w:tr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555555"/>
                <w:sz w:val="18"/>
              </w:rPr>
              <w:t>TELÉFONO</w:t>
            </w:r>
          </w:p>
        </w:tc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555555"/>
                <w:sz w:val="18"/>
              </w:rPr>
              <w:t>GERENTE DE CUENTA</w:t>
            </w:r>
          </w:p>
        </w:tc>
        <w:tc>
          <w:tcPr>
            <w:tcW w:type="dxa" w:w="4536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</w:r>
          </w:p>
        </w:tc>
      </w:tr>
      <w:tr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555555"/>
                <w:sz w:val="18"/>
              </w:rPr>
              <w:t>DIRECCIÓN</w:t>
            </w:r>
          </w:p>
        </w:tc>
        <w:tc>
          <w:tcPr>
            <w:tcW w:type="dxa" w:w="4536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Ciudad de México</w:t>
            </w:r>
          </w:p>
        </w:tc>
      </w:tr>
    </w:tbl>
    <w:p>
      <w:r>
        <w:br w:type="page"/>
      </w:r>
    </w:p>
    <w:p>
      <w:pPr>
        <w:spacing w:before="360" w:after="40"/>
      </w:pPr>
      <w:r>
        <w:rPr>
          <w:rFonts w:ascii="Arial" w:hAnsi="Arial"/>
          <w:b w:val="0"/>
          <w:i w:val="0"/>
          <w:color w:val="555555"/>
          <w:sz w:val="18"/>
        </w:rPr>
        <w:t xml:space="preserve">01 / 05  </w:t>
      </w:r>
      <w:r>
        <w:rPr>
          <w:rFonts w:ascii="Arial" w:hAnsi="Arial"/>
          <w:b/>
          <w:i w:val="0"/>
          <w:color w:val="0D0D0D"/>
          <w:sz w:val="36"/>
        </w:rPr>
        <w:t>COMPRENSIÓN DEL CONTEXTO</w:t>
      </w:r>
    </w:p>
    <w:p>
      <w:pPr>
        <w:spacing w:before="80" w:after="80"/>
        <w:pBdr>
          <w:bottom w:val="single" w:sz="8" w:space="1" w:color="0D0D0D"/>
        </w:pBdr>
      </w:pPr>
    </w:p>
    <w:p>
      <w:pPr>
        <w:spacing w:before="80" w:after="120"/>
      </w:pPr>
      <w:r>
        <w:rPr>
          <w:rFonts w:ascii="Arial" w:hAnsi="Arial"/>
          <w:b w:val="0"/>
          <w:i w:val="0"/>
          <w:color w:val="0D0D0D"/>
          <w:sz w:val="22"/>
        </w:rPr>
        <w:t>Vetria Empaques Industriales opera cinco plantas en Nuevo León, Jalisco y Estado de México, con una estructura financiera que creció mediante adquisiciones regionales entre 2022 y 2025. Hoy, Protheus, Sankhya y un sistema propio en Delphi conviven en el grupo y obligan al equipo central a reconciliar información entre plataformas.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0D0D0D"/>
          <w:sz w:val="22"/>
        </w:rPr>
        <w:t>El cierre mensual consolidado tarda 14 días hábiles por la extracción, reclasificación y consolidación manual de datos. Vetria busca alcanzar un cierre de hasta cinco días hábiles y disponer de información financiera confiable para su operación y su trayectoria hacia una eventual salida a bolsa.</w:t>
      </w:r>
    </w:p>
    <w:p>
      <w:pPr>
        <w:spacing w:before="120"/>
      </w:pPr>
      <w:r>
        <w:rPr>
          <w:rFonts w:ascii="Arial" w:hAnsi="Arial"/>
          <w:b/>
          <w:i w:val="0"/>
          <w:color w:val="555555"/>
          <w:sz w:val="20"/>
        </w:rPr>
        <w:t>La falta de un flujo centralizado de pagos expone al grupo a controles heterogéneos: la auditoría interna identificó 23 pagos duplicados en 2025, por $1,190,000 MXN. También se invierten tres horas diarias para consolidar la posición de efectivo de 11 cuentas bancarias.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0D0D0D"/>
          <w:sz w:val="22"/>
        </w:rPr>
        <w:t>La propuesta prioriza General Ledger, Accounts Payable y Cash Management, manteniendo una transición gradual: las plantas adquiridas continuarán en sus ERPs actuales durante 6 a 12 meses, conectadas a Oracle mediante Oracle Integration Cloud.</w:t>
      </w:r>
    </w:p>
    <w:p>
      <w:r>
        <w:br w:type="page"/>
      </w:r>
    </w:p>
    <w:p>
      <w:pPr>
        <w:spacing w:before="360" w:after="40"/>
      </w:pPr>
      <w:r>
        <w:rPr>
          <w:rFonts w:ascii="Arial" w:hAnsi="Arial"/>
          <w:b w:val="0"/>
          <w:i w:val="0"/>
          <w:color w:val="555555"/>
          <w:sz w:val="18"/>
        </w:rPr>
        <w:t xml:space="preserve">02 / 05  </w:t>
      </w:r>
      <w:r>
        <w:rPr>
          <w:rFonts w:ascii="Arial" w:hAnsi="Arial"/>
          <w:b/>
          <w:i w:val="0"/>
          <w:color w:val="0D0D0D"/>
          <w:sz w:val="36"/>
        </w:rPr>
        <w:t>SOLUCIÓN PROPUESTA</w:t>
      </w:r>
    </w:p>
    <w:p>
      <w:pPr>
        <w:spacing w:before="80" w:after="80"/>
        <w:pBdr>
          <w:bottom w:val="single" w:sz="8" w:space="1" w:color="0D0D0D"/>
        </w:pBdr>
      </w:pPr>
    </w:p>
    <w:p>
      <w:pPr>
        <w:spacing w:before="80" w:after="120"/>
      </w:pPr>
      <w:r>
        <w:rPr>
          <w:rFonts w:ascii="Arial" w:hAnsi="Arial"/>
          <w:b w:val="0"/>
          <w:i w:val="0"/>
          <w:color w:val="0D0D0D"/>
          <w:sz w:val="22"/>
        </w:rPr>
        <w:t>ARI CONSULTING propone una implementación financiera orientada a un plan de cuentas único, controles de pago consistentes y una posición de efectivo consolidada, complementada con integraciones que sostengan la convivencia temporal de los ERPs actuales.</w:t>
      </w:r>
    </w:p>
    <w:p>
      <w:pPr>
        <w:spacing w:before="280" w:after="40"/>
      </w:pPr>
      <w:r>
        <w:rPr>
          <w:rFonts w:ascii="Arial" w:hAnsi="Arial"/>
          <w:b/>
          <w:i w:val="0"/>
          <w:color w:val="555555"/>
          <w:sz w:val="22"/>
        </w:rPr>
        <w:t>SERVICIO 01</w:t>
      </w:r>
    </w:p>
    <w:p>
      <w:pPr>
        <w:spacing w:before="0" w:after="80"/>
      </w:pPr>
      <w:r>
        <w:rPr>
          <w:rFonts w:ascii="Arial" w:hAnsi="Arial"/>
          <w:b/>
          <w:i w:val="0"/>
          <w:color w:val="0D0D0D"/>
          <w:sz w:val="26"/>
        </w:rPr>
        <w:t>IMPLEMENTACIÓN ORACLE ERP CLOUD (FINANCIALS)</w:t>
      </w:r>
    </w:p>
    <w:p>
      <w:pPr>
        <w:spacing w:before="40" w:after="40"/>
      </w:pPr>
      <w:r>
        <w:rPr>
          <w:rFonts w:ascii="Arial" w:hAnsi="Arial"/>
          <w:b/>
          <w:i w:val="0"/>
          <w:color w:val="0D0D0D"/>
          <w:sz w:val="22"/>
        </w:rPr>
        <w:t>Objetivo para este cliente:</w:t>
        <w:br/>
      </w:r>
      <w:r>
        <w:rPr>
          <w:rFonts w:ascii="Arial" w:hAnsi="Arial"/>
          <w:b/>
          <w:i w:val="0"/>
          <w:color w:val="0D0D0D"/>
          <w:sz w:val="22"/>
        </w:rPr>
        <w:t>Establecer la plataforma financiera común para el grupo, reduciendo el esfuerzo de cierre y reforzando la trazabilidad de los pagos.</w:t>
      </w:r>
    </w:p>
    <w:p>
      <w:pPr>
        <w:spacing w:before="80" w:after="40"/>
      </w:pPr>
      <w:r>
        <w:rPr>
          <w:rFonts w:ascii="Arial" w:hAnsi="Arial"/>
          <w:b/>
          <w:i w:val="0"/>
          <w:color w:val="0D0D0D"/>
          <w:sz w:val="22"/>
        </w:rPr>
        <w:t>Alcance incluido: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color w:val="0D0D0D"/>
          <w:sz w:val="22"/>
        </w:rPr>
        <w:t>Configuración de General Ledger con plan de cuentas único y consolidación.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color w:val="0D0D0D"/>
          <w:sz w:val="22"/>
        </w:rPr>
        <w:t>Configuración de Accounts Payable con flujos de autorización centralizados.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color w:val="0D0D0D"/>
          <w:sz w:val="22"/>
        </w:rPr>
        <w:t>Configuración de Cash Management para conciliación y posición de efectivo.</w:t>
      </w:r>
    </w:p>
    <w:p>
      <w:pPr>
        <w:spacing w:before="280" w:after="40"/>
      </w:pPr>
      <w:r>
        <w:rPr>
          <w:rFonts w:ascii="Arial" w:hAnsi="Arial"/>
          <w:b/>
          <w:i w:val="0"/>
          <w:color w:val="555555"/>
          <w:sz w:val="22"/>
        </w:rPr>
        <w:t>SERVICIO 02</w:t>
      </w:r>
    </w:p>
    <w:p>
      <w:pPr>
        <w:spacing w:before="0" w:after="80"/>
      </w:pPr>
      <w:r>
        <w:rPr>
          <w:rFonts w:ascii="Arial" w:hAnsi="Arial"/>
          <w:b/>
          <w:i w:val="0"/>
          <w:color w:val="0D0D0D"/>
          <w:sz w:val="26"/>
        </w:rPr>
        <w:t>INTEGRACIÓN ORACLE CON SISTEMAS LEGADOS</w:t>
      </w:r>
    </w:p>
    <w:p>
      <w:pPr>
        <w:spacing w:before="40" w:after="40"/>
      </w:pPr>
      <w:r>
        <w:rPr>
          <w:rFonts w:ascii="Arial" w:hAnsi="Arial"/>
          <w:b/>
          <w:i w:val="0"/>
          <w:color w:val="0D0D0D"/>
          <w:sz w:val="22"/>
        </w:rPr>
        <w:t>Objetivo para este cliente:</w:t>
        <w:br/>
      </w:r>
      <w:r>
        <w:rPr>
          <w:rFonts w:ascii="Arial" w:hAnsi="Arial"/>
          <w:b/>
          <w:i w:val="0"/>
          <w:color w:val="0D0D0D"/>
          <w:sz w:val="22"/>
        </w:rPr>
        <w:t>Mantener continuidad operativa en las plantas adquiridas mientras se migra gradualmente a Oracle Cloud.</w:t>
      </w:r>
    </w:p>
    <w:p>
      <w:pPr>
        <w:spacing w:before="80" w:after="40"/>
      </w:pPr>
      <w:r>
        <w:rPr>
          <w:rFonts w:ascii="Arial" w:hAnsi="Arial"/>
          <w:b/>
          <w:i w:val="0"/>
          <w:color w:val="0D0D0D"/>
          <w:sz w:val="22"/>
        </w:rPr>
        <w:t>Alcance incluido: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color w:val="0D0D0D"/>
          <w:sz w:val="22"/>
        </w:rPr>
        <w:t>Diseño de conectores Oracle Integration Cloud para Protheus, Sankhya y el sistema Delphi.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color w:val="0D0D0D"/>
          <w:sz w:val="22"/>
        </w:rPr>
        <w:t>Intercambio controlado de datos financieros y monitoreo de excepciones.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i w:val="0"/>
          <w:color w:val="0D0D0D"/>
          <w:sz w:val="22"/>
        </w:rPr>
        <w:t>Documentación técnica y transferencia operativa para la transición.</w:t>
      </w:r>
    </w:p>
    <w:p>
      <w:r>
        <w:br w:type="page"/>
      </w:r>
    </w:p>
    <w:p>
      <w:pPr>
        <w:spacing w:before="360" w:after="40"/>
      </w:pPr>
      <w:r>
        <w:rPr>
          <w:rFonts w:ascii="Arial" w:hAnsi="Arial"/>
          <w:b w:val="0"/>
          <w:i w:val="0"/>
          <w:color w:val="555555"/>
          <w:sz w:val="18"/>
        </w:rPr>
        <w:t xml:space="preserve">03 / 05  </w:t>
      </w:r>
      <w:r>
        <w:rPr>
          <w:rFonts w:ascii="Arial" w:hAnsi="Arial"/>
          <w:b/>
          <w:i w:val="0"/>
          <w:color w:val="0D0D0D"/>
          <w:sz w:val="36"/>
        </w:rPr>
        <w:t>METODOLOGÍA Y CRONOGRAMA</w:t>
      </w:r>
    </w:p>
    <w:p>
      <w:pPr>
        <w:spacing w:before="80" w:after="80"/>
        <w:pBdr>
          <w:bottom w:val="single" w:sz="8" w:space="1" w:color="0D0D0D"/>
        </w:pBdr>
      </w:pPr>
    </w:p>
    <w:p>
      <w:pPr>
        <w:spacing w:before="80" w:after="120"/>
      </w:pPr>
      <w:r>
        <w:rPr>
          <w:rFonts w:ascii="Arial" w:hAnsi="Arial"/>
          <w:b w:val="0"/>
          <w:i w:val="0"/>
          <w:color w:val="0D0D0D"/>
          <w:sz w:val="22"/>
        </w:rPr>
        <w:t>ARI CONSULTING conduce el proyecto mediante Oracle Cloud Implementation Methodology (OCIM), adaptada a la transición gradual de Vetria.</w:t>
      </w:r>
    </w:p>
    <w:p>
      <w:pPr>
        <w:spacing w:before="160" w:after="40"/>
      </w:pPr>
      <w:r>
        <w:rPr>
          <w:rFonts w:ascii="Arial" w:hAnsi="Arial"/>
          <w:b/>
          <w:i w:val="0"/>
          <w:color w:val="0D0D0D"/>
          <w:sz w:val="22"/>
        </w:rPr>
        <w:t>FASE 1 — DESCUBRIMIENTO</w:t>
        <w:br/>
      </w:r>
      <w:r>
        <w:rPr>
          <w:rFonts w:ascii="Arial" w:hAnsi="Arial"/>
          <w:b/>
          <w:i w:val="0"/>
          <w:color w:val="0D0D0D"/>
          <w:sz w:val="22"/>
        </w:rPr>
        <w:t>Semanas 1 a 2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D0D0D"/>
          <w:sz w:val="22"/>
        </w:rPr>
        <w:t>Levantamiento de procesos financieros, validación de alcance, equipo de proyecto y fuentes de datos de las cinco plantas.</w:t>
      </w:r>
    </w:p>
    <w:p>
      <w:pPr>
        <w:spacing w:before="160" w:after="40"/>
      </w:pPr>
      <w:r>
        <w:rPr>
          <w:rFonts w:ascii="Arial" w:hAnsi="Arial"/>
          <w:b/>
          <w:i w:val="0"/>
          <w:color w:val="0D0D0D"/>
          <w:sz w:val="22"/>
        </w:rPr>
        <w:t>FASE 2 — DISEÑO</w:t>
        <w:br/>
      </w:r>
      <w:r>
        <w:rPr>
          <w:rFonts w:ascii="Arial" w:hAnsi="Arial"/>
          <w:b/>
          <w:i w:val="0"/>
          <w:color w:val="0D0D0D"/>
          <w:sz w:val="22"/>
        </w:rPr>
        <w:t>Semanas 3 a 5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D0D0D"/>
          <w:sz w:val="22"/>
        </w:rPr>
        <w:t>Diseño del plan de cuentas único, flujos de aprobación, modelo de integración y criterios de conciliación.</w:t>
      </w:r>
    </w:p>
    <w:p>
      <w:pPr>
        <w:spacing w:before="160" w:after="40"/>
      </w:pPr>
      <w:r>
        <w:rPr>
          <w:rFonts w:ascii="Arial" w:hAnsi="Arial"/>
          <w:b/>
          <w:i w:val="0"/>
          <w:color w:val="0D0D0D"/>
          <w:sz w:val="22"/>
        </w:rPr>
        <w:t>FASE 3 — BUILD</w:t>
        <w:br/>
      </w:r>
      <w:r>
        <w:rPr>
          <w:rFonts w:ascii="Arial" w:hAnsi="Arial"/>
          <w:b/>
          <w:i w:val="0"/>
          <w:color w:val="0D0D0D"/>
          <w:sz w:val="22"/>
        </w:rPr>
        <w:t>Semanas 6 a 11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D0D0D"/>
          <w:sz w:val="22"/>
        </w:rPr>
        <w:t>Configuración de Financials, desarrollo de conectores OIC, preparación de migración y documentación técnica.</w:t>
      </w:r>
    </w:p>
    <w:p>
      <w:pPr>
        <w:spacing w:before="160" w:after="40"/>
      </w:pPr>
      <w:r>
        <w:rPr>
          <w:rFonts w:ascii="Arial" w:hAnsi="Arial"/>
          <w:b/>
          <w:i w:val="0"/>
          <w:color w:val="0D0D0D"/>
          <w:sz w:val="22"/>
        </w:rPr>
        <w:t>FASE 4 — PRUEBAS</w:t>
        <w:br/>
      </w:r>
      <w:r>
        <w:rPr>
          <w:rFonts w:ascii="Arial" w:hAnsi="Arial"/>
          <w:b/>
          <w:i w:val="0"/>
          <w:color w:val="0D0D0D"/>
          <w:sz w:val="22"/>
        </w:rPr>
        <w:t>Semanas 12 a 14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D0D0D"/>
          <w:sz w:val="22"/>
        </w:rPr>
        <w:t>Pruebas de sistema, integración y aceptación de usuarios clave; corrección de incidencias.</w:t>
      </w:r>
    </w:p>
    <w:p>
      <w:pPr>
        <w:spacing w:before="160" w:after="40"/>
      </w:pPr>
      <w:r>
        <w:rPr>
          <w:rFonts w:ascii="Arial" w:hAnsi="Arial"/>
          <w:b/>
          <w:i w:val="0"/>
          <w:color w:val="0D0D0D"/>
          <w:sz w:val="22"/>
        </w:rPr>
        <w:t>FASE 5 — GO-LIVE</w:t>
        <w:br/>
      </w:r>
      <w:r>
        <w:rPr>
          <w:rFonts w:ascii="Arial" w:hAnsi="Arial"/>
          <w:b/>
          <w:i w:val="0"/>
          <w:color w:val="0D0D0D"/>
          <w:sz w:val="22"/>
        </w:rPr>
        <w:t>Semana 15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D0D0D"/>
          <w:sz w:val="22"/>
        </w:rPr>
        <w:t>Activación productiva de la fase financiera priorizada y acompañamiento de corte controlado.</w:t>
      </w:r>
    </w:p>
    <w:p>
      <w:pPr>
        <w:spacing w:before="160" w:after="40"/>
      </w:pPr>
      <w:r>
        <w:rPr>
          <w:rFonts w:ascii="Arial" w:hAnsi="Arial"/>
          <w:b/>
          <w:i w:val="0"/>
          <w:color w:val="0D0D0D"/>
          <w:sz w:val="22"/>
        </w:rPr>
        <w:t>FASE 6 — HIPERESCALADA</w:t>
        <w:br/>
      </w:r>
      <w:r>
        <w:rPr>
          <w:rFonts w:ascii="Arial" w:hAnsi="Arial"/>
          <w:b/>
          <w:i w:val="0"/>
          <w:color w:val="0D0D0D"/>
          <w:sz w:val="22"/>
        </w:rPr>
        <w:t>Semanas 16 a 17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D0D0D"/>
          <w:sz w:val="22"/>
        </w:rPr>
        <w:t>Seguimiento post go-live, ajustes finos, cierre formal y transición a soporte opcional.</w:t>
      </w:r>
    </w:p>
    <w:p/>
    <w:p>
      <w:pPr>
        <w:spacing w:before="40" w:after="40"/>
      </w:pPr>
      <w:r>
        <w:rPr>
          <w:rFonts w:ascii="Arial" w:hAnsi="Arial"/>
          <w:b/>
          <w:i w:val="0"/>
          <w:color w:val="555555"/>
          <w:sz w:val="18"/>
        </w:rPr>
        <w:t>FECHA DE INICIO ESTIMADA</w:t>
        <w:br/>
      </w:r>
      <w:r>
        <w:rPr>
          <w:rFonts w:ascii="Arial" w:hAnsi="Arial"/>
          <w:b/>
          <w:i w:val="0"/>
          <w:color w:val="555555"/>
          <w:sz w:val="18"/>
        </w:rPr>
        <w:t>1 de diciembre de 2026 — confirmar en la firma del contrato</w:t>
      </w:r>
    </w:p>
    <w:p>
      <w:pPr>
        <w:spacing w:before="40" w:after="40"/>
      </w:pPr>
      <w:r>
        <w:rPr>
          <w:rFonts w:ascii="Arial" w:hAnsi="Arial"/>
          <w:b/>
          <w:i w:val="0"/>
          <w:color w:val="555555"/>
          <w:sz w:val="18"/>
        </w:rPr>
        <w:t>FECHA ESTIMADA DE GO-LIVE</w:t>
        <w:br/>
      </w:r>
      <w:r>
        <w:rPr>
          <w:rFonts w:ascii="Arial" w:hAnsi="Arial"/>
          <w:b/>
          <w:i w:val="0"/>
          <w:color w:val="555555"/>
          <w:sz w:val="18"/>
        </w:rPr>
        <w:t>10 de marzo de 2027</w:t>
      </w:r>
    </w:p>
    <w:p>
      <w:pPr>
        <w:spacing w:before="40" w:after="40"/>
      </w:pPr>
      <w:r>
        <w:rPr>
          <w:rFonts w:ascii="Arial" w:hAnsi="Arial"/>
          <w:b/>
          <w:i w:val="0"/>
          <w:color w:val="555555"/>
          <w:sz w:val="18"/>
        </w:rPr>
        <w:t>DURACIÓN TOTAL</w:t>
        <w:br/>
      </w:r>
      <w:r>
        <w:rPr>
          <w:rFonts w:ascii="Arial" w:hAnsi="Arial"/>
          <w:b/>
          <w:i w:val="0"/>
          <w:color w:val="555555"/>
          <w:sz w:val="18"/>
        </w:rPr>
        <w:t>120 días naturales</w:t>
      </w:r>
    </w:p>
    <w:p>
      <w:r>
        <w:br w:type="page"/>
      </w:r>
    </w:p>
    <w:p>
      <w:pPr>
        <w:spacing w:before="360" w:after="40"/>
      </w:pPr>
      <w:r>
        <w:rPr>
          <w:rFonts w:ascii="Arial" w:hAnsi="Arial"/>
          <w:b w:val="0"/>
          <w:i w:val="0"/>
          <w:color w:val="555555"/>
          <w:sz w:val="18"/>
        </w:rPr>
        <w:t xml:space="preserve">04 / 05  </w:t>
      </w:r>
      <w:r>
        <w:rPr>
          <w:rFonts w:ascii="Arial" w:hAnsi="Arial"/>
          <w:b/>
          <w:i w:val="0"/>
          <w:color w:val="0D0D0D"/>
          <w:sz w:val="36"/>
        </w:rPr>
        <w:t>INVERSIÓN</w:t>
      </w:r>
    </w:p>
    <w:p>
      <w:pPr>
        <w:spacing w:before="80" w:after="80"/>
        <w:pBdr>
          <w:bottom w:val="single" w:sz="8" w:space="1" w:color="0D0D0D"/>
        </w:pBdr>
      </w:pPr>
    </w:p>
    <w:p>
      <w:pPr>
        <w:spacing w:before="80"/>
      </w:pPr>
      <w:r>
        <w:rPr>
          <w:rFonts w:ascii="Arial" w:hAnsi="Arial"/>
          <w:b w:val="0"/>
          <w:i/>
          <w:color w:val="555555"/>
          <w:sz w:val="20"/>
        </w:rPr>
        <w:t>Descuento por combinación de servicios: 10% sobre el valor consolidado.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0D0D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3024"/>
            <w:shd w:val="clear" w:color="auto" w:fill="0D0D0D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18"/>
              </w:rPr>
              <w:t>PLAZO</w:t>
            </w:r>
          </w:p>
        </w:tc>
        <w:tc>
          <w:tcPr>
            <w:tcW w:type="dxa" w:w="3024"/>
            <w:shd w:val="clear" w:color="auto" w:fill="0D0D0D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18"/>
              </w:rPr>
              <w:t>INVERSIÓN</w:t>
            </w:r>
          </w:p>
        </w:tc>
      </w:tr>
      <w:tr>
        <w:tc>
          <w:tcPr>
            <w:tcW w:type="dxa" w:w="3024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Implementación Oracle ERP Cloud (Financials)</w:t>
            </w:r>
          </w:p>
        </w:tc>
        <w:tc>
          <w:tcPr>
            <w:tcW w:type="dxa" w:w="3024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90 a 120 días</w:t>
            </w:r>
          </w:p>
        </w:tc>
        <w:tc>
          <w:tcPr>
            <w:tcW w:type="dxa" w:w="3024"/>
            <w:shd w:val="clear" w:color="auto" w:fill="F9F9F9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$700,000 MXN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Integración Oracle con sistemas legados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30 a 60 días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$500,000 MXN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TOTAL DEL PROYECTO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120 días naturales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Arial" w:hAnsi="Arial"/>
                <w:color w:val="0D0D0D"/>
                <w:sz w:val="20"/>
              </w:rPr>
              <w:t>$1,200,000 MXN</w:t>
            </w:r>
          </w:p>
        </w:tc>
      </w:tr>
      <w:tr>
        <w:tc>
          <w:tcPr>
            <w:tcW w:type="dxa" w:w="6048"/>
            <w:gridSpan w:val="2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55555"/>
                <w:sz w:val="18"/>
              </w:rPr>
              <w:t>Descuento por combinación de servicios (10%)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55555"/>
                <w:sz w:val="18"/>
              </w:rPr>
              <w:t>– $120,000 MXN</w:t>
            </w:r>
          </w:p>
        </w:tc>
      </w:tr>
      <w:tr>
        <w:tc>
          <w:tcPr>
            <w:tcW w:type="dxa" w:w="3024"/>
            <w:shd w:val="clear" w:color="auto" w:fill="0D0D0D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0"/>
              </w:rPr>
              <w:t>TOTAL CON DESCUENTO</w:t>
            </w:r>
          </w:p>
        </w:tc>
        <w:tc>
          <w:tcPr>
            <w:tcW w:type="dxa" w:w="3024"/>
            <w:shd w:val="clear" w:color="auto" w:fill="0D0D0D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3024"/>
            <w:shd w:val="clear" w:color="auto" w:fill="0D0D0D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0"/>
              </w:rPr>
              <w:t>$1,080,000 MXN</w:t>
            </w:r>
          </w:p>
        </w:tc>
      </w:tr>
    </w:tbl>
    <w:p/>
    <w:p>
      <w:pPr>
        <w:spacing w:before="160"/>
      </w:pPr>
      <w:r>
        <w:rPr>
          <w:rFonts w:ascii="Arial" w:hAnsi="Arial"/>
          <w:b/>
          <w:i w:val="0"/>
          <w:color w:val="0D0D0D"/>
          <w:sz w:val="20"/>
        </w:rPr>
        <w:t>Condiciones de pago: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18"/>
        </w:rPr>
        <w:t>— 30% a la firma del contrato    $324,000 MXN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18"/>
        </w:rPr>
        <w:t>— 40% al concluir la Fase de Build    $432,000 MXN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18"/>
        </w:rPr>
        <w:t>— 30% en el Go-Live confirmado    $324,000 MXN</w:t>
      </w:r>
    </w:p>
    <w:p/>
    <w:p>
      <w:r>
        <w:rPr>
          <w:rFonts w:ascii="Arial" w:hAnsi="Arial"/>
          <w:b/>
          <w:i w:val="0"/>
          <w:color w:val="555555"/>
          <w:sz w:val="18"/>
        </w:rPr>
        <w:t>Vigencia de esta propuesta: hasta el 19 de noviembre de 2026 (30 días naturales desde su emisión).</w:t>
      </w:r>
    </w:p>
    <w:p>
      <w:r>
        <w:rPr>
          <w:rFonts w:ascii="Arial" w:hAnsi="Arial"/>
          <w:b w:val="0"/>
          <w:i w:val="0"/>
          <w:color w:val="555555"/>
          <w:sz w:val="18"/>
        </w:rPr>
        <w:t>Valores en pesos mexicanos (MXN). No incluyen impuestos (IVA 16%).</w:t>
      </w:r>
    </w:p>
    <w:p>
      <w:r>
        <w:br w:type="page"/>
      </w:r>
    </w:p>
    <w:p>
      <w:pPr>
        <w:spacing w:before="360" w:after="40"/>
      </w:pPr>
      <w:r>
        <w:rPr>
          <w:rFonts w:ascii="Arial" w:hAnsi="Arial"/>
          <w:b w:val="0"/>
          <w:i w:val="0"/>
          <w:color w:val="555555"/>
          <w:sz w:val="18"/>
        </w:rPr>
        <w:t xml:space="preserve">05 / 05  </w:t>
      </w:r>
      <w:r>
        <w:rPr>
          <w:rFonts w:ascii="Arial" w:hAnsi="Arial"/>
          <w:b/>
          <w:i w:val="0"/>
          <w:color w:val="0D0D0D"/>
          <w:sz w:val="36"/>
        </w:rPr>
        <w:t>PRÓXIMOS PASOS</w:t>
      </w:r>
    </w:p>
    <w:p>
      <w:pPr>
        <w:spacing w:before="80" w:after="80"/>
        <w:pBdr>
          <w:bottom w:val="single" w:sz="8" w:space="1" w:color="0D0D0D"/>
        </w:pBdr>
      </w:pPr>
    </w:p>
    <w:p>
      <w:pPr>
        <w:spacing w:before="80" w:after="120"/>
      </w:pPr>
      <w:r>
        <w:rPr>
          <w:rFonts w:ascii="Arial" w:hAnsi="Arial"/>
          <w:b w:val="0"/>
          <w:i w:val="0"/>
          <w:color w:val="0D0D0D"/>
          <w:sz w:val="22"/>
        </w:rPr>
        <w:t>Para avanzar con este proyecto, proponemos los siguientes pasos:</w:t>
      </w:r>
    </w:p>
    <w:p>
      <w:pPr>
        <w:spacing w:before="100" w:after="100"/>
      </w:pPr>
      <w:r>
        <w:rPr>
          <w:rFonts w:ascii="Arial" w:hAnsi="Arial"/>
          <w:b w:val="0"/>
          <w:i w:val="0"/>
          <w:color w:val="0D0D0D"/>
          <w:sz w:val="22"/>
        </w:rPr>
        <w:t>01  Revisión y aprobación interna de esta propuesta por Vetria Empaques Industriales</w:t>
      </w:r>
    </w:p>
    <w:p>
      <w:pPr>
        <w:spacing w:before="100" w:after="100"/>
      </w:pPr>
      <w:r>
        <w:rPr>
          <w:rFonts w:ascii="Arial" w:hAnsi="Arial"/>
          <w:b w:val="0"/>
          <w:i w:val="0"/>
          <w:color w:val="0D0D0D"/>
          <w:sz w:val="22"/>
        </w:rPr>
        <w:t>02  Reunión de alineación técnico-ejecutiva (30 minutos) — a agendar con Carolina</w:t>
      </w:r>
    </w:p>
    <w:p>
      <w:pPr>
        <w:spacing w:before="100" w:after="100"/>
      </w:pPr>
      <w:r>
        <w:rPr>
          <w:rFonts w:ascii="Arial" w:hAnsi="Arial"/>
          <w:b w:val="0"/>
          <w:i w:val="0"/>
          <w:color w:val="0D0D0D"/>
          <w:sz w:val="22"/>
        </w:rPr>
        <w:t>03  Firma del contrato y orden de servicio</w:t>
      </w:r>
    </w:p>
    <w:p>
      <w:pPr>
        <w:spacing w:before="100" w:after="100"/>
      </w:pPr>
      <w:r>
        <w:rPr>
          <w:rFonts w:ascii="Arial" w:hAnsi="Arial"/>
          <w:b w:val="0"/>
          <w:i w:val="0"/>
          <w:color w:val="0D0D0D"/>
          <w:sz w:val="22"/>
        </w:rPr>
        <w:t>04  Kickoff oficial del proyecto (hasta 10 días después de la firma)</w:t>
      </w:r>
    </w:p>
    <w:p>
      <w:pPr>
        <w:spacing w:before="240" w:after="120"/>
      </w:pPr>
      <w:r>
        <w:rPr>
          <w:rFonts w:ascii="Arial" w:hAnsi="Arial"/>
          <w:b w:val="0"/>
          <w:i w:val="0"/>
          <w:color w:val="0D0D0D"/>
          <w:sz w:val="22"/>
        </w:rPr>
        <w:t>Estamos a disposición para aclarar cualquier duda o adaptar el alcance. Al concluir el go-live, podemos evaluar el soporte post-implementación de ARI CONSULTING.</w:t>
      </w:r>
    </w:p>
    <w:p/>
    <w:p>
      <w:pPr>
        <w:spacing w:before="200"/>
      </w:pPr>
      <w:r>
        <w:rPr>
          <w:rFonts w:ascii="Arial" w:hAnsi="Arial"/>
          <w:b/>
          <w:i w:val="0"/>
          <w:color w:val="0D0D0D"/>
          <w:sz w:val="24"/>
        </w:rPr>
        <w:t>Comencemos →</w:t>
      </w:r>
    </w:p>
    <w:p>
      <w:pPr>
        <w:spacing w:before="80" w:after="80"/>
        <w:pBdr>
          <w:bottom w:val="single" w:sz="8" w:space="1" w:color="0D0D0D"/>
        </w:pBdr>
      </w:pPr>
    </w:p>
    <w:p>
      <w:pPr>
        <w:spacing w:before="160"/>
      </w:pPr>
      <w:r>
        <w:rPr>
          <w:rFonts w:ascii="Arial" w:hAnsi="Arial"/>
          <w:b/>
          <w:i w:val="0"/>
          <w:color w:val="0D0D0D"/>
          <w:sz w:val="20"/>
        </w:rPr>
        <w:t>Carolina</w:t>
        <w:br/>
      </w:r>
      <w:r>
        <w:rPr>
          <w:rFonts w:ascii="Arial" w:hAnsi="Arial"/>
          <w:b/>
          <w:i w:val="0"/>
          <w:color w:val="0D0D0D"/>
          <w:sz w:val="20"/>
        </w:rPr>
        <w:t>Consultora responsable</w:t>
        <w:br/>
      </w:r>
      <w:r>
        <w:rPr>
          <w:rFonts w:ascii="Arial" w:hAnsi="Arial"/>
          <w:b/>
          <w:i w:val="0"/>
          <w:color w:val="0D0D0D"/>
          <w:sz w:val="20"/>
        </w:rPr>
        <w:t>ARI CONSULTING</w:t>
        <w:br/>
      </w:r>
      <w:r>
        <w:rPr>
          <w:rFonts w:ascii="Arial" w:hAnsi="Arial"/>
          <w:b/>
          <w:i w:val="0"/>
          <w:color w:val="0D0D0D"/>
          <w:sz w:val="20"/>
        </w:rPr>
        <w:t>Ciudad de México</w:t>
        <w:br/>
      </w:r>
      <w:r>
        <w:rPr>
          <w:rFonts w:ascii="Arial" w:hAnsi="Arial"/>
          <w:b/>
          <w:i w:val="0"/>
          <w:color w:val="0D0D0D"/>
          <w:sz w:val="20"/>
        </w:rPr>
        <w:t>carolina@ariconsulting.com.mx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3C7EF18AA1694F8D22666414AFBF49" ma:contentTypeVersion="14" ma:contentTypeDescription="Crie um novo documento." ma:contentTypeScope="" ma:versionID="551b41f358fadbd2f64b11a33e8beaa5">
  <xsd:schema xmlns:xsd="http://www.w3.org/2001/XMLSchema" xmlns:xs="http://www.w3.org/2001/XMLSchema" xmlns:p="http://schemas.microsoft.com/office/2006/metadata/properties" xmlns:ns2="a71ccb9b-6e14-42cb-bb7f-4a7eed2524ef" xmlns:ns3="a7f4a7b7-966e-48e5-a98f-43d258599049" targetNamespace="http://schemas.microsoft.com/office/2006/metadata/properties" ma:root="true" ma:fieldsID="985fd29bf7c618b73b0bad9698733ffa" ns2:_="" ns3:_="">
    <xsd:import namespace="a71ccb9b-6e14-42cb-bb7f-4a7eed2524ef"/>
    <xsd:import namespace="a7f4a7b7-966e-48e5-a98f-43d2585990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ccb9b-6e14-42cb-bb7f-4a7eed252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4a7b7-966e-48e5-a98f-43d25859904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13490ee-2866-4fa6-adf5-3d08f67af8ac}" ma:internalName="TaxCatchAll" ma:showField="CatchAllData" ma:web="a7f4a7b7-966e-48e5-a98f-43d258599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f4a7b7-966e-48e5-a98f-43d258599049" xsi:nil="true"/>
    <lcf76f155ced4ddcb4097134ff3c332f xmlns="a71ccb9b-6e14-42cb-bb7f-4a7eed2524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672F29-DEDF-4071-9AD4-23E6F1F07132}"/>
</file>

<file path=customXml/itemProps3.xml><?xml version="1.0" encoding="utf-8"?>
<ds:datastoreItem xmlns:ds="http://schemas.openxmlformats.org/officeDocument/2006/customXml" ds:itemID="{604236B7-AD64-4F34-A689-29B6B5EBE43F}"/>
</file>

<file path=customXml/itemProps4.xml><?xml version="1.0" encoding="utf-8"?>
<ds:datastoreItem xmlns:ds="http://schemas.openxmlformats.org/officeDocument/2006/customXml" ds:itemID="{D13345D8-4474-4EAB-ACB7-29558B9DFF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Vetria Empaques Industriales</dc:title>
  <dc:subject>Implementación Oracle ERP Cloud Financials e integración</dc:subject>
  <dc:creator>ARI CONSULTING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0x010100C43C7EF18AA1694F8D22666414AFBF49</vt:lpwstr>
  </property>
  <property fmtid="{D5CDD505-2E9C-101B-9397-08002B2CF9AE}" pid="3" name="MediaServiceImageTags">
    <vt:lpwstr/>
  </property>
</Properties>
</file>