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Personas - Projeto MoveSec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acordo com estatísticas, em noticiários e até mesmo através das pessoas, mais especificamente donos(as) de casa, são muitos os relatos de insegurança em relação a casos de invasão domiciliar.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Assim sendo, decidimos fazer um projeto na área de automação residencial focado em segurança domiciliar. Ao conversar com alguns donos(as) de casa e através de notícias e pesquisas concluímos que um dos receios é o de invasão/arrombamento.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Uma vez definido o público alvo de nosso projeto, criamos um formulário com perguntas com perguntas que pudessem nos ajudar a identificar os fatores e as características que favorecem a criminalidade, especificamente invasões, em residências. Foi com base nessa pesquisa que criamos as personas a seguir.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Ednaldo da Silva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Idade: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30 anos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Características: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Mora em uma casa.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Assalariado.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Background: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Já ocorreu casos de invasão em sua vizinhança, embora não tenha ocorrido em sua casa ele tem uma preocupação em evitar.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Thalita  Araújo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Idade: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23 anos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Características: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estudante.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Mora em uma casa.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Background: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sofreu invasão em sua residência enquanto viajava com a família durante o período de férias.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Sua família teve problemas em identificar o ladrão e reaver os pertences por ter acionado a polícia tardiamente.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