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 w:hint="eastAsia"/>
          <w:color w:val="000000"/>
          <w:kern w:val="0"/>
          <w:sz w:val="44"/>
          <w:szCs w:val="44"/>
        </w:rPr>
      </w:pPr>
      <w:r w:rsidRPr="00D8758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西方文明史导论</w:t>
      </w:r>
    </w:p>
    <w:p w:rsid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87587">
        <w:rPr>
          <w:rFonts w:ascii="宋体" w:eastAsia="宋体" w:hAnsi="宋体" w:cs="宋体"/>
          <w:color w:val="000000"/>
          <w:kern w:val="0"/>
          <w:szCs w:val="21"/>
        </w:rPr>
        <w:t>1.朱光潜先生在《谈美感教育》中说：“世间事物有真善美三种不同的价值，人类心理有</w:t>
      </w: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87587">
        <w:rPr>
          <w:rFonts w:ascii="宋体" w:eastAsia="宋体" w:hAnsi="宋体" w:cs="宋体"/>
          <w:color w:val="000000"/>
          <w:kern w:val="0"/>
          <w:szCs w:val="21"/>
        </w:rPr>
        <w:t>知情意三种不同的活动。这三种心理活动恰和三种事物的价值相当：真关于知，善关于意</w:t>
      </w: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87587">
        <w:rPr>
          <w:rFonts w:ascii="宋体" w:eastAsia="宋体" w:hAnsi="宋体" w:cs="宋体"/>
          <w:color w:val="000000"/>
          <w:kern w:val="0"/>
          <w:szCs w:val="21"/>
        </w:rPr>
        <w:t>，美关于情。”结合我们客商讲过的天性美、自然美、古典没、人性美和诗性美，谈谈你</w:t>
      </w: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87587">
        <w:rPr>
          <w:rFonts w:ascii="宋体" w:eastAsia="宋体" w:hAnsi="宋体" w:cs="宋体"/>
          <w:color w:val="000000"/>
          <w:kern w:val="0"/>
          <w:szCs w:val="21"/>
        </w:rPr>
        <w:t>对这段话的理解。</w:t>
      </w: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87587">
        <w:rPr>
          <w:rFonts w:ascii="宋体" w:eastAsia="宋体" w:hAnsi="宋体" w:cs="宋体"/>
          <w:color w:val="000000"/>
          <w:kern w:val="0"/>
          <w:szCs w:val="21"/>
        </w:rPr>
        <w:t>2.你认为中世纪欧洲文明（800~1400年）同近代早期欧洲文明（1400~1600）的主要区别</w:t>
      </w: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87587">
        <w:rPr>
          <w:rFonts w:ascii="宋体" w:eastAsia="宋体" w:hAnsi="宋体" w:cs="宋体"/>
          <w:color w:val="000000"/>
          <w:kern w:val="0"/>
          <w:szCs w:val="21"/>
        </w:rPr>
        <w:t>是什么？（请选三个你认为最重要的方面来加以回答）</w:t>
      </w: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87587">
        <w:rPr>
          <w:rFonts w:ascii="宋体" w:eastAsia="宋体" w:hAnsi="宋体" w:cs="宋体"/>
          <w:color w:val="000000"/>
          <w:kern w:val="0"/>
          <w:szCs w:val="21"/>
        </w:rPr>
        <w:t>3.学术界关于大众文化和精英文化学有哪些新的看法？你认为这大众文化和精英文化之间</w:t>
      </w: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87587">
        <w:rPr>
          <w:rFonts w:ascii="宋体" w:eastAsia="宋体" w:hAnsi="宋体" w:cs="宋体"/>
          <w:color w:val="000000"/>
          <w:kern w:val="0"/>
          <w:szCs w:val="21"/>
        </w:rPr>
        <w:t>应当是一种什么样的关系？你这么说的原因何在？</w:t>
      </w: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87587">
        <w:rPr>
          <w:rFonts w:ascii="宋体" w:eastAsia="宋体" w:hAnsi="宋体" w:cs="宋体"/>
          <w:color w:val="000000"/>
          <w:kern w:val="0"/>
          <w:szCs w:val="21"/>
        </w:rPr>
        <w:t>4.谈谈法国文化、俄罗斯文化对产生于文艺复兴意大利的芭蕾舞所产生的重要影响</w:t>
      </w: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87587">
        <w:rPr>
          <w:rFonts w:ascii="宋体" w:eastAsia="宋体" w:hAnsi="宋体" w:cs="宋体"/>
          <w:color w:val="000000"/>
          <w:kern w:val="0"/>
          <w:szCs w:val="21"/>
        </w:rPr>
        <w:t>5.为什么在重大历史转折时期或危机时期却会产生文化、艺术高潮？请以但丁、彼特拉克</w:t>
      </w: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87587">
        <w:rPr>
          <w:rFonts w:ascii="宋体" w:eastAsia="宋体" w:hAnsi="宋体" w:cs="宋体"/>
          <w:color w:val="000000"/>
          <w:kern w:val="0"/>
          <w:szCs w:val="21"/>
        </w:rPr>
        <w:t>和薄伽丘等人的事迹为例，谈谈你对这个问题的认识。</w:t>
      </w:r>
    </w:p>
    <w:p w:rsidR="00000000" w:rsidRDefault="00550102">
      <w:pPr>
        <w:rPr>
          <w:rFonts w:hint="eastAsia"/>
        </w:rPr>
      </w:pP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 w:hint="eastAsia"/>
          <w:color w:val="000000"/>
          <w:kern w:val="0"/>
          <w:sz w:val="44"/>
          <w:szCs w:val="44"/>
        </w:rPr>
      </w:pPr>
      <w:r w:rsidRPr="00D8758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西方文明史导论</w:t>
      </w:r>
    </w:p>
    <w:p w:rsidR="00D87587" w:rsidRDefault="00D87587">
      <w:pPr>
        <w:rPr>
          <w:rFonts w:hint="eastAsia"/>
        </w:rPr>
      </w:pP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简答：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1、简述马丁·路德的“因信称义”理论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2、简述“文艺复兴”及其影响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3、希腊文明和罗马文明的区别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论述：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1、论述西方审美喜悦中的悲剧意识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2、论述东方文明和西方文明的差异及互补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3、论述但丁、比特拉克、薄伽丘的观点</w:t>
      </w:r>
    </w:p>
    <w:p w:rsidR="00D87587" w:rsidRDefault="00D87587">
      <w:pPr>
        <w:rPr>
          <w:rFonts w:hint="eastAsia"/>
        </w:rPr>
      </w:pPr>
    </w:p>
    <w:p w:rsidR="00D87587" w:rsidRPr="00D87587" w:rsidRDefault="00D87587" w:rsidP="00D875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 w:hint="eastAsia"/>
          <w:color w:val="000000"/>
          <w:kern w:val="0"/>
          <w:sz w:val="44"/>
          <w:szCs w:val="44"/>
        </w:rPr>
      </w:pPr>
      <w:r w:rsidRPr="00D8758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西方文明史导论</w:t>
      </w:r>
    </w:p>
    <w:p w:rsidR="00D87587" w:rsidRDefault="00D87587">
      <w:pPr>
        <w:rPr>
          <w:rFonts w:hint="eastAsia"/>
        </w:rPr>
      </w:pP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一、每题20分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1、简述心灵价值和社会价值的诸多不同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2、简述古典美和诗性美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二、每题30分，3选2答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1、试论文艺复兴艺术与古典艺术在风格上的异同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2、但丁和彼特拉克在政治观、文艺观、历史观方面具有哪些不同？但丁没有直接参与佛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罗伦萨的文艺复兴运动，他又是如何成为意大利文艺复兴伟大先驱的？</w:t>
      </w:r>
    </w:p>
    <w:p w:rsidR="00D87587" w:rsidRDefault="00D87587" w:rsidP="00D87587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3、评价达芬奇的艺术成就和科学成就</w:t>
      </w:r>
    </w:p>
    <w:p w:rsidR="00D87587" w:rsidRPr="00D87587" w:rsidRDefault="00D87587"/>
    <w:sectPr w:rsidR="00D87587" w:rsidRPr="00D87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102" w:rsidRDefault="00550102" w:rsidP="00D87587">
      <w:r>
        <w:separator/>
      </w:r>
    </w:p>
  </w:endnote>
  <w:endnote w:type="continuationSeparator" w:id="1">
    <w:p w:rsidR="00550102" w:rsidRDefault="00550102" w:rsidP="00D875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102" w:rsidRDefault="00550102" w:rsidP="00D87587">
      <w:r>
        <w:separator/>
      </w:r>
    </w:p>
  </w:footnote>
  <w:footnote w:type="continuationSeparator" w:id="1">
    <w:p w:rsidR="00550102" w:rsidRDefault="00550102" w:rsidP="00D875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7587"/>
    <w:rsid w:val="00550102"/>
    <w:rsid w:val="00D87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7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75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7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758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8758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875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75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4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584</Characters>
  <DocSecurity>0</DocSecurity>
  <Lines>4</Lines>
  <Paragraphs>1</Paragraphs>
  <ScaleCrop>false</ScaleCrop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2012-12-20T06:55:00Z</dcterms:created>
  <dcterms:modified xsi:type="dcterms:W3CDTF">2012-12-20T06:59:00Z</dcterms:modified>
</cp:coreProperties>
</file>