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Análisis de Cohortes para los Pagos de Ironhack (Proyecto 1)</w:t>
      </w:r>
    </w:p>
    <w:p w:rsidR="00000000" w:rsidDel="00000000" w:rsidP="00000000" w:rsidRDefault="00000000" w:rsidRPr="00000000" w14:paraId="00000002">
      <w:pPr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Mezcua, Carol &amp; Tonzo, Vanina</w:t>
      </w:r>
    </w:p>
    <w:p w:rsidR="00000000" w:rsidDel="00000000" w:rsidP="00000000" w:rsidRDefault="00000000" w:rsidRPr="00000000" w14:paraId="00000003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b w:val="1"/>
          <w:color w:val="1f2328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f2328"/>
          <w:sz w:val="22"/>
          <w:szCs w:val="22"/>
          <w:rtl w:val="0"/>
        </w:rPr>
        <w:t xml:space="preserve">Análisis Exploratorio de Datos (EDA)</w:t>
      </w:r>
    </w:p>
    <w:p w:rsidR="00000000" w:rsidDel="00000000" w:rsidP="00000000" w:rsidRDefault="00000000" w:rsidRPr="00000000" w14:paraId="00000004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b w:val="1"/>
          <w:color w:val="1f2328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f2328"/>
          <w:sz w:val="22"/>
          <w:szCs w:val="22"/>
          <w:rtl w:val="0"/>
        </w:rPr>
        <w:t xml:space="preserve">1. Datos generales</w:t>
      </w:r>
    </w:p>
    <w:p w:rsidR="00000000" w:rsidDel="00000000" w:rsidP="00000000" w:rsidRDefault="00000000" w:rsidRPr="00000000" w14:paraId="00000005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color w:val="1f2328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color w:val="1f2328"/>
          <w:sz w:val="22"/>
          <w:szCs w:val="22"/>
          <w:rtl w:val="0"/>
        </w:rPr>
        <w:t xml:space="preserve">Ambos datasets tienen estructuras distintas pero relacionadas (por cash_request_id del datset fees y la columna id del datsset cash).</w:t>
      </w:r>
    </w:p>
    <w:p w:rsidR="00000000" w:rsidDel="00000000" w:rsidP="00000000" w:rsidRDefault="00000000" w:rsidRPr="00000000" w14:paraId="00000006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color w:val="1f2328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color w:val="1f2328"/>
          <w:sz w:val="22"/>
          <w:szCs w:val="22"/>
          <w:rtl w:val="0"/>
        </w:rPr>
        <w:t xml:space="preserve">Muchos campos tienen valores nulos: category en fees tiene datos en solo ~10% de las filas.</w:t>
      </w:r>
    </w:p>
    <w:p w:rsidR="00000000" w:rsidDel="00000000" w:rsidP="00000000" w:rsidRDefault="00000000" w:rsidRPr="00000000" w14:paraId="00000007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color w:val="1f2328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color w:val="1f2328"/>
          <w:sz w:val="22"/>
          <w:szCs w:val="22"/>
          <w:rtl w:val="0"/>
        </w:rPr>
        <w:t xml:space="preserve">En cash_requests, columnas como cash_request_received_date, money_back_date, send_at, y recovery_status tienen muchos valores ausentes o vacíos.</w:t>
      </w:r>
    </w:p>
    <w:p w:rsidR="00000000" w:rsidDel="00000000" w:rsidP="00000000" w:rsidRDefault="00000000" w:rsidRPr="00000000" w14:paraId="00000008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b w:val="1"/>
          <w:color w:val="1f2328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f2328"/>
          <w:sz w:val="22"/>
          <w:szCs w:val="22"/>
          <w:rtl w:val="0"/>
        </w:rPr>
        <w:t xml:space="preserve">2. Variables categóricas</w:t>
      </w:r>
    </w:p>
    <w:p w:rsidR="00000000" w:rsidDel="00000000" w:rsidP="00000000" w:rsidRDefault="00000000" w:rsidRPr="00000000" w14:paraId="00000009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color w:val="1f2328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color w:val="1f2328"/>
          <w:sz w:val="22"/>
          <w:szCs w:val="22"/>
          <w:rtl w:val="0"/>
        </w:rPr>
        <w:t xml:space="preserve">Status tiene valores como "accepted", "rejected" y "money_back" en distintos contextos.</w:t>
      </w:r>
    </w:p>
    <w:p w:rsidR="00000000" w:rsidDel="00000000" w:rsidP="00000000" w:rsidRDefault="00000000" w:rsidRPr="00000000" w14:paraId="0000000A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color w:val="1f2328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color w:val="1f2328"/>
          <w:sz w:val="22"/>
          <w:szCs w:val="22"/>
          <w:rtl w:val="0"/>
        </w:rPr>
        <w:t xml:space="preserve">Type en fees muestra "instant_payment", "incident" y otro tipo.</w:t>
      </w:r>
    </w:p>
    <w:p w:rsidR="00000000" w:rsidDel="00000000" w:rsidP="00000000" w:rsidRDefault="00000000" w:rsidRPr="00000000" w14:paraId="0000000B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b w:val="1"/>
          <w:color w:val="1f2328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f2328"/>
          <w:sz w:val="22"/>
          <w:szCs w:val="22"/>
          <w:rtl w:val="0"/>
        </w:rPr>
        <w:t xml:space="preserve">3. Variables temporales</w:t>
      </w:r>
    </w:p>
    <w:p w:rsidR="00000000" w:rsidDel="00000000" w:rsidP="00000000" w:rsidRDefault="00000000" w:rsidRPr="00000000" w14:paraId="0000000C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color w:val="1f2328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color w:val="1f2328"/>
          <w:sz w:val="22"/>
          <w:szCs w:val="22"/>
          <w:rtl w:val="0"/>
        </w:rPr>
        <w:t xml:space="preserve">Campos como created_at, updated_at, paid_at, reimbursement_date, etc. permiten hacer análisis temporal (por ejemplo, cuándo se crean solicitudes, cuánto demoran en pagarse, etc.).</w:t>
      </w:r>
    </w:p>
    <w:p w:rsidR="00000000" w:rsidDel="00000000" w:rsidP="00000000" w:rsidRDefault="00000000" w:rsidRPr="00000000" w14:paraId="0000000D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color w:val="1f2328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color w:val="1f2328"/>
          <w:sz w:val="22"/>
          <w:szCs w:val="22"/>
          <w:rtl w:val="0"/>
        </w:rPr>
        <w:t xml:space="preserve">Las fechas parecen estar bien formateadas, lo que facilita su conversión a tipo datetime.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f2328"/>
          <w:sz w:val="22"/>
          <w:szCs w:val="22"/>
          <w:rtl w:val="0"/>
        </w:rPr>
        <w:t xml:space="preserve">Nos quedamos con aquellos registros creados a partir del 2020 </w:t>
      </w:r>
      <w:r w:rsidDel="00000000" w:rsidR="00000000" w:rsidRPr="00000000">
        <w:rPr>
          <w:rFonts w:ascii="Helvetica Neue" w:cs="Helvetica Neue" w:eastAsia="Helvetica Neue" w:hAnsi="Helvetica Neue"/>
          <w:color w:val="1f2328"/>
          <w:sz w:val="22"/>
          <w:szCs w:val="22"/>
          <w:rtl w:val="0"/>
        </w:rPr>
        <w:t xml:space="preserve">(fecha en la que segun el enunciado se inicia esta metodologia), ya que los datos anteriores podrian haber sido gestionados bajo otros criterios y las metricas podrian verse afectadas.</w:t>
      </w:r>
    </w:p>
    <w:p w:rsidR="00000000" w:rsidDel="00000000" w:rsidP="00000000" w:rsidRDefault="00000000" w:rsidRPr="00000000" w14:paraId="0000000E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b w:val="1"/>
          <w:color w:val="1f2328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f2328"/>
          <w:sz w:val="22"/>
          <w:szCs w:val="22"/>
          <w:rtl w:val="0"/>
        </w:rPr>
        <w:t xml:space="preserve">4. Datos numéricos</w:t>
      </w:r>
    </w:p>
    <w:p w:rsidR="00000000" w:rsidDel="00000000" w:rsidP="00000000" w:rsidRDefault="00000000" w:rsidRPr="00000000" w14:paraId="0000000F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color w:val="1f2328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color w:val="1f2328"/>
          <w:sz w:val="22"/>
          <w:szCs w:val="22"/>
          <w:rtl w:val="0"/>
        </w:rPr>
        <w:t xml:space="preserve">Monto (total_amount en fees, amount en cash_requests) tiene distribuciones estrechas (principalmente 5 o 100 euros).</w:t>
      </w:r>
    </w:p>
    <w:p w:rsidR="00000000" w:rsidDel="00000000" w:rsidP="00000000" w:rsidRDefault="00000000" w:rsidRPr="00000000" w14:paraId="00000010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color w:val="1f2328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color w:val="1f2328"/>
          <w:sz w:val="22"/>
          <w:szCs w:val="22"/>
          <w:rtl w:val="0"/>
        </w:rPr>
        <w:t xml:space="preserve">Hay pocas variaciones en los montos, lo que puede simplificar el análisis de ingresos o tasas de recuperación.</w:t>
      </w:r>
    </w:p>
    <w:p w:rsidR="00000000" w:rsidDel="00000000" w:rsidP="00000000" w:rsidRDefault="00000000" w:rsidRPr="00000000" w14:paraId="00000011">
      <w:pPr>
        <w:shd w:fill="ffffff" w:val="clear"/>
        <w:spacing w:after="240" w:before="360" w:line="240" w:lineRule="auto"/>
        <w:jc w:val="center"/>
        <w:rPr>
          <w:rFonts w:ascii="Helvetica Neue" w:cs="Helvetica Neue" w:eastAsia="Helvetica Neue" w:hAnsi="Helvetica Neue"/>
          <w:color w:val="1f232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color w:val="1f2328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114300</wp:posOffset>
            </wp:positionV>
            <wp:extent cx="4772025" cy="3152775"/>
            <wp:effectExtent b="12700" l="12700" r="12700" t="12700"/>
            <wp:wrapSquare wrapText="bothSides" distB="114300" distT="114300" distL="114300" distR="114300"/>
            <wp:docPr descr="hkhsdjflsdjfdlj&#10;" id="1919688885" name="image2.png"/>
            <a:graphic>
              <a:graphicData uri="http://schemas.openxmlformats.org/drawingml/2006/picture">
                <pic:pic>
                  <pic:nvPicPr>
                    <pic:cNvPr descr="hkhsdjflsdjfdlj&#10;" id="0" name="image2.png"/>
                    <pic:cNvPicPr preferRelativeResize="0"/>
                  </pic:nvPicPr>
                  <pic:blipFill>
                    <a:blip r:embed="rId7"/>
                    <a:srcRect b="0" l="2540" r="653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1527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color w:val="1f232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color w:val="1f232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color w:val="1f232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color w:val="1f232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color w:val="1f232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color w:val="1f232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color w:val="1f232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color w:val="1f232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color w:val="1f2328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color w:val="1f2328"/>
          <w:sz w:val="22"/>
          <w:szCs w:val="22"/>
          <w:rtl w:val="0"/>
        </w:rPr>
        <w:t xml:space="preserve">Figura 1. Histograma de la frecuencia de monto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466725</wp:posOffset>
            </wp:positionV>
            <wp:extent cx="4257675" cy="3381375"/>
            <wp:effectExtent b="12700" l="12700" r="12700" t="12700"/>
            <wp:wrapSquare wrapText="bothSides" distB="114300" distT="114300" distL="114300" distR="114300"/>
            <wp:docPr id="191968888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324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3813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color w:val="1f232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color w:val="1f232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color w:val="1f232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color w:val="1f232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color w:val="1f232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color w:val="1f232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color w:val="1f232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color w:val="1f232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color w:val="1f232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color w:val="1f2328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color w:val="1f2328"/>
          <w:sz w:val="22"/>
          <w:szCs w:val="22"/>
          <w:rtl w:val="0"/>
        </w:rPr>
        <w:t xml:space="preserve">Figura 2. Distribucion del estatus en el dataset cash</w:t>
      </w:r>
    </w:p>
    <w:p w:rsidR="00000000" w:rsidDel="00000000" w:rsidP="00000000" w:rsidRDefault="00000000" w:rsidRPr="00000000" w14:paraId="00000026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b w:val="1"/>
          <w:color w:val="1f2328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142875</wp:posOffset>
            </wp:positionV>
            <wp:extent cx="5657850" cy="3676960"/>
            <wp:effectExtent b="12700" l="12700" r="12700" t="12700"/>
            <wp:wrapSquare wrapText="bothSides" distB="114300" distT="114300" distL="114300" distR="114300"/>
            <wp:docPr id="191968888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-2950" l="0" r="480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67696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b w:val="1"/>
          <w:color w:val="1f2328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color w:val="1f2328"/>
          <w:sz w:val="22"/>
          <w:szCs w:val="22"/>
          <w:rtl w:val="0"/>
        </w:rPr>
        <w:t xml:space="preserve">Figura 3. Distribucion del estatus en el datset Fees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214313</wp:posOffset>
            </wp:positionH>
            <wp:positionV relativeFrom="paragraph">
              <wp:posOffset>4010025</wp:posOffset>
            </wp:positionV>
            <wp:extent cx="4605338" cy="3494960"/>
            <wp:effectExtent b="12700" l="12700" r="12700" t="12700"/>
            <wp:wrapSquare wrapText="bothSides" distB="114300" distT="114300" distL="114300" distR="114300"/>
            <wp:docPr id="191968888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-2836" l="2083" r="608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349496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color w:val="1f232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color w:val="1f232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color w:val="1f232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color w:val="1f232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color w:val="1f232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color w:val="1f232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color w:val="1f232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color w:val="1f232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color w:val="1f232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color w:val="1f2328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color w:val="1f2328"/>
          <w:sz w:val="22"/>
          <w:szCs w:val="22"/>
          <w:rtl w:val="0"/>
        </w:rPr>
        <w:t xml:space="preserve">Figura 4. Evolucion en el tiempo de las solicitudes de prestamos</w:t>
      </w:r>
    </w:p>
    <w:p w:rsidR="00000000" w:rsidDel="00000000" w:rsidP="00000000" w:rsidRDefault="00000000" w:rsidRPr="00000000" w14:paraId="00000032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b w:val="1"/>
          <w:color w:val="1f2328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-14287</wp:posOffset>
            </wp:positionH>
            <wp:positionV relativeFrom="paragraph">
              <wp:posOffset>318932</wp:posOffset>
            </wp:positionV>
            <wp:extent cx="5079460" cy="3443288"/>
            <wp:effectExtent b="12700" l="12700" r="12700" t="12700"/>
            <wp:wrapSquare wrapText="bothSides" distB="114300" distT="114300" distL="114300" distR="114300"/>
            <wp:docPr id="191968888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9460" cy="34432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color w:val="1f232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color w:val="1f232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color w:val="1f232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color w:val="1f232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color w:val="1f232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color w:val="1f232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color w:val="1f232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color w:val="1f232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color w:val="1f232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40" w:before="360" w:line="240" w:lineRule="auto"/>
        <w:rPr>
          <w:rFonts w:ascii="Helvetica Neue" w:cs="Helvetica Neue" w:eastAsia="Helvetica Neue" w:hAnsi="Helvetica Neue"/>
          <w:b w:val="1"/>
          <w:color w:val="1f2328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color w:val="1f2328"/>
          <w:sz w:val="22"/>
          <w:szCs w:val="22"/>
          <w:rtl w:val="0"/>
        </w:rPr>
        <w:t xml:space="preserve">Figura 5. Frecuencia del tipo de comision o fee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No eliminaremos registros de la variable amount del dataset cash porque no consideramos outliers los pagos de 1 a 200</w:t>
      </w:r>
    </w:p>
    <w:p w:rsidR="00000000" w:rsidDel="00000000" w:rsidP="00000000" w:rsidRDefault="00000000" w:rsidRPr="00000000" w14:paraId="00000040">
      <w:pPr>
        <w:jc w:val="center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1f2328"/>
          <w:sz w:val="30"/>
          <w:szCs w:val="30"/>
          <w:rtl w:val="0"/>
        </w:rPr>
        <w:t xml:space="preserve">Análisis de la calidad de los datos y métricas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40" w:before="240" w:line="276" w:lineRule="auto"/>
        <w:jc w:val="both"/>
        <w:rPr>
          <w:rFonts w:ascii="Arial" w:cs="Arial" w:eastAsia="Arial" w:hAnsi="Arial"/>
          <w:b w:val="1"/>
          <w:color w:val="1f2328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1f2328"/>
          <w:sz w:val="30"/>
          <w:szCs w:val="30"/>
          <w:rtl w:val="0"/>
        </w:rPr>
        <w:t xml:space="preserve">Matriz de frecuencia de uso por cohorte y mes relativo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40" w:before="240" w:line="276" w:lineRule="auto"/>
        <w:jc w:val="both"/>
        <w:rPr>
          <w:rFonts w:ascii="Arial" w:cs="Arial" w:eastAsia="Arial" w:hAnsi="Arial"/>
          <w:b w:val="1"/>
          <w:color w:val="1f2328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1f2328"/>
          <w:sz w:val="22"/>
          <w:szCs w:val="22"/>
        </w:rPr>
        <w:drawing>
          <wp:inline distB="114300" distT="114300" distL="114300" distR="114300">
            <wp:extent cx="5943600" cy="2552700"/>
            <wp:effectExtent b="0" l="0" r="0" t="0"/>
            <wp:docPr descr="A screenshot of a graph&#10;&#10;AI-generated content may be incorrect." id="1919688883" name="image3.png"/>
            <a:graphic>
              <a:graphicData uri="http://schemas.openxmlformats.org/drawingml/2006/picture">
                <pic:pic>
                  <pic:nvPicPr>
                    <pic:cNvPr descr="A screenshot of a graph&#10;&#10;AI-generated content may be incorrect.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8.00000000000006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Descripción: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Filas: cohorte (mes del primer request por parte del usuario)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Columnas: meses transcurridos desde el primer uso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Valores: número de operaciones de cash en cada mes-cohorte (frecuencia de uso)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Color: intensidad del uso del servicio por cada cohorte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0" w:before="240" w:line="276" w:lineRule="auto"/>
        <w:jc w:val="both"/>
        <w:rPr>
          <w:rFonts w:ascii="Arial" w:cs="Arial" w:eastAsia="Arial" w:hAnsi="Arial"/>
          <w:b w:val="1"/>
          <w:color w:val="1f232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0" w:before="240" w:line="276" w:lineRule="auto"/>
        <w:jc w:val="both"/>
        <w:rPr>
          <w:rFonts w:ascii="Arial" w:cs="Arial" w:eastAsia="Arial" w:hAnsi="Arial"/>
          <w:b w:val="1"/>
          <w:color w:val="1f2328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1f2328"/>
          <w:sz w:val="22"/>
          <w:szCs w:val="22"/>
          <w:rtl w:val="0"/>
        </w:rPr>
        <w:t xml:space="preserve">Relación con calidad de datos:</w:t>
      </w:r>
    </w:p>
    <w:p w:rsidR="00000000" w:rsidDel="00000000" w:rsidP="00000000" w:rsidRDefault="00000000" w:rsidRPr="00000000" w14:paraId="00000054">
      <w:pPr>
        <w:shd w:fill="ffffff" w:val="clear"/>
        <w:spacing w:after="0" w:before="240" w:line="276" w:lineRule="auto"/>
        <w:jc w:val="both"/>
        <w:rPr>
          <w:rFonts w:ascii="Arial" w:cs="Arial" w:eastAsia="Arial" w:hAnsi="Arial"/>
          <w:color w:val="1f2328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1f2328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asignación correcta de la cohorte (tras unificar user_id y deleted_account_id, y filtrar por cash_request_received_date válida) asegura que cada usuario esté en la cohorte que le corresponde, y solo se cuentan operaciones reales.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La transformación a datetime permitió calcular correctamente el mes relativo y la evolución temporal.</w:t>
      </w:r>
    </w:p>
    <w:p w:rsidR="00000000" w:rsidDel="00000000" w:rsidP="00000000" w:rsidRDefault="00000000" w:rsidRPr="00000000" w14:paraId="00000057">
      <w:pPr>
        <w:shd w:fill="ffffff" w:val="clear"/>
        <w:spacing w:after="0" w:before="240" w:line="276" w:lineRule="auto"/>
        <w:jc w:val="both"/>
        <w:rPr>
          <w:rFonts w:ascii="Arial" w:cs="Arial" w:eastAsia="Arial" w:hAnsi="Arial"/>
          <w:color w:val="1f2328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1f2328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hd w:fill="ffffff" w:val="clear"/>
        <w:spacing w:after="0" w:before="240" w:line="276" w:lineRule="auto"/>
        <w:jc w:val="both"/>
        <w:rPr>
          <w:rFonts w:ascii="Arial" w:cs="Arial" w:eastAsia="Arial" w:hAnsi="Arial"/>
          <w:b w:val="1"/>
          <w:color w:val="1f2328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1f2328"/>
          <w:sz w:val="22"/>
          <w:szCs w:val="22"/>
          <w:rtl w:val="0"/>
        </w:rPr>
        <w:t xml:space="preserve">Conclusiones extraídas del gráfico: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 importante tener en cuenta que los datos se cortan a fecha 2020-11-01, por lo que los datos del cohorte 2020-11 podrían no ser representativos. Los cohortes 2020-10 y 2020-11 no han tenido tiempo suficiente para mostrar su evolución en meses posteriores.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observa una adopción muy fuerte el mes 0 para algunas cohortes recientes, y caída en el mes siguiente.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Los cohortes antiguos muestran menor volumen de operaciones que los cohortes creados a partir del 2020-06, quizás por un cambio de enfoque por parte de negocio o implementación de campañas de marketing.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Cohortes como 2020-10 y 2020-09 tienen un pico muy alto en el mes 0 (5046 y 2179 usos).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Muchos cohortes muestran una caída muy abrupta de uso tras el primer mes. El caso más notable se presenta en 2020-10: de 5046 a 16 en el mes siguiente. Esto podría indicar: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Falta de valor percibido tras el primer uso.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Problemas de satisfacción.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1440" w:right="0" w:hanging="36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Que el servicio se use solo una vez por necesidad puntual.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hd w:fill="ffffff" w:val="clear"/>
        <w:spacing w:after="240" w:before="360" w:line="276" w:lineRule="auto"/>
        <w:jc w:val="both"/>
        <w:rPr>
          <w:rFonts w:ascii="Arial" w:cs="Arial" w:eastAsia="Arial" w:hAnsi="Arial"/>
          <w:color w:val="1f2328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240" w:before="360" w:line="276" w:lineRule="auto"/>
        <w:jc w:val="both"/>
        <w:rPr>
          <w:rFonts w:ascii="Arial" w:cs="Arial" w:eastAsia="Arial" w:hAnsi="Arial"/>
          <w:b w:val="1"/>
          <w:color w:val="1f2328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color w:val="1f2328"/>
          <w:sz w:val="30"/>
          <w:szCs w:val="30"/>
          <w:rtl w:val="0"/>
        </w:rPr>
        <w:t xml:space="preserve">Matriz de tasa de incidentes por cohorte y mes relativo</w:t>
      </w:r>
    </w:p>
    <w:p w:rsidR="00000000" w:rsidDel="00000000" w:rsidP="00000000" w:rsidRDefault="00000000" w:rsidRPr="00000000" w14:paraId="00000064">
      <w:pPr>
        <w:spacing w:after="240" w:before="240" w:lineRule="auto"/>
        <w:jc w:val="both"/>
        <w:rPr>
          <w:rFonts w:ascii="Arial" w:cs="Arial" w:eastAsia="Arial" w:hAnsi="Arial"/>
          <w:b w:val="1"/>
          <w:color w:val="1f2328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color w:val="1f2328"/>
          <w:sz w:val="30"/>
          <w:szCs w:val="30"/>
        </w:rPr>
        <w:drawing>
          <wp:inline distB="114300" distT="114300" distL="114300" distR="114300">
            <wp:extent cx="5943600" cy="2552700"/>
            <wp:effectExtent b="0" l="0" r="0" t="0"/>
            <wp:docPr descr="A graph with red squares&#10;&#10;AI-generated content may be incorrect." id="1919688882" name="image1.png"/>
            <a:graphic>
              <a:graphicData uri="http://schemas.openxmlformats.org/drawingml/2006/picture">
                <pic:pic>
                  <pic:nvPicPr>
                    <pic:cNvPr descr="A graph with red squares&#10;&#10;AI-generated content may be incorrect.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Descripción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Filas: cohorte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Columnas: meses transcurridos desde la primera request del usuario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Valores: % de operaciones que acaban en incidente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240" w:before="0" w:beforeAutospacing="0" w:line="276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Color: rojo intenso = más incidentes</w:t>
      </w:r>
    </w:p>
    <w:p w:rsidR="00000000" w:rsidDel="00000000" w:rsidP="00000000" w:rsidRDefault="00000000" w:rsidRPr="00000000" w14:paraId="0000006A">
      <w:pPr>
        <w:spacing w:after="240" w:before="240"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Relación con calidad de datos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after="240" w:before="240" w:line="276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Solo se incluyen incidentes de fechas posteriores al 01-01-2020, que es cuando Ironhack creó este sistema.</w:t>
      </w:r>
    </w:p>
    <w:p w:rsidR="00000000" w:rsidDel="00000000" w:rsidP="00000000" w:rsidRDefault="00000000" w:rsidRPr="00000000" w14:paraId="0000006C">
      <w:pPr>
        <w:spacing w:after="240" w:before="240"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Interpretación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before="240" w:line="276" w:lineRule="auto"/>
        <w:ind w:left="720" w:hanging="36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Cohortes de abril-julio 2020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muestran tasas de incidente más altas, lo que podría reflejar problemas operativos o perfiles con más riesgo.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Cohortes recientes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tienen tasas mucho más bajas.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Cohortes como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2020-04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2020-05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2020-06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2020-07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presentan tasas de incidentes muy elevadas, alcanzando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0.20 (20%)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en algunos meses.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La tasa tiende a concentrarse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los primeros meses del ciclo de vida del usuario.</w:t>
      </w:r>
    </w:p>
    <w:p w:rsidR="00000000" w:rsidDel="00000000" w:rsidP="00000000" w:rsidRDefault="00000000" w:rsidRPr="00000000" w14:paraId="00000071">
      <w:pPr>
        <w:spacing w:after="240" w:before="24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360" w:line="276" w:lineRule="auto"/>
        <w:ind w:left="0" w:right="0" w:firstLine="0"/>
        <w:jc w:val="both"/>
        <w:rPr>
          <w:rFonts w:ascii="Arial" w:cs="Arial" w:eastAsia="Arial" w:hAnsi="Arial"/>
          <w:b w:val="1"/>
          <w:color w:val="1f2328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color w:val="1f2328"/>
          <w:sz w:val="30"/>
          <w:szCs w:val="30"/>
          <w:rtl w:val="0"/>
        </w:rPr>
        <w:t xml:space="preserve"> Ingresos generados por cohorte</w:t>
      </w:r>
    </w:p>
    <w:p w:rsidR="00000000" w:rsidDel="00000000" w:rsidP="00000000" w:rsidRDefault="00000000" w:rsidRPr="00000000" w14:paraId="00000073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2971800"/>
            <wp:effectExtent b="0" l="0" r="0" t="0"/>
            <wp:docPr descr="A graph with blue bars&#10;&#10;AI-generated content may be incorrect." id="1919688886" name="image7.png"/>
            <a:graphic>
              <a:graphicData uri="http://schemas.openxmlformats.org/drawingml/2006/picture">
                <pic:pic>
                  <pic:nvPicPr>
                    <pic:cNvPr descr="A graph with blue bars&#10;&#10;AI-generated content may be incorrect."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Descripción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Eje X: cohorte (mes del primer request del usuario)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Eje Y: ingresos totales generados (suma de fees)</w:t>
        <w:br w:type="textWrapping"/>
      </w:r>
    </w:p>
    <w:p w:rsidR="00000000" w:rsidDel="00000000" w:rsidP="00000000" w:rsidRDefault="00000000" w:rsidRPr="00000000" w14:paraId="00000077">
      <w:pPr>
        <w:spacing w:after="240" w:before="24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Interpretación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cohorte 2020-10 es el que presenta ingresos más elevados, seguido del cohorte del 2020-06 y 2020-07.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Los cohortes más antigüos han generado menos ingresos que los más recientes pese a que la fecha de corte es el 01-11-2020. Esto puede deberse a:</w:t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Mejor adquisición de usuarios.</w:t>
      </w:r>
    </w:p>
    <w:p w:rsidR="00000000" w:rsidDel="00000000" w:rsidP="00000000" w:rsidRDefault="00000000" w:rsidRPr="00000000" w14:paraId="0000007B">
      <w:pPr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Mejor producto u oferta.</w:t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Mayor volumen o recurrencia de uso.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8.00000000000006" w:lineRule="auto"/>
        <w:ind w:left="72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cohorte 2020-11 no presenta la información completa de un mes y no tiene la antigüedad suficiente para poder proceder a un análisis completo.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ind w:left="108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360" w:line="276" w:lineRule="auto"/>
        <w:ind w:left="0" w:right="0" w:firstLine="0"/>
        <w:jc w:val="both"/>
        <w:rPr>
          <w:rFonts w:ascii="Arial" w:cs="Arial" w:eastAsia="Arial" w:hAnsi="Arial"/>
          <w:b w:val="1"/>
          <w:color w:val="1f2328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color w:val="1f2328"/>
          <w:sz w:val="30"/>
          <w:szCs w:val="30"/>
          <w:rtl w:val="0"/>
        </w:rPr>
        <w:t xml:space="preserve">Proporción de usuarios problemáticos por cohorte </w:t>
      </w:r>
    </w:p>
    <w:p w:rsidR="00000000" w:rsidDel="00000000" w:rsidP="00000000" w:rsidRDefault="00000000" w:rsidRPr="00000000" w14:paraId="00000082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2971800"/>
            <wp:effectExtent b="0" l="0" r="0" t="0"/>
            <wp:docPr descr="A graph of blue bars&#10;&#10;AI-generated content may be incorrect." id="1919688881" name="image9.png"/>
            <a:graphic>
              <a:graphicData uri="http://schemas.openxmlformats.org/drawingml/2006/picture">
                <pic:pic>
                  <pic:nvPicPr>
                    <pic:cNvPr descr="A graph of blue bars&#10;&#10;AI-generated content may be incorrect."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Descripción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Eje X: cohorte (mes del primer request del usuario)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Eje Y: Proporción de usuarios preocupantes dentro de cada cohorte, es decir, usuarios con más de 3 incidencias.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Altura de la barra: porcentaje de usuarios problemáticos sobre el total de esa cohorte.</w:t>
        <w:br w:type="textWrapping"/>
      </w:r>
    </w:p>
    <w:p w:rsidR="00000000" w:rsidDel="00000000" w:rsidP="00000000" w:rsidRDefault="00000000" w:rsidRPr="00000000" w14:paraId="00000087">
      <w:pPr>
        <w:spacing w:after="240" w:before="24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Interpretación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 w:before="240" w:line="276" w:lineRule="auto"/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pico de usuarios problemáticos se concentra en 2020-04 a 2020-06. En 2020-04 la tasa de usuarios preocupantes supera el 40%, y sigue alta en 2020-05 y 2020-06.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240" w:before="0" w:beforeAutospacing="0" w:line="276" w:lineRule="auto"/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partir de 2020-08 el porcentaje cae, probablemente porque la fecha de corte es el 01-11-2020.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360" w:line="276" w:lineRule="auto"/>
        <w:ind w:left="0" w:right="0" w:firstLine="0"/>
        <w:jc w:val="both"/>
        <w:rPr>
          <w:rFonts w:ascii="Arial" w:cs="Arial" w:eastAsia="Arial" w:hAnsi="Arial"/>
          <w:b w:val="1"/>
          <w:color w:val="1f2328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color w:val="1f2328"/>
          <w:sz w:val="30"/>
          <w:szCs w:val="30"/>
          <w:rtl w:val="0"/>
        </w:rPr>
        <w:t xml:space="preserve">Conclusiones Finales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análisis realizado sobre los cohortes ha permitido identificar patrones de uso, incidentes e ingresos a lo largo de 11 meses.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limpieza y revisión de la calidad de los datos han sido esenciales para asegurar la fiabilidad de los resultados y evitar sesgos o interpretaciones erróneas.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Aunque se han observado diferencias notables entre cohortes, es recomendable seguir monitorizando su evolución y profundizar en el análisis conforme se disponga de más datos y madure el histórico.</w:t>
      </w:r>
    </w:p>
    <w:p w:rsidR="00000000" w:rsidDel="00000000" w:rsidP="00000000" w:rsidRDefault="00000000" w:rsidRPr="00000000" w14:paraId="0000008F">
      <w:pPr>
        <w:spacing w:after="240" w:befor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91">
      <w:pPr>
        <w:jc w:val="both"/>
        <w:rPr>
          <w:rFonts w:ascii="Helvetica Neue" w:cs="Helvetica Neue" w:eastAsia="Helvetica Neue" w:hAnsi="Helvetica Neue"/>
          <w:b w:val="1"/>
          <w:color w:val="1f2328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00557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00557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00557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0557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0557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00557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00557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00557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0557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00557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00557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00557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00557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00557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00557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00557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00557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00557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00557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0557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005570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00557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</w:rPr>
  </w:style>
  <w:style w:type="character" w:styleId="Strong">
    <w:name w:val="Strong"/>
    <w:basedOn w:val="DefaultParagraphFont"/>
    <w:uiPriority w:val="22"/>
    <w:qFormat w:val="1"/>
    <w:rsid w:val="00005570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005570"/>
    <w:rPr>
      <w:i w:val="1"/>
      <w:i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005570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YVBvlcDo2pMMDMy7lDd+QqBzog==">CgMxLjA4AHIhMWtLTjczM3VXQjB3M2tIeGJaY1p3NGpHSlFvY0w2UEg2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2025-07-17T07:58:00Z</dcterms:created>
  <dc:creator>Vanina Tonzo</dc:creator>
</cp:coreProperties>
</file>