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firstLine="720"/>
        <w:jc w:val="both"/>
        <w:rPr/>
      </w:pPr>
      <w:bookmarkStart w:colFirst="0" w:colLast="0" w:name="_56nkpljl9glt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RELATÓRIO DE BENCHMARKING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ab/>
        <w:t xml:space="preserve">O benchmarking é essencial na etapa inicial da criação de um projeto. Seu principal objetivo é comparar as concorrentes atuais que estão no mercado, assim é possível visualizar, de forma mais clara, suas vantagens e desvantagens. Nesse sentido, consequentemente, pode-se aproveitar para implementar o que se achar necessário para o projeto. Abaixo está uma análise feita das três grandes concorrentes e, em sequência, uma tabela comparativa, de fato, para ter uma visualização melhor sobre o cenário.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Hotmart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Público e Alcance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Hotmart atua como um hub abrangente, atendendo a um vasto público.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um lado, atrai criadores de conteúdo, produtores digitais, educadores, especialistas, que buscam uma plataforma robusta para hospedar, vender e gerenciar seus cursos online, e-books e outros produtos digitais.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 outro, serve a um público global interessado em adquirir conhecimentos diversos, com forte ênfase em marketing digital, empreendedorismo e desenvolvimento pessoal e profissional.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de Negócio e Geração de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A plataforma adota um modelo de negócio estratégico para incentivar a criação de conteúdo de qualidade.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os produtores, o acesso à plataforma é gratuito, eliminando barreiras financeiras iniciais.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Hotmart lucra com uma comissão percentual sobre cada venda realizada.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Este modelo alinha os interesses da plataforma com os dos criadores: quanto mais sucesso os produtos digitais dos criadores alcançam, maior a receita para todas as partes, incentivando os produtores a focar na qualidade e na divulgação de seu trabalho, enquanto a Hotmart otimiza as ferramentas de venda e distribuição.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Diferenciais e Funcionalidades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Hotmart se destaca por oferecer um ambiente altamente personalizável para os criadores de conteúdo.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Isso inclui diversas ferramentas essenciais para o lançamento e a gestão de produtos digitais, como a criação de </w:t>
      </w:r>
      <w:r w:rsidDel="00000000" w:rsidR="00000000" w:rsidRPr="00000000">
        <w:rPr>
          <w:i w:val="1"/>
          <w:rtl w:val="0"/>
        </w:rPr>
        <w:t xml:space="preserve">landing pages</w:t>
      </w:r>
      <w:r w:rsidDel="00000000" w:rsidR="00000000" w:rsidRPr="00000000">
        <w:rPr>
          <w:rtl w:val="0"/>
        </w:rPr>
        <w:t xml:space="preserve"> otimizadas para conversão, sistemas de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seguros e eficientes, e áreas de membros personalizáveis para a entrega do conteúdo.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Além disso, a plataforma investe significativamente em tecnologia de ponta para auxiliar os educadores a potencializar seus ganhos, como ferramentas de </w:t>
      </w:r>
      <w:r w:rsidDel="00000000" w:rsidR="00000000" w:rsidRPr="00000000">
        <w:rPr>
          <w:i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, automação de marketing e integração com outras plataformas.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Experiência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A facilidade de uso é um dos grandes pilares da Hotmart.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interface é intuitiva e fácil de navegar, tanto para quem produz quanto para quem consome o conteúdo.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design responsivo garante que a plataforma funcione adequadamente em diversos dispositivos, seja no computador, tablet ou celular, proporcionando uma experiência consistente e agradável para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Público e Alcance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Udemy se distingue por possuir um público global e extremamente diversificado, abrangendo desde estudantes que desejam aprimorar habilidades específicas até profissionais experientes que buscam atualização ou transição de carreira.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plataforma oferece uma ampla variedade de cursos, desde níveis iniciantes até os mais avançados, em praticamente todas as áreas do conhecimento, de programação e design a culinária e bem-estar.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de Negócio e Geração de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O modelo de negócio da Udemy baseia-se na compra individual de cursos.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Os usuários pagam um valor único por cada curso desejado e, uma vez adquirido, têm acesso vitalício ao conteúdo.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Essa abordagem oferece grande liberdade e controle sobre o processo de aprendizado, permitindo que os alunos avancem em seu próprio ritmo e revisitem o material sempre que necessário.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receita é dividida entre a Udemy e os instrutores, o que incentiva a criação de cursos de alta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Diferenciais 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O principal diferencial da Udemy é sua vasta biblioteca, que ultrapassa 100 mil cursos.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plataforma beneficia-se de um robusto sistema de avaliações e comentários dos alunos, que desempenha um papel crucial na decisão de compra de novos usuários.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Esse sistema de feedback contínuo não só auxilia a comunidade a descobrir os cursos mais bem avaliados e relevantes, mas também fornece </w:t>
      </w:r>
      <w:r w:rsidDel="00000000" w:rsidR="00000000" w:rsidRPr="00000000">
        <w:rPr>
          <w:i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 valiosos para os instrutores aprimorarem seus materiais e metodologias de ensino.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Experiência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A Udemy é amplamente reconhecida por sua interface amigável e facilidade de navegação.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Um sistema de busca eficiente permite que os usuários encontrem rapidamente os cursos de seu interesse.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design é limpo e descomplicado, priorizando a funcionalidade e garantindo que o processo de descoberta e aquisição de conhecimento seja o mais direto e intuitivo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Público e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Coursera direciona-se a um público mais seleto, focado em educação de nível universitário e profissionalizante.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Seu grande atrativo são as parcerias estratégicas com universidades de renome mundial, como Harvard, Cambridge, Stanford, Yale, e empresas líderes de mercado.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Essa conexão com instituições de prestígio atrai estudantes e profissionais que buscam certificações e diplomas que valorizam o currículo.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de Negócio e Geração de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Coursera opera com um modelo híbrido.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Oferece diversos cursos gratuitos, com a opção de adquirir um certificado verificado mediante pagamento.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Além disso, disponibiliza especializações completas, programas de graduação e pós-graduação, e diplomas que exigem um investimento financeiro mais significativo.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Esse modelo permite o acesso ao conhecimento, ao mesmo tempo em que monetiza a validação formal do aprendizado.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Diferenciais e Funcionalidades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plataforma se destaca pela integração de recursos tecnológicos avançados para aprimorar o processo de ensino-aprendizagem.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Isso inclui o uso de inteligência artificial para personalizar o aprendizado, simulações interativas, testes e projetos práticos que simulam desafios da vida real.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foco é proporcionar uma experiência de aprendizado aprofundada e organizada, com feedback imediato e oportunidades de aplicar o conhecimento adquirido.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Experiência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design da Coursera reflete sua missão de excelência acadêmica.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interface é profissional e intuitiva, transmitindo uma sensação de seriedade e credibilidade.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usabilidade é pensada nos mínimos detalhes para facilitar um aprendizado estruturado, com trilhas de conhecimento bem definidas e um ambiente que incentiva a disciplina e a evolução acadêmica.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base na análise aprofundada das plataformas líderes de mercado, foi identificado diversas oportunidades estratégicas que podem diferenciar nosso site e garantir sua competitividade e sucesso.</w:t>
      </w:r>
      <w:r w:rsidDel="00000000" w:rsidR="00000000" w:rsidRPr="00000000">
        <w:rPr>
          <w:rtl w:val="0"/>
        </w:rPr>
        <w:t xml:space="preserve"> Lembrando que essas são apenas algumas observações, que ao meu ver, podem ser vantajosas, mas não necessariamente serão implementadas em nosso projeto.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Gamificação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Observamos que a maioria dos concorrentes ainda não explora o potencial da gamificação para reter a atenção dos usuários.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incorporação de elementos de jogo, como sistemas de pontos, distintivos, medalhas, “</w:t>
      </w:r>
      <w:r w:rsidDel="00000000" w:rsidR="00000000" w:rsidRPr="00000000">
        <w:rPr>
          <w:rtl w:val="0"/>
        </w:rPr>
        <w:t xml:space="preserve">rankings”</w:t>
      </w:r>
      <w:r w:rsidDel="00000000" w:rsidR="00000000" w:rsidRPr="00000000">
        <w:rPr>
          <w:rtl w:val="0"/>
        </w:rPr>
        <w:t xml:space="preserve"> e desafios, pode transformar a experiência de estudo em algo mais dinâmico e motivador.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Inspirando-nos em plataformas como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Herospark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e “Kahoot!”, podemos criar um ambiente onde o aprendizado é recompensador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Foco em Nicho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 vez de tentar competir diretamente com gigantes como Udemy e Hotmart em uma gama infinita de temas, uma estratégia mais assertiva seria focar em um nicho de mercado específico dentro do universo universitário.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Ao nos especializarmos em áreas como, por exemplo, "resumos e materiais para cursos de engenharia", "troca de conhecimento em ciências da saúde" ou "mentoria acadêmica para calouros de direito", podemos construir uma autoridade inquestionável nesse segmento.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Isso nos permitirá atender às necessidades específicas desse público de forma mais eficaz, criar uma comunidade engajada e gerar um boca a boca orgânico que impulsionará o crescimento.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Experiência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Embora muitos concorrentes possuam designs competentes, sempre há espaço para aprimorar a experiência do usuário.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Nosso objetivo será criar uma interface mais simples, com navegação altamente intuitiva e um design ainda mais limpo e descomplicado.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Queremos que nossos usuários se sintam totalmente à vontade na plataforma, sem nunca se sentirem perdidos ou sobrecarregados.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Cada interação deve ser fluida e proposital, otimizando o tempo de estudo e a troca de informações.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Um design minimalista e focado na funcionalidade será um diferencial.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Comunidade Ativa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criação de uma comunidade vibrante e interativa é fundamental para o sucesso do nosso projeto.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Mais do que um repositório de conhecimento, queremos que nosso aplicativo seja um espaço onde os usuários possam interagir, trocar ideias, sanar dúvidas, oferecer e receber ajuda, e construir uma rede de apoio acadêmico.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Modelos como o sistema de comentários da Udemy em seus cursos demonstram o poder da interação.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Comparativa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tabela feita abaixo foi feita para visualizar melhor os concorrentes, obtendo assim uma análise mais objetiva e resumida. Nela foram levantados os pontos mais importantes, ao meu ver, na criação de um site (público-alvo, custo, usabilidade e funcionalidades) e comparadas diretamente entre si.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Hotmart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Udemy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Público-alvo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Criadores de conteúdo e alunos. Foco em marketing digital e vendas.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Amplo e global, de iniciantes a profissionais.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Focado em estudantes e profissionais que buscam certificações e diplomas de alta credibilidade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Gratuito para o criador, mas cobra uma comissão sobre a venda.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Cursos individuais com acesso vitalício. Preços flexíveis e promoções frequentes.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Muitos cursos gratuitos para audição, mas certificações e diplomas são pagos.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 intuitiva e responsiva. Ambiente customizável para o criador.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Fácil de navegar. Sistema de busca eficiente para encontrar cursos na biblioteca.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 limpo e profissional, otimizado para uma experiência de aprendizado estruturada.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Funcionalidades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Ecossistema completo para vendas e marketing. 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Biblioteca muito ampla. Sistema de avaliação e feedback de alunos.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Parcerias com universidades. Cursos, especializações e diplomas online. 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tabela feita acima foi feita para visualizar melhor os concorrentes, obtendo assim uma análise mais objetiva e resumida. Nela foram levantados os pontos mais importantes, ao meu ver, na criação de um site (público-alvo, custo, usabilidade e funcionalidades) e comparadas diretamente entre si.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