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TERMOS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Aceitação dos Termos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Ao acessar e utilizar este aplicativo web, o usuário declara aceitar e concordar em cumprir integralmente os presentes Termos de Uso e a Política de Privacidade.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Caso o usuário não concorde com os termos aqui dispostos, o serviço não deverá ser utilizado.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Elegibilidade 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declara possuir idade igual ou superior a 13 anos para a utilização de nossos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é responsável por manter a confidencialidade de sua conta e senha.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Qualquer atividade decorrente da utilização de sua conta é de sua inteira responsabilidade.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concorda em fornecer informações precisas e completas no ato do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Conduta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concorda em não utilizar o aplicativo web para atividades ilegais ou que violem os direitos de terceiros.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É estritamente proibido o envio de spam, conteúdo malicioso ou a participação em qualquer atividade que comprometa a segurança da plataforma ou de outros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não poderá copiar, modificar ou tentar obter o código-fonte do aplicativo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É vedada a utilização do serviço para a realização de ataques de negação de serviço (DDoS) ou qualquer outra ação que prejudique a infraestrutura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Direitos de Propriedade Intelectual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Todo o conteúdo do site, incluindo, mas não se limitando a textos, gráficos, logotipos, ícones e vídeos, pertence a \[Seu Nome ou Nome da Equipe\] e é protegido por leis de direitos autorais.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usuário não poderá utilizar, modificar ou distribuir este conteúdo sem nossa expressa permissão.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Limitação de Responsabilidade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serviço é fornecido "no estado em que se encontra", sem garantias de qualquer natureza.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 nenhuma circunstância seremos responsáveis por danos diretos, indiretos, incidentais ou perdas de dados resultantes do uso ou da incapacidade de usar o aplicativo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Alterações nos Termos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720"/>
        <w:jc w:val="both"/>
        <w:rPr/>
      </w:pPr>
      <w:r w:rsidDel="00000000" w:rsidR="00000000" w:rsidRPr="00000000">
        <w:rPr>
          <w:rtl w:val="0"/>
        </w:rPr>
        <w:t xml:space="preserve">Reservamo-nos o direito de modificar estes Termos de Uso a qualquer momento.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 alterações entrarão em vigor após sua publicação no site.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continuidade do uso do serviço após as modificações constitui a aceitação dos novos termos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Lei Aplicável e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Estes Termos de Uso serão regidos e interpretados de acordo com as leis da República Federativa do Brasil.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Qualquer disputa legal relacionada a este documento será resolvida no foro da comarca de Rio de Janeiro/RJ.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