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Normal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bookmarkStart w:id="1" w:name="%3Aec.co"/>
      <w:bookmarkEnd w:id="1"/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Introdução à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análise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espacial com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responsáveis</w:t>
      </w:r>
    </w:p>
    <w:p>
      <w:pPr>
        <w:pStyle w:val="Normal"/>
        <w:shd w:fill="FFFFFF" w:val="clear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</w:t>
      </w: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rof. Dr. Milton Cezar Ribeiro</w:t>
      </w:r>
    </w:p>
    <w:p>
      <w:pPr>
        <w:pStyle w:val="Normal"/>
        <w:shd w:fill="FFFFFF" w:val="clear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2" w:name="docs-internal-guid-a11ac729-7fff-0b8e-d9"/>
      <w:bookmarkEnd w:id="2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Me. Maurício Humberto Vancine</w:t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alunos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3" w:name="_GoBack"/>
      <w:bookmarkEnd w:id="3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Teórico-prático: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/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–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/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 [0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:00 h - 12:00 h | 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: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 h - 1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: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0 h]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(30 horas)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Exercícios-atividades assistidas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remotamente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: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/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–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/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 (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30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horas)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 disciplina</w:t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181717"/>
          <w:sz w:val="22"/>
          <w:szCs w:val="22"/>
        </w:rPr>
      </w:pPr>
      <w:hyperlink r:id="rId2">
        <w:r>
          <w:rPr>
            <w:rStyle w:val="InternetLink"/>
            <w:rFonts w:eastAsia="Ubuntu" w:cs="Ubuntu" w:ascii="Ubuntu" w:hAnsi="Ubuntu"/>
            <w:b w:val="false"/>
            <w:bCs w:val="false"/>
            <w:color w:val="0000FF"/>
            <w:sz w:val="22"/>
            <w:szCs w:val="22"/>
            <w:u w:val="single"/>
          </w:rPr>
          <w:t>https://github.com/mauriciovancine/disciplina-analise-geoespacial-r</w:t>
        </w:r>
      </w:hyperlink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disciplina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oferecerá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os principais conceitos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teórico-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práticos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introdutórios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de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análises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espaciais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aplicado à Ecologia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 parte prática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ser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á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desenvolvid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através de ferramentas na linguagem R.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Serão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abordados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os seguintes temas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: (i)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c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ontrole de versão, Git e GitHub,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(ii)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introdução e funcionamento da linguagem R e do software RStudio, (ii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estrutura e manejo de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na linguagem 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v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funcionamento do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tidyverse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v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strutura e fonte de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espaciais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(v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manejo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geoespaciais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vetor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(v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manejo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geoespaciais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(raster)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(vii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produção de mapas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. A carga horária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total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será de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horas, onde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nos cinco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dia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iniciais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serão ministrados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horas teóricas-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práticas, n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um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total de 30 horas.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horas restantes serão direcionadas à realização de exercícios práticos, que serão aplicados remotamente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como forma de avaliação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para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compor a nota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final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da disciplina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Após a realização da disciplina, 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spera-se que 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alunos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adquiram conceitos gerais da estrutura e manipulação de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espaciais, assim como domínio das técnicas e métodos para alcançar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autonomia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produzir soluções para suas próprias questões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relativas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ao geoprocessamento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0 Controle de versão, Git e GitHub (segunda)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0.0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conferir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os notebooks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 PCs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0.1 Controle de versão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0.2 Git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0.3 GitHub,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GitLab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BitBucket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0.4 Funcionamento do controle de versão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0.5 Fork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0.6 Clone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Bra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n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ch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Add e Commit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Push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Pull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Controle de versão no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1 Linguagem R, aplicações e material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1.1 Linguagem R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1.2 Linguagem R vs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API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1.3 Aplicações da linguagem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1.4 Apostilas, sites e livros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4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4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2.1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API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2.2 Editor/Roteiro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script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2.3 Comentários (#)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2.4 Atribuição(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&lt;-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Funções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Pacotes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Ambiente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environment/workspace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Ajuda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help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Citações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Principais erros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3 Estrutura e manejo de dados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na linguagem R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3.1 Atributos dos 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3.2 Modos dos objetos (numeric, character e logical)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3.3 Estrutura dos objetos (vector, factor, matrix, data frame e list)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3.4 Manejo de dados unidimensionais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3.5 Manejo de dados bidimensionais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3.6 Valores faltantes e especiais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3.7 Diretório de trabalho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3.8 Importar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3.9 Conferir e manejar dados importados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3.10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 xml:space="preserve">tidyverse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terça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4.1 tidyverse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4.2 readr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4.3 readxl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4.4 tibble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4.5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4.6 dplyr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4.7 tidyr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4.8 stringr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4.9 forcats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4.10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>5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fonte de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dados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espaciais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quarta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Geoprocessamento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(cartografia, GPS, sensoriamento remoto e 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5.2 Cartografia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(escala, sistemas de coordenadas e Datum)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5.3 GPS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(Global Positioning System)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5.4 Sensoriamento Remoto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(bandas, satélites, resoluções e aplicações)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5.5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Sistemas de Informações Geográfica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(SIG)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5.6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D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ados espaciais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(vetor e raster)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5.7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Dados vetoriais (ponto, linha e polígono)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Tabela de atributos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5.9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Formato de arquivos vetoriais (shapefile - 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dbf, .prj, .shx, .shp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5.10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Dados matriciais (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gride ou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raster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5.11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Formatos de arquivos matriciais (.tif)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5.12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Banco de dados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espaciais (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geopackage - .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gpkg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5.13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Repositórios de dados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espaciais (IBGE,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FBDS, MapBiomas, GeoBank, GADM, Natural Earth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,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USGS, SRTM, WorldClim, EarthEnv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6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manejo de dados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geo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espaciais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(vetor)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quarta-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quinta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6.1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Material e p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acotes para análise de dados espacias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6.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Vetor: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pacote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sf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6.3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4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T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ipos de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5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Estrutura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de dados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P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rojeção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6.8 Tabela de atributos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6.9 Operações de atributos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6.10 Operações geométricas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11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O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pera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ções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espaciais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Estrutura e manejo de dados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geo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espaciais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raster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)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quinta-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sexta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Raster: pacote raster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3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T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ipos de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4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Estrutura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5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P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rojeção 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anipulando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O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peração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g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eométricas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O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peração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espaciais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9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Vetor para raster: pacote fasterize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</w:t>
      </w: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P</w:t>
      </w:r>
      <w:r>
        <w:rPr>
          <w:rFonts w:eastAsia="Ubuntu" w:cs="Ubuntu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rodução de mapas</w:t>
      </w:r>
      <w:r>
        <w:rPr>
          <w:rFonts w:eastAsia="Ubuntu" w:cs="Ubuntu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sexta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8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Elaboração de mapa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ggplot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e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 tmap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</w:t>
      </w:r>
      <w:r>
        <w:rPr>
          <w:rFonts w:ascii="Ubuntu" w:hAnsi="Ubuntu"/>
          <w:b/>
          <w:bCs/>
          <w:color w:val="000000"/>
          <w:sz w:val="22"/>
          <w:szCs w:val="22"/>
        </w:rPr>
        <w:t>s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2012.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3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https://cdn2.hubspot.net/hubfs/2287011/Atlan%20GIS%20Course/All%20lessons.pdf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 ed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Brunsdon C, Comber L. 2015.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Guide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2016.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DOI:10.22224/gistbok/2019.1.3.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[</w:t>
      </w:r>
      <w:hyperlink r:id="rId4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5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2008.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Spatial Ecology and Conservation Modeling: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2016. </w:t>
      </w:r>
      <w:bookmarkStart w:id="5" w:name="productTitle"/>
      <w:bookmarkStart w:id="6" w:name="title"/>
      <w:bookmarkEnd w:id="5"/>
      <w:bookmarkEnd w:id="6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6">
        <w:r>
          <w:rPr>
            <w:rStyle w:val="InternetLink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Data Visualization: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Princeton University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Hijmans, R. 201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[</w:t>
      </w:r>
      <w:hyperlink r:id="rId7">
        <w:r>
          <w:rPr>
            <w:rStyle w:val="InternetLink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2010.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2.ed. Springer.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8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RI. 2015.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2.ed.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Manning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2017.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2017.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ovelace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, Nowosad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J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, Muenchow,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J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2019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Chapman and Hall/CRC.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9">
        <w:r>
          <w:rPr>
            <w:rStyle w:val="InternetLink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UEFS Editora.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10">
        <w:r>
          <w:rPr>
            <w:rStyle w:val="InternetLink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7" w:name="title1"/>
      <w:bookmarkStart w:id="8" w:name="productTitle1"/>
      <w:bookmarkEnd w:id="7"/>
      <w:bookmarkEnd w:id="8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2011.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2018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Ciência de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IBPAD.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[</w:t>
      </w:r>
      <w:hyperlink r:id="rId11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2018.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10(1):439–446.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</w:t>
      </w: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2019. </w:t>
      </w:r>
      <w:r>
        <w:rPr>
          <w:rStyle w:val="Emphasis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. </w:t>
      </w: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[</w:t>
      </w:r>
      <w:hyperlink r:id="rId12">
        <w:r>
          <w:rPr>
            <w:rStyle w:val="InternetLink"/>
            <w:rFonts w:ascii="Ubuntu" w:hAnsi="Ubuntu"/>
            <w:b w:val="false"/>
            <w:bCs w:val="false"/>
            <w:i/>
            <w:i/>
            <w:iCs/>
            <w:color w:val="000000"/>
            <w:sz w:val="22"/>
            <w:szCs w:val="22"/>
          </w:rPr>
          <w:t>https://keen-swartz-3146c4.netlify.com/</w:t>
        </w:r>
      </w:hyperlink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Release 3.4.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[</w:t>
      </w:r>
      <w:hyperlink r:id="rId13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https://docs.qgis.org/3.4/pdf/pt_BR/QGIS-3.4-QGISTrainingManual-pt_BR.pdf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R Core Team. 20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20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4">
        <w:r>
          <w:rPr>
            <w:rStyle w:val="InternetLink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2011.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15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Xavier-da-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–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44.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M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, Leutner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B,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Dech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2016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H,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Grolemund,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2017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O'Reilly Media.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[</w:t>
      </w:r>
      <w:hyperlink r:id="rId16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2 ed. Chapman and Hall/CRC.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17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9" w:name="productTitle3"/>
      <w:bookmarkStart w:id="10" w:name="title3"/>
      <w:bookmarkEnd w:id="9"/>
      <w:bookmarkEnd w:id="10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2016.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2 ed.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1" w:name="title2"/>
      <w:bookmarkStart w:id="12" w:name="productTitle2"/>
      <w:bookmarkEnd w:id="11"/>
      <w:bookmarkEnd w:id="12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O'Reilly Media.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[</w:t>
      </w:r>
      <w:hyperlink r:id="rId18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</w:r>
    </w:p>
    <w:sectPr>
      <w:headerReference w:type="default" r:id="rId19"/>
      <w:footerReference w:type="default" r:id="rId20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auto"/>
    <w:pitch w:val="variable"/>
  </w:font>
  <w:font w:name="Ubuntu">
    <w:altName w:val="sans-serif"/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InternetLink">
    <w:name w:val="Hyperlink"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kinsoku w:val="true"/>
      <w:overflowPunct w:val="true"/>
      <w:autoSpaceDE w:val="true"/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vancine/disciplina-analise-geoespacial-r" TargetMode="External"/><Relationship Id="rId3" Type="http://schemas.openxmlformats.org/officeDocument/2006/relationships/hyperlink" Target="https://cdn2.hubspot.net/hubfs/2287011/Atlan GIS Course/All lessons.pdf" TargetMode="External"/><Relationship Id="rId4" Type="http://schemas.openxmlformats.org/officeDocument/2006/relationships/hyperlink" Target="https://cengel.github.io/R-intro/" TargetMode="External"/><Relationship Id="rId5" Type="http://schemas.openxmlformats.org/officeDocument/2006/relationships/hyperlink" Target="https://cengel.github.io/R-spatial/" TargetMode="External"/><Relationship Id="rId6" Type="http://schemas.openxmlformats.org/officeDocument/2006/relationships/hyperlink" Target="https://web.stanford.edu/~hastie/ElemStatLearn/" TargetMode="External"/><Relationship Id="rId7" Type="http://schemas.openxmlformats.org/officeDocument/2006/relationships/hyperlink" Target="http://rspatial.org/" TargetMode="External"/><Relationship Id="rId8" Type="http://schemas.openxmlformats.org/officeDocument/2006/relationships/hyperlink" Target="http://faculty.marshall.usc.edu/gareth-james/ISL/" TargetMode="External"/><Relationship Id="rId9" Type="http://schemas.openxmlformats.org/officeDocument/2006/relationships/hyperlink" Target="https://geocompr.robinlovelace.net/" TargetMode="External"/><Relationship Id="rId10" Type="http://schemas.openxmlformats.org/officeDocument/2006/relationships/hyperlink" Target="https://bit.ly/2KpSI7C" TargetMode="External"/><Relationship Id="rId11" Type="http://schemas.openxmlformats.org/officeDocument/2006/relationships/hyperlink" Target="https://cdr.ibpad.com.br/" TargetMode="External"/><Relationship Id="rId12" Type="http://schemas.openxmlformats.org/officeDocument/2006/relationships/hyperlink" Target="https://keen-swartz-3146c4.netlify.com/" TargetMode="External"/><Relationship Id="rId13" Type="http://schemas.openxmlformats.org/officeDocument/2006/relationships/hyperlink" Target="https://docs.qgis.org/3.4/pdf/pt_BR/QGIS-3.4-QGISTrainingManual-pt_BR.pdf" TargetMode="External"/><Relationship Id="rId14" Type="http://schemas.openxmlformats.org/officeDocument/2006/relationships/hyperlink" Target="https://www.r-project.org/" TargetMode="External"/><Relationship Id="rId15" Type="http://schemas.openxmlformats.org/officeDocument/2006/relationships/hyperlink" Target="http://www.cookbook-r.com/" TargetMode="External"/><Relationship Id="rId16" Type="http://schemas.openxmlformats.org/officeDocument/2006/relationships/hyperlink" Target="https://r4ds.had.co.nz/" TargetMode="External"/><Relationship Id="rId17" Type="http://schemas.openxmlformats.org/officeDocument/2006/relationships/hyperlink" Target="https://adv-r.hadley.nz/" TargetMode="External"/><Relationship Id="rId18" Type="http://schemas.openxmlformats.org/officeDocument/2006/relationships/hyperlink" Target="https://serialmentor.com/dataviz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3735</TotalTime>
  <Application>LibreOffice/6.4.4.2$Linux_X86_64 LibreOffice_project/40$Build-2</Application>
  <Pages>5</Pages>
  <Words>1191</Words>
  <CharactersWithSpaces>8310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2020-06-29T15:48:14Z</dcterms:modified>
  <cp:revision>1196</cp:revision>
  <dc:subject/>
  <dc:title/>
</cp:coreProperties>
</file>